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24,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Abby Adams</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Agrify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Initially Filed December 22, 2020</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Adams:</w:t>
      </w:r>
    </w:p>
    <w:p>
      <w:pPr>
        <w:spacing w:after="0" w:line="221" w:lineRule="exact"/>
        <w:rPr>
          <w:sz w:val="24"/>
          <w:szCs w:val="24"/>
          <w:color w:val="auto"/>
        </w:rPr>
      </w:pPr>
    </w:p>
    <w:p>
      <w:pPr>
        <w:ind w:right="120" w:firstLine="648"/>
        <w:spacing w:after="0" w:line="303" w:lineRule="auto"/>
        <w:rPr>
          <w:sz w:val="20"/>
          <w:szCs w:val="20"/>
          <w:color w:val="auto"/>
        </w:rPr>
      </w:pPr>
      <w:r>
        <w:rPr>
          <w:rFonts w:ascii="Arial" w:cs="Arial" w:eastAsia="Arial" w:hAnsi="Arial"/>
          <w:sz w:val="16"/>
          <w:szCs w:val="16"/>
          <w:color w:val="auto"/>
        </w:rPr>
        <w:t>Agrify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hereby transmits our response to Comment 36 in the comment letter dated September 8, 2020 (the “</w:t>
      </w:r>
      <w:r>
        <w:rPr>
          <w:rFonts w:ascii="Arial" w:cs="Arial" w:eastAsia="Arial" w:hAnsi="Arial"/>
          <w:sz w:val="16"/>
          <w:szCs w:val="16"/>
          <w:b w:val="1"/>
          <w:bCs w:val="1"/>
          <w:color w:val="auto"/>
        </w:rPr>
        <w:t>Letter</w:t>
      </w:r>
      <w:r>
        <w:rPr>
          <w:rFonts w:ascii="Arial" w:cs="Arial" w:eastAsia="Arial" w:hAnsi="Arial"/>
          <w:sz w:val="16"/>
          <w:szCs w:val="16"/>
          <w:color w:val="auto"/>
        </w:rPr>
        <w:t>”) received by us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regarding the Company’s Draft Registration Statement on Form S-1 previously filed with the Commission on August 12, 2020. The Company subsequently filed its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on December 22, 2020, as amended on January 13, 2021.</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stated in the Registration Statement, the Company has granted stock options to its employees and directors.</w:t>
      </w:r>
    </w:p>
    <w:p>
      <w:pPr>
        <w:spacing w:after="0" w:line="225" w:lineRule="exact"/>
        <w:rPr>
          <w:sz w:val="24"/>
          <w:szCs w:val="24"/>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measures stock-based awards granted to employees and directors based on their estimated fair value on the date of grant and recognizes compensation expense for those awards over the requisite service period, which is generally the vesting period of the respective award. Generally, the Company issues stock options with only service-based vesting conditions and records the expense for these awards using the straight-line method.</w:t>
      </w:r>
    </w:p>
    <w:p>
      <w:pPr>
        <w:spacing w:after="0" w:line="183" w:lineRule="exact"/>
        <w:rPr>
          <w:sz w:val="24"/>
          <w:szCs w:val="24"/>
          <w:color w:val="auto"/>
        </w:rPr>
      </w:pPr>
    </w:p>
    <w:p>
      <w:pPr>
        <w:jc w:val="both"/>
        <w:ind w:right="640" w:firstLine="648"/>
        <w:spacing w:after="0" w:line="266" w:lineRule="auto"/>
        <w:rPr>
          <w:sz w:val="20"/>
          <w:szCs w:val="20"/>
          <w:color w:val="auto"/>
        </w:rPr>
      </w:pPr>
      <w:r>
        <w:rPr>
          <w:rFonts w:ascii="Arial" w:cs="Arial" w:eastAsia="Arial" w:hAnsi="Arial"/>
          <w:sz w:val="18"/>
          <w:szCs w:val="18"/>
          <w:color w:val="auto"/>
        </w:rPr>
        <w:t>The Registration Statement describes the Company’s use of the Black-Scholes option-pricing model (“</w:t>
      </w:r>
      <w:r>
        <w:rPr>
          <w:rFonts w:ascii="Arial" w:cs="Arial" w:eastAsia="Arial" w:hAnsi="Arial"/>
          <w:sz w:val="18"/>
          <w:szCs w:val="18"/>
          <w:b w:val="1"/>
          <w:bCs w:val="1"/>
          <w:color w:val="auto"/>
        </w:rPr>
        <w:t>Black-Scholes</w:t>
      </w:r>
      <w:r>
        <w:rPr>
          <w:rFonts w:ascii="Arial" w:cs="Arial" w:eastAsia="Arial" w:hAnsi="Arial"/>
          <w:sz w:val="18"/>
          <w:szCs w:val="18"/>
          <w:color w:val="auto"/>
        </w:rPr>
        <w:t>”) for the purpose of calculating the estimated grant date fair value of the stock options.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with input from management, determined the estimated fair value per share of the Company’s common stock to be as follows:</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Exercise price</w:t>
            </w:r>
          </w:p>
        </w:tc>
        <w:tc>
          <w:tcPr>
            <w:tcW w:w="176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Estimated fair value</w:t>
            </w:r>
          </w:p>
        </w:tc>
      </w:tr>
      <w:tr>
        <w:trPr>
          <w:trHeight w:val="216"/>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underlying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 share</w:t>
            </w:r>
          </w:p>
        </w:tc>
      </w:tr>
      <w:tr>
        <w:trPr>
          <w:trHeight w:val="241"/>
        </w:trPr>
        <w:tc>
          <w:tcPr>
            <w:tcW w:w="64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 granted</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of 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common stock</w:t>
            </w:r>
          </w:p>
        </w:tc>
      </w:tr>
      <w:tr>
        <w:trPr>
          <w:trHeight w:val="216"/>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2020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May 2020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254,629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July 2020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211,113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August 2020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15,362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October 2020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1,540,544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December 2020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44,254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January 2021</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144,360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439"/>
        </w:trPr>
        <w:tc>
          <w:tcPr>
            <w:tcW w:w="6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Historical Stock-Based Compensation Expense</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Company’s stock-based compensation expense for the years ended December 31, 2018 and 2019 and the nine months ended September 30, 2020 were approximately $0 (0% of total operating expenses), $109,000 (3.8% of total operating expenses) and $803,000 (8.6% of total operating expenses),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 and Common Stock Valuations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determined on each grant date by the Board Given the absence of a public trading market for our common stock, the Board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 (the “</w:t>
      </w:r>
      <w:r>
        <w:rPr>
          <w:rFonts w:ascii="Arial" w:cs="Arial" w:eastAsia="Arial" w:hAnsi="Arial"/>
          <w:sz w:val="17"/>
          <w:szCs w:val="17"/>
          <w:b w:val="1"/>
          <w:bCs w:val="1"/>
          <w:color w:val="auto"/>
        </w:rPr>
        <w:t>Practice Aid</w:t>
      </w:r>
      <w:r>
        <w:rPr>
          <w:rFonts w:ascii="Arial" w:cs="Arial" w:eastAsia="Arial" w:hAnsi="Arial"/>
          <w:sz w:val="17"/>
          <w:szCs w:val="17"/>
          <w:color w:val="auto"/>
        </w:rPr>
        <w:t>”). For our valuations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 The assumptions used in the valuation model to determine the estimated fair value of the Company’s common stock as of the grant date of each option are based on numerous objective and subjective factors, combined with management judgment, including the following:</w:t>
      </w:r>
    </w:p>
    <w:p>
      <w:pPr>
        <w:spacing w:after="0" w:line="184"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significant corporate events or milestones;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material risks related to the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actual operating results and financial condition, including the Company’s level of available capital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rights, preferences and privileges of the preferred stock relative to those of the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for the shares of common stock, such as an initial public offering given prevailing market and biotechnology sector conditions;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grants involved illiquid securities in a private company.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ind w:left="640"/>
        <w:spacing w:after="0"/>
        <w:rPr>
          <w:sz w:val="20"/>
          <w:szCs w:val="20"/>
          <w:color w:val="auto"/>
        </w:rPr>
      </w:pPr>
      <w:r>
        <w:rPr>
          <w:rFonts w:ascii="Arial" w:cs="Arial" w:eastAsia="Arial" w:hAnsi="Arial"/>
          <w:sz w:val="18"/>
          <w:szCs w:val="18"/>
          <w:i w:val="1"/>
          <w:iCs w:val="1"/>
          <w:color w:val="auto"/>
        </w:rPr>
        <w:t>Common stock valuation methodologies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valuations discussed below were performed in accordance with applicable elements of the Practice Aid. The Practice Aid prescribes several valuation approaches for estimating the value of an enterprise, such as the cost, market and income approaches, and various methodologies for allocating the value of an enterprise to its common stock.</w:t>
      </w:r>
    </w:p>
    <w:p>
      <w:pPr>
        <w:spacing w:after="0" w:line="18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120" w:lineRule="exact"/>
        <w:rPr>
          <w:sz w:val="20"/>
          <w:szCs w:val="20"/>
          <w:color w:val="auto"/>
        </w:rPr>
      </w:pPr>
    </w:p>
    <w:p>
      <w:pPr>
        <w:jc w:val="both"/>
        <w:ind w:left="980" w:right="80" w:hanging="324"/>
        <w:spacing w:after="0" w:line="266"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 Pricing Method</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option pricing method (“</w:t>
      </w:r>
      <w:r>
        <w:rPr>
          <w:rFonts w:ascii="Arial" w:cs="Arial" w:eastAsia="Arial" w:hAnsi="Arial"/>
          <w:sz w:val="18"/>
          <w:szCs w:val="18"/>
          <w:b w:val="1"/>
          <w:bCs w:val="1"/>
          <w:color w:val="auto"/>
        </w:rPr>
        <w:t>OPM</w:t>
      </w:r>
      <w:r>
        <w:rPr>
          <w:rFonts w:ascii="Arial" w:cs="Arial" w:eastAsia="Arial" w:hAnsi="Arial"/>
          <w:sz w:val="18"/>
          <w:szCs w:val="18"/>
          <w:color w:val="auto"/>
        </w:rPr>
        <w:t>”),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75" w:lineRule="exact"/>
        <w:rPr>
          <w:rFonts w:ascii="Arial" w:cs="Arial" w:eastAsia="Arial" w:hAnsi="Arial"/>
          <w:sz w:val="18"/>
          <w:szCs w:val="18"/>
          <w:color w:val="auto"/>
        </w:rPr>
      </w:pPr>
    </w:p>
    <w:p>
      <w:pPr>
        <w:jc w:val="both"/>
        <w:ind w:left="980" w:right="120" w:hanging="324"/>
        <w:spacing w:after="0" w:line="28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Probability-Weighted Expected Return Method</w:t>
      </w:r>
      <w:r>
        <w:rPr>
          <w:rFonts w:ascii="Arial" w:cs="Arial" w:eastAsia="Arial" w:hAnsi="Arial"/>
          <w:sz w:val="17"/>
          <w:szCs w:val="17"/>
          <w:i w:val="1"/>
          <w:iCs w:val="1"/>
          <w:color w:val="auto"/>
        </w:rPr>
        <w:t>.</w:t>
      </w:r>
      <w:r>
        <w:rPr>
          <w:rFonts w:ascii="Arial" w:cs="Arial" w:eastAsia="Arial" w:hAnsi="Arial"/>
          <w:sz w:val="17"/>
          <w:szCs w:val="17"/>
          <w:color w:val="auto"/>
        </w:rPr>
        <w:t xml:space="preserve"> The probability-weighted expected return method (“</w:t>
      </w:r>
      <w:r>
        <w:rPr>
          <w:rFonts w:ascii="Arial" w:cs="Arial" w:eastAsia="Arial" w:hAnsi="Arial"/>
          <w:sz w:val="17"/>
          <w:szCs w:val="17"/>
          <w:b w:val="1"/>
          <w:bCs w:val="1"/>
          <w:color w:val="auto"/>
        </w:rPr>
        <w:t>PWERM</w:t>
      </w:r>
      <w:r>
        <w:rPr>
          <w:rFonts w:ascii="Arial" w:cs="Arial" w:eastAsia="Arial" w:hAnsi="Arial"/>
          <w:sz w:val="17"/>
          <w:szCs w:val="17"/>
          <w:color w:val="auto"/>
        </w:rPr>
        <w:t>”) is a scenario-based analysis that estimates value per share based on the probability-weighted present value of expected future investment returns, considering each of the possible outcomes available to the Company, as well as the economic and control rights of each share class.</w:t>
      </w:r>
    </w:p>
    <w:p>
      <w:pPr>
        <w:spacing w:after="0" w:line="162" w:lineRule="exact"/>
        <w:rPr>
          <w:sz w:val="20"/>
          <w:szCs w:val="20"/>
          <w:color w:val="auto"/>
        </w:rPr>
      </w:pPr>
    </w:p>
    <w:p>
      <w:pPr>
        <w:ind w:right="240" w:firstLine="623"/>
        <w:spacing w:after="0" w:line="259" w:lineRule="auto"/>
        <w:rPr>
          <w:sz w:val="20"/>
          <w:szCs w:val="20"/>
          <w:color w:val="auto"/>
        </w:rPr>
      </w:pPr>
      <w:r>
        <w:rPr>
          <w:rFonts w:ascii="Arial" w:cs="Arial" w:eastAsia="Arial" w:hAnsi="Arial"/>
          <w:sz w:val="18"/>
          <w:szCs w:val="18"/>
          <w:color w:val="auto"/>
        </w:rPr>
        <w:t>Based on the Company’s early stage of development and other relevant factors, the Company determined that OPM was the most appropriate method for allocating the Company’s enterprise value to determine the estimated fair value of common stock for valuations performed during May 2020 and August 2020. Beginning in October 2020, the Company has used PWERM in combination with OPM (the “</w:t>
      </w:r>
      <w:r>
        <w:rPr>
          <w:rFonts w:ascii="Arial" w:cs="Arial" w:eastAsia="Arial" w:hAnsi="Arial"/>
          <w:sz w:val="18"/>
          <w:szCs w:val="18"/>
          <w:b w:val="1"/>
          <w:bCs w:val="1"/>
          <w:color w:val="auto"/>
        </w:rPr>
        <w:t>Hybrid Approach</w:t>
      </w:r>
      <w:r>
        <w:rPr>
          <w:rFonts w:ascii="Arial" w:cs="Arial" w:eastAsia="Arial" w:hAnsi="Arial"/>
          <w:sz w:val="18"/>
          <w:szCs w:val="18"/>
          <w:color w:val="auto"/>
        </w:rPr>
        <w:t>”) to determine the estimated fair value of the Company’s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determining the estimated fair value of the common stock underlying the stock options granted, the Board considered the most recent contemporaneous independent third-party valuation of the Company’s common stock and an assessment of additional objective and subjective factors it believed to be relevant as of the grant date. The additional factors considered when determining any changes in estimated fair value between the most recent contemporaneous valuation and the grant date included, when applicable, the prices paid in the Company’s recent financing transactions, the Company’s stage of development, the Company’s financial performance and business and financial market conditions. Each of the stock option grant dates since January 2020 is discussed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May 2020, July 2020, August 2020 and October 2020 grants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May 2020, July 2020 and August 2020</w:t>
      </w:r>
      <w:r>
        <w:rPr>
          <w:rFonts w:ascii="Arial" w:cs="Arial" w:eastAsia="Arial" w:hAnsi="Arial"/>
          <w:sz w:val="17"/>
          <w:szCs w:val="17"/>
          <w:color w:val="auto"/>
        </w:rPr>
        <w:t>. The Company received an independent third-party valuation of its common stock as of March 20, 2020</w:t>
      </w:r>
      <w:r>
        <w:rPr>
          <w:rFonts w:ascii="Arial" w:cs="Arial" w:eastAsia="Arial" w:hAnsi="Arial"/>
          <w:sz w:val="17"/>
          <w:szCs w:val="17"/>
          <w:i w:val="1"/>
          <w:iCs w:val="1"/>
          <w:color w:val="auto"/>
        </w:rPr>
        <w:t xml:space="preserve"> </w:t>
      </w:r>
      <w:r>
        <w:rPr>
          <w:rFonts w:ascii="Arial" w:cs="Arial" w:eastAsia="Arial" w:hAnsi="Arial"/>
          <w:sz w:val="17"/>
          <w:szCs w:val="17"/>
          <w:color w:val="auto"/>
        </w:rPr>
        <w:t>that indicated that the fair value of the common stock on that date was $2.28 per share. This valuation utilized the OPM “backsolve” method to estimate the Company’s equity value based on the Company’s Series A convertible preferred stock financing. This equity value was then allocated using OPM to the securities outstanding based on their liquidation preferences and other rights. The independent valuation specialist used an estimated volatility of 60%, an expected time to liquidity event of 2.0 years and applied a 30% discount for lack of marketability due to the Company being privately held. Between May 2020 and August 2020, there were no substantive changes in the Company’s financial position or commercial prospects that might have caused a change in fair value or warranted an updated independent third-party valuation. The Board determined the estimated fair value of the Company’s common stock to be $2.28 per share as of May 6, 2020.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ind w:firstLine="648"/>
        <w:spacing w:after="0" w:line="269" w:lineRule="auto"/>
        <w:rPr>
          <w:sz w:val="20"/>
          <w:szCs w:val="20"/>
          <w:color w:val="auto"/>
        </w:rPr>
      </w:pPr>
      <w:r>
        <w:rPr>
          <w:rFonts w:ascii="Arial" w:cs="Arial" w:eastAsia="Arial" w:hAnsi="Arial"/>
          <w:sz w:val="17"/>
          <w:szCs w:val="17"/>
          <w:i w:val="1"/>
          <w:iCs w:val="1"/>
          <w:color w:val="auto"/>
        </w:rPr>
        <w:t xml:space="preserve">October 2020. </w:t>
      </w:r>
      <w:r>
        <w:rPr>
          <w:rFonts w:ascii="Arial" w:cs="Arial" w:eastAsia="Arial" w:hAnsi="Arial"/>
          <w:sz w:val="17"/>
          <w:szCs w:val="17"/>
          <w:color w:val="auto"/>
        </w:rPr>
        <w:t>The Company received an independent third-party valuation of its common stock as of September 14, 2020 that indicated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common stock on that date was $4.86 per share. This valuation utilized the Hybrid Approach to estimate the Company’s equity value. Using the Hybrid Method, two scenarios were assumed, an IPO scenario using the PWERM and an exit/liquidity event scenario using the OPM. Using the PWERM approach, the independent valuation specialist considered the time to liquidity was estimated to occur in three months and a 4.5% discount was applied for lack of marketability due to the Company being privately held. The estimated valuation of the Company in the IPO scenario was estimated to be $98 million. In the exit/liquidity event scenario, the independent valuation specialist used an estimated volatility of 40%, an expected time to liquidity event of 2.0 years and applied a 30% discount for lack of marketability due to the Company being privately held. The Hybrid Method weighted the IPO scenario at 50% and the exit/liquidity event scenario at 50%. The resulting fair value of the Company’s common stock was $4.86 per share. Between September 14, 2020 and October 2020, there were no substantive changes in the Company’s financial position or commercial prospects that might have caused a change in fair value or warranted an updated independent third-party valuation. The Board determined the estimated fair value of the Company’s common stock to be $4.86 per share as of October 19, 2020.</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December 2020 and January 2021 grants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Due to the proximity of these grants to the IPO, the Company and the Board determined to use the IPO price as the fair value of its common stock in December 2020 and January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Factors contributing to differences between grant date estimated fair values and the estimated IPO price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believes the following factors, along with those set forth above with respect to each of the options granted by the Company in 2020, explain the difference between the estimated fair values of the Company’s common stock on those grant dates and the estimated IPO price.</w:t>
      </w:r>
    </w:p>
    <w:p>
      <w:pPr>
        <w:spacing w:after="0" w:line="146" w:lineRule="exact"/>
        <w:rPr>
          <w:sz w:val="20"/>
          <w:szCs w:val="20"/>
          <w:color w:val="auto"/>
        </w:rPr>
      </w:pPr>
    </w:p>
    <w:p>
      <w:pPr>
        <w:ind w:left="980" w:right="80" w:hanging="324"/>
        <w:spacing w:after="0" w:line="296"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IPO price range represents a future price for shares of common stock that, if issued in the IPO, will be immediately freely tradable in a public market, whereas the estimated fair value of the common stock as of all of the option grant dates described above represents a contemporaneous estimate of the fair value of shares that were then illiquid, might never become liquid and, even if an IPO were successfully completed, would remain illiquid for the 180-day lockup period following the IPO. This illiquidity accounts for a substantial difference between the estimated fair values of the common stock through October 2020 and the estimated IPO price range.</w:t>
      </w:r>
    </w:p>
    <w:p>
      <w:pPr>
        <w:spacing w:after="0" w:line="161" w:lineRule="exact"/>
        <w:rPr>
          <w:rFonts w:ascii="Arial" w:cs="Arial" w:eastAsia="Arial" w:hAnsi="Arial"/>
          <w:sz w:val="16"/>
          <w:szCs w:val="16"/>
          <w:color w:val="auto"/>
        </w:rPr>
      </w:pPr>
    </w:p>
    <w:p>
      <w:pPr>
        <w:ind w:left="980" w:right="1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holders of the Company’s preferred stock currently enjoy substantial economic rights and preferences that are senior to the rights of the holders of its common stock. The price range described assumes the conversion of all of the preferred stock into common stock upon completion of the IPO. The corresponding elimination of these economic rights and preferences results in a higher valuation of the common stock after the IPO than before it.</w:t>
      </w:r>
    </w:p>
    <w:p>
      <w:pPr>
        <w:spacing w:after="0" w:line="186"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completion of an IPO would strengthen the Company’s balance sheet, provide access to public equity, provide enhanced operational flexibility and strengthen the Company’s brand recognition.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consideration of various objective and subjective factors in the previous fair value determinations, as described above, that are not applicable to the determination of the IPO price range.</w:t>
      </w:r>
    </w:p>
    <w:p>
      <w:pPr>
        <w:spacing w:after="0" w:line="17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IPO price range reflects the fact that investors may be willing to purchase shares in the IPO at a per share price that takes into account other factors that were not expressly considered in the Company’s prior valuations as a private company, and are not objectively determinable and that valuation models are not able to quantify with any level of certainty.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foregoing, the Company respectfully seeks confirmation that the Staff has no further comments with respect to the matters discussed in this letter. If you have further comments, we ask that you forward them by electronic mail to our counsel, David J. Levine, Esq., at dlevine@loeb.com or by telephone at (212) 407-4923.</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2021-02-25T23:08:52Z</dcterms:created>
  <dcterms:modified xsi:type="dcterms:W3CDTF">2021-02-25T23:08:52Z</dcterms:modified>
</cp:coreProperties>
</file>