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rPr>
              <w:t>FORM 8-K</w:t>
            </w:r>
          </w:p>
        </w:tc>
        <w:tc>
          <w:tcPr>
            <w:tcW w:w="316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90"/>
              </w:rPr>
              <w:t>Pursuant to Section 13 OR 15(d)</w:t>
            </w:r>
          </w:p>
        </w:tc>
        <w:tc>
          <w:tcPr>
            <w:tcW w:w="316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of The Securities Exchange Act of 1934</w:t>
            </w:r>
          </w:p>
        </w:tc>
        <w:tc>
          <w:tcPr>
            <w:tcW w:w="316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920" w:type="dxa"/>
            <w:vAlign w:val="bottom"/>
            <w:gridSpan w:val="7"/>
          </w:tcPr>
          <w:p>
            <w:pPr>
              <w:jc w:val="center"/>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December 31, 2021</w:t>
            </w:r>
          </w:p>
        </w:tc>
        <w:tc>
          <w:tcPr>
            <w:tcW w:w="3160" w:type="dxa"/>
            <w:vAlign w:val="bottom"/>
          </w:tcPr>
          <w:p>
            <w:pPr>
              <w:spacing w:after="0"/>
              <w:rPr>
                <w:sz w:val="24"/>
                <w:szCs w:val="24"/>
                <w:color w:val="auto"/>
              </w:rPr>
            </w:pPr>
          </w:p>
        </w:tc>
      </w:tr>
      <w:tr>
        <w:trPr>
          <w:trHeight w:val="418"/>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rPr>
              <w:t>AGRIFY CORPORATION</w:t>
            </w:r>
          </w:p>
        </w:tc>
        <w:tc>
          <w:tcPr>
            <w:tcW w:w="3160" w:type="dxa"/>
            <w:vAlign w:val="bottom"/>
          </w:tcPr>
          <w:p>
            <w:pPr>
              <w:spacing w:after="0"/>
              <w:rPr>
                <w:sz w:val="24"/>
                <w:szCs w:val="24"/>
                <w:color w:val="auto"/>
              </w:rPr>
            </w:pPr>
          </w:p>
        </w:tc>
      </w:tr>
      <w:tr>
        <w:trPr>
          <w:trHeight w:val="230"/>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(Exact name of registrant as specified in its charter)</w:t>
            </w:r>
          </w:p>
        </w:tc>
        <w:tc>
          <w:tcPr>
            <w:tcW w:w="3160" w:type="dxa"/>
            <w:vAlign w:val="bottom"/>
          </w:tcPr>
          <w:p>
            <w:pPr>
              <w:spacing w:after="0"/>
              <w:rPr>
                <w:sz w:val="20"/>
                <w:szCs w:val="20"/>
                <w:color w:val="auto"/>
              </w:rPr>
            </w:pPr>
          </w:p>
        </w:tc>
      </w:tr>
      <w:tr>
        <w:trPr>
          <w:trHeight w:val="439"/>
        </w:trPr>
        <w:tc>
          <w:tcPr>
            <w:tcW w:w="316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Nevada</w:t>
            </w:r>
          </w:p>
        </w:tc>
        <w:tc>
          <w:tcPr>
            <w:tcW w:w="428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0"/>
              </w:rPr>
              <w:t>001-39946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160" w:type="dxa"/>
            <w:vAlign w:val="bottom"/>
            <w:tcBorders>
              <w:top w:val="single" w:sz="8" w:color="auto"/>
            </w:tcBorders>
          </w:tcPr>
          <w:p>
            <w:pPr>
              <w:jc w:val="center"/>
              <w:ind w:left="330"/>
              <w:spacing w:after="0" w:line="201" w:lineRule="exact"/>
              <w:rPr>
                <w:sz w:val="20"/>
                <w:szCs w:val="20"/>
                <w:color w:val="auto"/>
              </w:rPr>
            </w:pPr>
            <w:r>
              <w:rPr>
                <w:rFonts w:ascii="Arial" w:cs="Arial" w:eastAsia="Arial" w:hAnsi="Arial"/>
                <w:sz w:val="18"/>
                <w:szCs w:val="18"/>
                <w:color w:val="auto"/>
                <w:w w:val="92"/>
              </w:rPr>
              <w:t>(State or other jurisdiction</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60" w:type="dxa"/>
            <w:vAlign w:val="bottom"/>
          </w:tcPr>
          <w:p>
            <w:pPr>
              <w:jc w:val="center"/>
              <w:ind w:left="330"/>
              <w:spacing w:after="0"/>
              <w:rPr>
                <w:sz w:val="20"/>
                <w:szCs w:val="20"/>
                <w:color w:val="auto"/>
              </w:rPr>
            </w:pPr>
            <w:r>
              <w:rPr>
                <w:rFonts w:ascii="Arial" w:cs="Arial" w:eastAsia="Arial" w:hAnsi="Arial"/>
                <w:sz w:val="18"/>
                <w:szCs w:val="18"/>
                <w:color w:val="auto"/>
                <w:w w:val="93"/>
              </w:rPr>
              <w:t>of incorporation)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8080" w:type="dxa"/>
            <w:vAlign w:val="bottom"/>
            <w:gridSpan w:val="8"/>
          </w:tcPr>
          <w:p>
            <w:pPr>
              <w:jc w:val="center"/>
              <w:ind w:right="2560"/>
              <w:spacing w:after="0"/>
              <w:rPr>
                <w:sz w:val="20"/>
                <w:szCs w:val="20"/>
                <w:color w:val="auto"/>
              </w:rPr>
            </w:pPr>
            <w:r>
              <w:rPr>
                <w:rFonts w:ascii="Arial" w:cs="Arial" w:eastAsia="Arial" w:hAnsi="Arial"/>
                <w:sz w:val="18"/>
                <w:szCs w:val="18"/>
                <w:b w:val="1"/>
                <w:bCs w:val="1"/>
                <w:color w:val="auto"/>
                <w:w w:val="91"/>
              </w:rPr>
              <w:t>76 Treble Cove Rd.</w:t>
            </w:r>
          </w:p>
        </w:tc>
        <w:tc>
          <w:tcPr>
            <w:tcW w:w="3160" w:type="dxa"/>
            <w:vAlign w:val="bottom"/>
          </w:tcPr>
          <w:p>
            <w:pPr>
              <w:spacing w:after="0"/>
              <w:rPr>
                <w:sz w:val="24"/>
                <w:szCs w:val="24"/>
                <w:color w:val="auto"/>
              </w:rPr>
            </w:pPr>
          </w:p>
        </w:tc>
      </w:tr>
      <w:tr>
        <w:trPr>
          <w:trHeight w:val="216"/>
        </w:trPr>
        <w:tc>
          <w:tcPr>
            <w:tcW w:w="316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Building 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41"/>
        </w:trPr>
        <w:tc>
          <w:tcPr>
            <w:tcW w:w="8080" w:type="dxa"/>
            <w:vAlign w:val="bottom"/>
            <w:gridSpan w:val="8"/>
          </w:tcPr>
          <w:p>
            <w:pPr>
              <w:jc w:val="center"/>
              <w:ind w:right="2560"/>
              <w:spacing w:after="0"/>
              <w:rPr>
                <w:sz w:val="20"/>
                <w:szCs w:val="20"/>
                <w:color w:val="auto"/>
              </w:rPr>
            </w:pPr>
            <w:r>
              <w:rPr>
                <w:rFonts w:ascii="Arial" w:cs="Arial" w:eastAsia="Arial" w:hAnsi="Arial"/>
                <w:sz w:val="18"/>
                <w:szCs w:val="18"/>
                <w:b w:val="1"/>
                <w:bCs w:val="1"/>
                <w:color w:val="auto"/>
                <w:w w:val="93"/>
              </w:rPr>
              <w:t>Billerica, MA 01862</w:t>
            </w:r>
          </w:p>
        </w:tc>
        <w:tc>
          <w:tcPr>
            <w:tcW w:w="3160" w:type="dxa"/>
            <w:vAlign w:val="bottom"/>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r>
        <w:trPr>
          <w:trHeight w:val="418"/>
        </w:trPr>
        <w:tc>
          <w:tcPr>
            <w:tcW w:w="3160" w:type="dxa"/>
            <w:vAlign w:val="bottom"/>
          </w:tcPr>
          <w:p>
            <w:pPr>
              <w:spacing w:after="0"/>
              <w:rPr>
                <w:sz w:val="24"/>
                <w:szCs w:val="24"/>
                <w:color w:val="auto"/>
              </w:rPr>
            </w:pPr>
          </w:p>
        </w:tc>
        <w:tc>
          <w:tcPr>
            <w:tcW w:w="4920" w:type="dxa"/>
            <w:vAlign w:val="bottom"/>
            <w:gridSpan w:val="7"/>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(617) 896-5243</w:t>
            </w:r>
          </w:p>
        </w:tc>
        <w:tc>
          <w:tcPr>
            <w:tcW w:w="31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498" w:lineRule="auto"/>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on December 3, 2021, Agrify Corporation (the “Company”) entered into a binding letter of intent (the “LOI”) with PurePressure, LLC, a Colorado limited liability company (“PurePressure”) and the members of PurePressure (collectively, the “Members”) regarding a proposed acquisition of PurePressure by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31, 2021, pursuant to the terms of the LOI, the Company entered into a Membership Interest Purchase Agreement (the “Purchase Agreement”) with PurePressure, Benjamin Britton as the Member Representative thereunder, and each of the Members. Concurrently with the execution of the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consideration for the Acquisition consisted of: (a) $4.0 million in cash, subject to certain adjustments for working capital, cash and indebtedness of PurePressure at closing; (b) 329,179 shares of the Company’s common stock (the “Buyer Shares”); and (c) the Earn-out Consideration (as defined below), to the extent earned.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withheld 88,878 of the Buyer Shares issuable to certain Members (the “Holdback Buyer Shares”) for the purpose of securing any post-closing adjustment owed to the Company and any claim for indemnification or payment of damages to which the Company may be entitled under the Purchase Agreement. The Holdback Buyer Shares shall be released following the twelve (12) month anniversary of the Closing Date in accordance with and subject to the conditions of the Purchase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the Company’s common stock (collectively, the “Earn-out Consideration”).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Purchase Agreement.</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Purchase Agreement has been included to provide investors with information regarding its terms and is not intended to provide any financial or other factual information about the Company or PurePressure. In particular, the representations, warranties and covenants contained in the Purchase Agreement</w:t>
      </w: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were made only for purposes of that agreement and as of specific dates, (ii) were made solely for the benefit of the parties to the Purchase Agreement,</w:t>
      </w:r>
    </w:p>
    <w:p>
      <w:pPr>
        <w:spacing w:after="0" w:line="32" w:lineRule="exact"/>
        <w:rPr>
          <w:rFonts w:ascii="Arial" w:cs="Arial" w:eastAsia="Arial" w:hAnsi="Arial"/>
          <w:sz w:val="16"/>
          <w:szCs w:val="16"/>
          <w:color w:val="auto"/>
        </w:rPr>
      </w:pPr>
    </w:p>
    <w:p>
      <w:pPr>
        <w:jc w:val="both"/>
        <w:ind w:firstLine="8"/>
        <w:spacing w:after="0" w:line="270" w:lineRule="auto"/>
        <w:tabs>
          <w:tab w:leader="none" w:pos="337" w:val="left"/>
        </w:tabs>
        <w:numPr>
          <w:ilvl w:val="0"/>
          <w:numId w:val="3"/>
        </w:numPr>
        <w:rPr>
          <w:rFonts w:ascii="Arial" w:cs="Arial" w:eastAsia="Arial" w:hAnsi="Arial"/>
          <w:sz w:val="17"/>
          <w:szCs w:val="17"/>
          <w:color w:val="auto"/>
        </w:rPr>
      </w:pPr>
      <w:r>
        <w:rPr>
          <w:rFonts w:ascii="Arial" w:cs="Arial" w:eastAsia="Arial" w:hAnsi="Arial"/>
          <w:sz w:val="17"/>
          <w:szCs w:val="17"/>
          <w:color w:val="auto"/>
        </w:rPr>
        <w:t>may be subject to limitations agreed upon by the parties, including being qualified by confidential disclosures made for the purpose of allocating contractual risk between the parties to the Purchase Agreement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Purchase Agreement, which subsequent information may or may not be fully reflected in the Company’s public disclosures. Accordingly, investors should not rely on the representations, warranties and covenants contained in the Purchase Agreement as characterizations of the actual state of facts or condition of the Company or PurePressure.</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summary of the Purchase Agreement and related transactions does not purport to be complete and is qualified in its entirety by reference to the complete text of the Purchase Agreement, which is filed as Exhibit 2.1 hereto and which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concerning the Acquisition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set forth in Item 1.01 of this Current Report on Form 8-K is incorporated herein by reference into this Item 3.02 in its entirety. The issuance of the shares of the Company’s common stock pursuant to the Purchase Agreement was and will be exempt from registration pursuant to Section 4(a)(2) of, and Rule 506 under Regulation D promulgated under, the Securities Act of 1933, as amended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as Exhibit 99.1 hereto and incorporated into this Item 7.01 by reference is a copy of the press release issued on January 5, 2022 announcing the consummation of the Acquisition. Exhibit 99.1 is being furnished pursuant to Item 7.01 and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financial statements required by Item 9.01(a) will be filed by amendment as soon as practicable, but no later than 71 calendar days after the date on which this initial Current Report on Form 8-K was required to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pro forma financial information required by Item 9.01(b) will be filed by amendment as soon as practicable, but no later than 71 calendar days after the date on which this initial Current Report on Form 8-K was required to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Membership Interest Purchase Agreement, dated as of December 31, 2021, among the registrant, PurePressure, LLC, Benjamin Britton as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Member Representative, and each of the equity holders of PurePressure named therein</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Press Release of the registrant dated January 5,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but not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Arial" w:cs="Arial" w:eastAsia="Arial" w:hAnsi="Arial"/>
                <w:sz w:val="18"/>
                <w:szCs w:val="18"/>
                <w:b w:val="1"/>
                <w:bCs w:val="1"/>
                <w:color w:val="auto"/>
              </w:rPr>
              <w:t>AGRIFY CORPORATION</w:t>
            </w:r>
          </w:p>
        </w:tc>
        <w:tc>
          <w:tcPr>
            <w:tcW w:w="0" w:type="dxa"/>
            <w:vAlign w:val="bottom"/>
          </w:tcPr>
          <w:p>
            <w:pPr>
              <w:spacing w:after="0"/>
              <w:rPr>
                <w:sz w:val="1"/>
                <w:szCs w:val="1"/>
                <w:color w:val="auto"/>
              </w:rPr>
            </w:pPr>
          </w:p>
        </w:tc>
      </w:tr>
      <w:tr>
        <w:trPr>
          <w:trHeight w:val="439"/>
        </w:trPr>
        <w:tc>
          <w:tcPr>
            <w:tcW w:w="3580" w:type="dxa"/>
            <w:vAlign w:val="bottom"/>
            <w:vMerge w:val="restart"/>
          </w:tcPr>
          <w:p>
            <w:pPr>
              <w:spacing w:after="0"/>
              <w:rPr>
                <w:sz w:val="20"/>
                <w:szCs w:val="20"/>
                <w:color w:val="auto"/>
              </w:rPr>
            </w:pPr>
            <w:r>
              <w:rPr>
                <w:rFonts w:ascii="Arial" w:cs="Arial" w:eastAsia="Arial" w:hAnsi="Arial"/>
                <w:sz w:val="18"/>
                <w:szCs w:val="18"/>
                <w:color w:val="auto"/>
              </w:rPr>
              <w:t>Date: January 5, 2022</w:t>
            </w:r>
          </w:p>
        </w:tc>
        <w:tc>
          <w:tcPr>
            <w:tcW w:w="7660" w:type="dxa"/>
            <w:vAlign w:val="bottom"/>
            <w:gridSpan w:val="2"/>
          </w:tcPr>
          <w:p>
            <w:pPr>
              <w:ind w:left="3180"/>
              <w:spacing w:after="0"/>
              <w:rPr>
                <w:sz w:val="20"/>
                <w:szCs w:val="20"/>
                <w:color w:val="auto"/>
              </w:rPr>
            </w:pPr>
            <w:r>
              <w:rPr>
                <w:rFonts w:ascii="Arial" w:cs="Arial" w:eastAsia="Arial" w:hAnsi="Arial"/>
                <w:sz w:val="18"/>
                <w:szCs w:val="18"/>
                <w:color w:val="auto"/>
              </w:rPr>
              <w:t>By:  /s/ Timothy R. Oakes</w:t>
            </w:r>
          </w:p>
        </w:tc>
        <w:tc>
          <w:tcPr>
            <w:tcW w:w="0" w:type="dxa"/>
            <w:vAlign w:val="bottom"/>
          </w:tcPr>
          <w:p>
            <w:pPr>
              <w:spacing w:after="0"/>
              <w:rPr>
                <w:sz w:val="1"/>
                <w:szCs w:val="1"/>
                <w:color w:val="auto"/>
              </w:rPr>
            </w:pPr>
          </w:p>
        </w:tc>
      </w:tr>
      <w:tr>
        <w:trPr>
          <w:trHeight w:val="202"/>
        </w:trPr>
        <w:tc>
          <w:tcPr>
            <w:tcW w:w="35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Timothy R. Oakes</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3</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200025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PUREPRESSURE, LLC</w:t>
      </w:r>
      <w:r>
        <w:rPr>
          <w:rFonts w:ascii="Arial" w:cs="Arial" w:eastAsia="Arial" w:hAnsi="Arial"/>
          <w:sz w:val="18"/>
          <w:szCs w:val="18"/>
          <w:color w:val="auto"/>
        </w:rPr>
        <w: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BENJAMIN BRITTON</w:t>
      </w:r>
      <w:r>
        <w:rPr>
          <w:rFonts w:ascii="Arial" w:cs="Arial" w:eastAsia="Arial" w:hAnsi="Arial"/>
          <w:sz w:val="18"/>
          <w:szCs w:val="18"/>
          <w:color w:val="auto"/>
        </w:rPr>
        <w:t>, as Member Representative</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MEMBERS NAMED HEREIN</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623570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8040" w:type="dxa"/>
            <w:vAlign w:val="bottom"/>
          </w:tcPr>
          <w:p>
            <w:pPr>
              <w:ind w:left="2520"/>
              <w:spacing w:after="0"/>
              <w:rPr>
                <w:sz w:val="20"/>
                <w:szCs w:val="20"/>
                <w:color w:val="auto"/>
              </w:rPr>
            </w:pPr>
            <w:r>
              <w:rPr>
                <w:rFonts w:ascii="Arial" w:cs="Arial" w:eastAsia="Arial" w:hAnsi="Arial"/>
                <w:sz w:val="18"/>
                <w:szCs w:val="18"/>
                <w:color w:val="auto"/>
              </w:rPr>
              <w:t>TABLE OF CONTENTS</w:t>
            </w:r>
          </w:p>
        </w:tc>
        <w:tc>
          <w:tcPr>
            <w:tcW w:w="1000" w:type="dxa"/>
            <w:vAlign w:val="bottom"/>
          </w:tcPr>
          <w:p>
            <w:pPr>
              <w:spacing w:after="0"/>
              <w:rPr>
                <w:sz w:val="20"/>
                <w:szCs w:val="20"/>
                <w:color w:val="auto"/>
              </w:rPr>
            </w:pPr>
          </w:p>
        </w:tc>
      </w:tr>
      <w:tr>
        <w:trPr>
          <w:trHeight w:val="453"/>
        </w:trPr>
        <w:tc>
          <w:tcPr>
            <w:tcW w:w="2200" w:type="dxa"/>
            <w:vAlign w:val="bottom"/>
            <w:tcBorders>
              <w:bottom w:val="single" w:sz="8" w:color="CCEEFF"/>
            </w:tcBorders>
          </w:tcPr>
          <w:p>
            <w:pPr>
              <w:spacing w:after="0"/>
              <w:rPr>
                <w:sz w:val="24"/>
                <w:szCs w:val="24"/>
                <w:color w:val="auto"/>
              </w:rPr>
            </w:pPr>
          </w:p>
        </w:tc>
        <w:tc>
          <w:tcPr>
            <w:tcW w:w="80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Page</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80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PURCHASE AND SALE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2.1</w:t>
            </w:r>
          </w:p>
        </w:tc>
        <w:tc>
          <w:tcPr>
            <w:tcW w:w="8040" w:type="dxa"/>
            <w:vAlign w:val="bottom"/>
          </w:tcPr>
          <w:p>
            <w:pPr>
              <w:ind w:left="180"/>
              <w:spacing w:after="0"/>
              <w:rPr>
                <w:sz w:val="20"/>
                <w:szCs w:val="20"/>
                <w:color w:val="auto"/>
              </w:rPr>
            </w:pPr>
            <w:r>
              <w:rPr>
                <w:rFonts w:ascii="Arial" w:cs="Arial" w:eastAsia="Arial" w:hAnsi="Arial"/>
                <w:sz w:val="18"/>
                <w:szCs w:val="18"/>
                <w:color w:val="auto"/>
              </w:rPr>
              <w:t>Purchase of Equity; Treatment of Company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2.2</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Price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2.3</w:t>
            </w:r>
          </w:p>
        </w:tc>
        <w:tc>
          <w:tcPr>
            <w:tcW w:w="8040" w:type="dxa"/>
            <w:vAlign w:val="bottom"/>
          </w:tcPr>
          <w:p>
            <w:pPr>
              <w:ind w:left="180"/>
              <w:spacing w:after="0"/>
              <w:rPr>
                <w:sz w:val="20"/>
                <w:szCs w:val="20"/>
                <w:color w:val="auto"/>
              </w:rPr>
            </w:pPr>
            <w:r>
              <w:rPr>
                <w:rFonts w:ascii="Arial" w:cs="Arial" w:eastAsia="Arial" w:hAnsi="Arial"/>
                <w:sz w:val="18"/>
                <w:szCs w:val="18"/>
                <w:color w:val="auto"/>
              </w:rPr>
              <w:t>Closing</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2.4</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Closing Cash Payment.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2.5</w:t>
            </w:r>
          </w:p>
        </w:tc>
        <w:tc>
          <w:tcPr>
            <w:tcW w:w="8040" w:type="dxa"/>
            <w:vAlign w:val="bottom"/>
          </w:tcPr>
          <w:p>
            <w:pPr>
              <w:ind w:left="180"/>
              <w:spacing w:after="0"/>
              <w:rPr>
                <w:sz w:val="20"/>
                <w:szCs w:val="20"/>
                <w:color w:val="auto"/>
              </w:rPr>
            </w:pPr>
            <w:r>
              <w:rPr>
                <w:rFonts w:ascii="Arial" w:cs="Arial" w:eastAsia="Arial" w:hAnsi="Arial"/>
                <w:sz w:val="18"/>
                <w:szCs w:val="18"/>
                <w:color w:val="auto"/>
              </w:rPr>
              <w:t>Earn-Out.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2.6</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Closing Deliverables.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2.7</w:t>
            </w:r>
          </w:p>
        </w:tc>
        <w:tc>
          <w:tcPr>
            <w:tcW w:w="8040" w:type="dxa"/>
            <w:vAlign w:val="bottom"/>
          </w:tcPr>
          <w:p>
            <w:pPr>
              <w:ind w:left="180"/>
              <w:spacing w:after="0"/>
              <w:rPr>
                <w:sz w:val="20"/>
                <w:szCs w:val="20"/>
                <w:color w:val="auto"/>
              </w:rPr>
            </w:pPr>
            <w:r>
              <w:rPr>
                <w:rFonts w:ascii="Arial" w:cs="Arial" w:eastAsia="Arial" w:hAnsi="Arial"/>
                <w:sz w:val="18"/>
                <w:szCs w:val="18"/>
                <w:color w:val="auto"/>
              </w:rPr>
              <w:t>Post-Closing Adjustments.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2.8</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Holdback Shares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2.9</w:t>
            </w:r>
          </w:p>
        </w:tc>
        <w:tc>
          <w:tcPr>
            <w:tcW w:w="8040" w:type="dxa"/>
            <w:vAlign w:val="bottom"/>
          </w:tcPr>
          <w:p>
            <w:pPr>
              <w:ind w:left="180"/>
              <w:spacing w:after="0"/>
              <w:rPr>
                <w:sz w:val="20"/>
                <w:szCs w:val="20"/>
                <w:color w:val="auto"/>
              </w:rPr>
            </w:pPr>
            <w:r>
              <w:rPr>
                <w:rFonts w:ascii="Arial" w:cs="Arial" w:eastAsia="Arial" w:hAnsi="Arial"/>
                <w:sz w:val="18"/>
                <w:szCs w:val="18"/>
                <w:color w:val="auto"/>
              </w:rPr>
              <w:t>Tax Withholding</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REGARDING THE COMPANY GROUP</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 and Qualification of the Company Group.</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3.2</w:t>
            </w:r>
          </w:p>
        </w:tc>
        <w:tc>
          <w:tcPr>
            <w:tcW w:w="8040" w:type="dxa"/>
            <w:vAlign w:val="bottom"/>
          </w:tcPr>
          <w:p>
            <w:pPr>
              <w:ind w:left="180"/>
              <w:spacing w:after="0"/>
              <w:rPr>
                <w:sz w:val="20"/>
                <w:szCs w:val="20"/>
                <w:color w:val="auto"/>
              </w:rPr>
            </w:pPr>
            <w:r>
              <w:rPr>
                <w:rFonts w:ascii="Arial" w:cs="Arial" w:eastAsia="Arial" w:hAnsi="Arial"/>
                <w:sz w:val="18"/>
                <w:szCs w:val="18"/>
                <w:color w:val="auto"/>
              </w:rPr>
              <w:t>Authority of the Company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3.3</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Consents of Third Parties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3.4</w:t>
            </w:r>
          </w:p>
        </w:tc>
        <w:tc>
          <w:tcPr>
            <w:tcW w:w="8040" w:type="dxa"/>
            <w:vAlign w:val="bottom"/>
          </w:tcPr>
          <w:p>
            <w:pPr>
              <w:ind w:left="180"/>
              <w:spacing w:after="0"/>
              <w:rPr>
                <w:sz w:val="20"/>
                <w:szCs w:val="20"/>
                <w:color w:val="auto"/>
              </w:rPr>
            </w:pPr>
            <w:r>
              <w:rPr>
                <w:rFonts w:ascii="Arial" w:cs="Arial" w:eastAsia="Arial" w:hAnsi="Arial"/>
                <w:sz w:val="18"/>
                <w:szCs w:val="18"/>
                <w:color w:val="auto"/>
              </w:rPr>
              <w:t>Title to and Sufficiency of Assets.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3.5</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Subsidiaries.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3.6</w:t>
            </w:r>
          </w:p>
        </w:tc>
        <w:tc>
          <w:tcPr>
            <w:tcW w:w="804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3.7</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Absence of Undisclosed Liabilities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3.8</w:t>
            </w:r>
          </w:p>
        </w:tc>
        <w:tc>
          <w:tcPr>
            <w:tcW w:w="8040" w:type="dxa"/>
            <w:vAlign w:val="bottom"/>
          </w:tcPr>
          <w:p>
            <w:pPr>
              <w:ind w:left="180"/>
              <w:spacing w:after="0"/>
              <w:rPr>
                <w:sz w:val="20"/>
                <w:szCs w:val="20"/>
                <w:color w:val="auto"/>
              </w:rPr>
            </w:pPr>
            <w:r>
              <w:rPr>
                <w:rFonts w:ascii="Arial" w:cs="Arial" w:eastAsia="Arial" w:hAnsi="Arial"/>
                <w:sz w:val="18"/>
                <w:szCs w:val="18"/>
                <w:color w:val="auto"/>
              </w:rPr>
              <w:t>Absence of Certain Changes, Events or Conditions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3.9</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Actions; Government Orders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3.10</w:t>
            </w:r>
          </w:p>
        </w:tc>
        <w:tc>
          <w:tcPr>
            <w:tcW w:w="8040" w:type="dxa"/>
            <w:vAlign w:val="bottom"/>
          </w:tcPr>
          <w:p>
            <w:pPr>
              <w:ind w:left="180"/>
              <w:spacing w:after="0"/>
              <w:rPr>
                <w:sz w:val="20"/>
                <w:szCs w:val="20"/>
                <w:color w:val="auto"/>
              </w:rPr>
            </w:pPr>
            <w:r>
              <w:rPr>
                <w:rFonts w:ascii="Arial" w:cs="Arial" w:eastAsia="Arial" w:hAnsi="Arial"/>
                <w:sz w:val="18"/>
                <w:szCs w:val="18"/>
                <w:color w:val="auto"/>
              </w:rPr>
              <w:t>Compliance with Laws; Permits.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3.11</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3.12</w:t>
            </w:r>
          </w:p>
        </w:tc>
        <w:tc>
          <w:tcPr>
            <w:tcW w:w="8040" w:type="dxa"/>
            <w:vAlign w:val="bottom"/>
          </w:tcPr>
          <w:p>
            <w:pPr>
              <w:ind w:left="180"/>
              <w:spacing w:after="0"/>
              <w:rPr>
                <w:sz w:val="20"/>
                <w:szCs w:val="20"/>
                <w:color w:val="auto"/>
              </w:rPr>
            </w:pPr>
            <w:r>
              <w:rPr>
                <w:rFonts w:ascii="Arial" w:cs="Arial" w:eastAsia="Arial" w:hAnsi="Arial"/>
                <w:sz w:val="18"/>
                <w:szCs w:val="18"/>
                <w:color w:val="auto"/>
              </w:rPr>
              <w:t>Warranties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3.13</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 Contracts.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3.14</w:t>
            </w:r>
          </w:p>
        </w:tc>
        <w:tc>
          <w:tcPr>
            <w:tcW w:w="804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3.15</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and Information Technology.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3.16</w:t>
            </w:r>
          </w:p>
        </w:tc>
        <w:tc>
          <w:tcPr>
            <w:tcW w:w="80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3.17</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Property.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3.18</w:t>
            </w:r>
          </w:p>
        </w:tc>
        <w:tc>
          <w:tcPr>
            <w:tcW w:w="8040" w:type="dxa"/>
            <w:vAlign w:val="bottom"/>
          </w:tcPr>
          <w:p>
            <w:pPr>
              <w:ind w:left="180"/>
              <w:spacing w:after="0"/>
              <w:rPr>
                <w:sz w:val="20"/>
                <w:szCs w:val="20"/>
                <w:color w:val="auto"/>
              </w:rPr>
            </w:pPr>
            <w:r>
              <w:rPr>
                <w:rFonts w:ascii="Arial" w:cs="Arial" w:eastAsia="Arial" w:hAnsi="Arial"/>
                <w:sz w:val="18"/>
                <w:szCs w:val="18"/>
                <w:color w:val="auto"/>
              </w:rPr>
              <w:t>Customers and Suppliers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3.19</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3.20</w:t>
            </w:r>
          </w:p>
        </w:tc>
        <w:tc>
          <w:tcPr>
            <w:tcW w:w="8040" w:type="dxa"/>
            <w:vAlign w:val="bottom"/>
          </w:tcPr>
          <w:p>
            <w:pPr>
              <w:ind w:left="180"/>
              <w:spacing w:after="0"/>
              <w:rPr>
                <w:sz w:val="20"/>
                <w:szCs w:val="20"/>
                <w:color w:val="auto"/>
              </w:rPr>
            </w:pPr>
            <w:r>
              <w:rPr>
                <w:rFonts w:ascii="Arial" w:cs="Arial" w:eastAsia="Arial" w:hAnsi="Arial"/>
                <w:sz w:val="18"/>
                <w:szCs w:val="18"/>
                <w:color w:val="auto"/>
              </w:rPr>
              <w:t>Employment Matters.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3.21</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Privacy and Personal Data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3.22</w:t>
            </w:r>
          </w:p>
        </w:tc>
        <w:tc>
          <w:tcPr>
            <w:tcW w:w="804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3.23</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Liability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3.24</w:t>
            </w:r>
          </w:p>
        </w:tc>
        <w:tc>
          <w:tcPr>
            <w:tcW w:w="8040" w:type="dxa"/>
            <w:vAlign w:val="bottom"/>
          </w:tcPr>
          <w:p>
            <w:pPr>
              <w:ind w:left="180"/>
              <w:spacing w:after="0"/>
              <w:rPr>
                <w:sz w:val="20"/>
                <w:szCs w:val="20"/>
                <w:color w:val="auto"/>
              </w:rPr>
            </w:pPr>
            <w:r>
              <w:rPr>
                <w:rFonts w:ascii="Arial" w:cs="Arial" w:eastAsia="Arial" w:hAnsi="Arial"/>
                <w:sz w:val="18"/>
                <w:szCs w:val="18"/>
                <w:color w:val="auto"/>
              </w:rPr>
              <w:t>COVID-19 and COVID-19 Measures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3.25</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Transactions with Affiliates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3.26</w:t>
            </w:r>
          </w:p>
        </w:tc>
        <w:tc>
          <w:tcPr>
            <w:tcW w:w="8040" w:type="dxa"/>
            <w:vAlign w:val="bottom"/>
          </w:tcPr>
          <w:p>
            <w:pPr>
              <w:ind w:left="180"/>
              <w:spacing w:after="0"/>
              <w:rPr>
                <w:sz w:val="20"/>
                <w:szCs w:val="20"/>
                <w:color w:val="auto"/>
              </w:rPr>
            </w:pPr>
            <w:r>
              <w:rPr>
                <w:rFonts w:ascii="Arial" w:cs="Arial" w:eastAsia="Arial" w:hAnsi="Arial"/>
                <w:sz w:val="18"/>
                <w:szCs w:val="18"/>
                <w:color w:val="auto"/>
              </w:rPr>
              <w:t>Brokers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3.27</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Matters.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2200" w:type="dxa"/>
            <w:vAlign w:val="bottom"/>
          </w:tcPr>
          <w:p>
            <w:pPr>
              <w:ind w:left="580"/>
              <w:spacing w:after="0"/>
              <w:rPr>
                <w:sz w:val="20"/>
                <w:szCs w:val="20"/>
                <w:color w:val="auto"/>
              </w:rPr>
            </w:pPr>
            <w:r>
              <w:rPr>
                <w:rFonts w:ascii="Arial" w:cs="Arial" w:eastAsia="Arial" w:hAnsi="Arial"/>
                <w:sz w:val="18"/>
                <w:szCs w:val="18"/>
                <w:color w:val="auto"/>
              </w:rPr>
              <w:t>Section 3.28</w:t>
            </w:r>
          </w:p>
        </w:tc>
        <w:tc>
          <w:tcPr>
            <w:tcW w:w="8040" w:type="dxa"/>
            <w:vAlign w:val="bottom"/>
          </w:tcPr>
          <w:p>
            <w:pPr>
              <w:ind w:left="180"/>
              <w:spacing w:after="0"/>
              <w:rPr>
                <w:sz w:val="20"/>
                <w:szCs w:val="20"/>
                <w:color w:val="auto"/>
              </w:rPr>
            </w:pPr>
            <w:r>
              <w:rPr>
                <w:rFonts w:ascii="Arial" w:cs="Arial" w:eastAsia="Arial" w:hAnsi="Arial"/>
                <w:sz w:val="18"/>
                <w:szCs w:val="18"/>
                <w:color w:val="auto"/>
              </w:rPr>
              <w:t>Bank Accounts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2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3.29</w:t>
            </w: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Books and Records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30"/>
        </w:trPr>
        <w:tc>
          <w:tcPr>
            <w:tcW w:w="2200" w:type="dxa"/>
            <w:vAlign w:val="bottom"/>
          </w:tcPr>
          <w:p>
            <w:pPr>
              <w:ind w:left="580"/>
              <w:spacing w:after="0"/>
              <w:rPr>
                <w:sz w:val="20"/>
                <w:szCs w:val="20"/>
                <w:color w:val="auto"/>
              </w:rPr>
            </w:pPr>
            <w:r>
              <w:rPr>
                <w:rFonts w:ascii="Arial" w:cs="Arial" w:eastAsia="Arial" w:hAnsi="Arial"/>
                <w:sz w:val="18"/>
                <w:szCs w:val="18"/>
                <w:color w:val="auto"/>
              </w:rPr>
              <w:t>Section 3.30</w:t>
            </w:r>
          </w:p>
        </w:tc>
        <w:tc>
          <w:tcPr>
            <w:tcW w:w="8040" w:type="dxa"/>
            <w:vAlign w:val="bottom"/>
          </w:tcPr>
          <w:p>
            <w:pPr>
              <w:ind w:left="180"/>
              <w:spacing w:after="0"/>
              <w:rPr>
                <w:sz w:val="20"/>
                <w:szCs w:val="20"/>
                <w:color w:val="auto"/>
              </w:rPr>
            </w:pPr>
            <w:r>
              <w:rPr>
                <w:rFonts w:ascii="Arial" w:cs="Arial" w:eastAsia="Arial" w:hAnsi="Arial"/>
                <w:sz w:val="18"/>
                <w:szCs w:val="18"/>
                <w:color w:val="auto"/>
              </w:rPr>
              <w:t>Full Disclosure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48</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REPRESENTATIONS AND WARRANTIES REGARDING THE OWNERS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49</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4.1</w:t>
            </w:r>
          </w:p>
        </w:tc>
        <w:tc>
          <w:tcPr>
            <w:tcW w:w="6280" w:type="dxa"/>
            <w:vAlign w:val="bottom"/>
          </w:tcPr>
          <w:p>
            <w:pPr>
              <w:ind w:left="20"/>
              <w:spacing w:after="0"/>
              <w:rPr>
                <w:sz w:val="20"/>
                <w:szCs w:val="20"/>
                <w:color w:val="auto"/>
              </w:rPr>
            </w:pPr>
            <w:r>
              <w:rPr>
                <w:rFonts w:ascii="Arial" w:cs="Arial" w:eastAsia="Arial" w:hAnsi="Arial"/>
                <w:sz w:val="18"/>
                <w:szCs w:val="18"/>
                <w:color w:val="auto"/>
              </w:rPr>
              <w:t>Ownership</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49</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4.2</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Authority and Enforceability; No Conflicts.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49</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4.3</w:t>
            </w:r>
          </w:p>
        </w:tc>
        <w:tc>
          <w:tcPr>
            <w:tcW w:w="6280" w:type="dxa"/>
            <w:vAlign w:val="bottom"/>
          </w:tcPr>
          <w:p>
            <w:pPr>
              <w:ind w:left="20"/>
              <w:spacing w:after="0"/>
              <w:rPr>
                <w:sz w:val="20"/>
                <w:szCs w:val="20"/>
                <w:color w:val="auto"/>
              </w:rPr>
            </w:pPr>
            <w:r>
              <w:rPr>
                <w:rFonts w:ascii="Arial" w:cs="Arial" w:eastAsia="Arial" w:hAnsi="Arial"/>
                <w:sz w:val="18"/>
                <w:szCs w:val="18"/>
                <w:color w:val="auto"/>
              </w:rPr>
              <w:t>Brokers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4.4</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Actions; Governmental Orders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4.5</w:t>
            </w:r>
          </w:p>
        </w:tc>
        <w:tc>
          <w:tcPr>
            <w:tcW w:w="6280" w:type="dxa"/>
            <w:vAlign w:val="bottom"/>
          </w:tcPr>
          <w:p>
            <w:pPr>
              <w:ind w:left="20"/>
              <w:spacing w:after="0"/>
              <w:rPr>
                <w:sz w:val="20"/>
                <w:szCs w:val="20"/>
                <w:color w:val="auto"/>
              </w:rPr>
            </w:pPr>
            <w:r>
              <w:rPr>
                <w:rFonts w:ascii="Arial" w:cs="Arial" w:eastAsia="Arial" w:hAnsi="Arial"/>
                <w:sz w:val="18"/>
                <w:szCs w:val="18"/>
                <w:color w:val="auto"/>
              </w:rPr>
              <w:t>Investor Representations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4.6</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Investment, Tax or Legal Advice</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4.7</w:t>
            </w:r>
          </w:p>
        </w:tc>
        <w:tc>
          <w:tcPr>
            <w:tcW w:w="6280" w:type="dxa"/>
            <w:vAlign w:val="bottom"/>
          </w:tcPr>
          <w:p>
            <w:pPr>
              <w:ind w:left="20"/>
              <w:spacing w:after="0"/>
              <w:rPr>
                <w:sz w:val="20"/>
                <w:szCs w:val="20"/>
                <w:color w:val="auto"/>
              </w:rPr>
            </w:pPr>
            <w:r>
              <w:rPr>
                <w:rFonts w:ascii="Arial" w:cs="Arial" w:eastAsia="Arial" w:hAnsi="Arial"/>
                <w:sz w:val="18"/>
                <w:szCs w:val="18"/>
                <w:color w:val="auto"/>
              </w:rPr>
              <w:t>Additional Acknowledgment</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4.8</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Limited Ownership</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4.9</w:t>
            </w:r>
          </w:p>
        </w:tc>
        <w:tc>
          <w:tcPr>
            <w:tcW w:w="6280" w:type="dxa"/>
            <w:vAlign w:val="bottom"/>
          </w:tcPr>
          <w:p>
            <w:pPr>
              <w:ind w:left="20"/>
              <w:spacing w:after="0"/>
              <w:rPr>
                <w:sz w:val="20"/>
                <w:szCs w:val="20"/>
                <w:color w:val="auto"/>
              </w:rPr>
            </w:pPr>
            <w:r>
              <w:rPr>
                <w:rFonts w:ascii="Arial" w:cs="Arial" w:eastAsia="Arial" w:hAnsi="Arial"/>
                <w:sz w:val="18"/>
                <w:szCs w:val="18"/>
                <w:color w:val="auto"/>
              </w:rPr>
              <w:t>No Short Position</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864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BUYER</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5.1</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 and Authority</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5.2</w:t>
            </w:r>
          </w:p>
        </w:tc>
        <w:tc>
          <w:tcPr>
            <w:tcW w:w="6280" w:type="dxa"/>
            <w:vAlign w:val="bottom"/>
          </w:tcPr>
          <w:p>
            <w:pPr>
              <w:ind w:left="20"/>
              <w:spacing w:after="0"/>
              <w:rPr>
                <w:sz w:val="20"/>
                <w:szCs w:val="20"/>
                <w:color w:val="auto"/>
              </w:rPr>
            </w:pPr>
            <w:r>
              <w:rPr>
                <w:rFonts w:ascii="Arial" w:cs="Arial" w:eastAsia="Arial" w:hAnsi="Arial"/>
                <w:sz w:val="18"/>
                <w:szCs w:val="18"/>
                <w:color w:val="auto"/>
              </w:rPr>
              <w:t>Authority of Buyer</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5.3</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Consents of Third Parties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5.4</w:t>
            </w:r>
          </w:p>
        </w:tc>
        <w:tc>
          <w:tcPr>
            <w:tcW w:w="6280" w:type="dxa"/>
            <w:vAlign w:val="bottom"/>
          </w:tcPr>
          <w:p>
            <w:pPr>
              <w:ind w:left="20"/>
              <w:spacing w:after="0"/>
              <w:rPr>
                <w:sz w:val="20"/>
                <w:szCs w:val="20"/>
                <w:color w:val="auto"/>
              </w:rPr>
            </w:pPr>
            <w:r>
              <w:rPr>
                <w:rFonts w:ascii="Arial" w:cs="Arial" w:eastAsia="Arial" w:hAnsi="Arial"/>
                <w:sz w:val="18"/>
                <w:szCs w:val="18"/>
                <w:color w:val="auto"/>
              </w:rPr>
              <w:t>Brokers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5.5</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and Proceedings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5.6</w:t>
            </w:r>
          </w:p>
        </w:tc>
        <w:tc>
          <w:tcPr>
            <w:tcW w:w="6280" w:type="dxa"/>
            <w:vAlign w:val="bottom"/>
          </w:tcPr>
          <w:p>
            <w:pPr>
              <w:ind w:left="20"/>
              <w:spacing w:after="0"/>
              <w:rPr>
                <w:sz w:val="20"/>
                <w:szCs w:val="20"/>
                <w:color w:val="auto"/>
              </w:rPr>
            </w:pPr>
            <w:r>
              <w:rPr>
                <w:rFonts w:ascii="Arial" w:cs="Arial" w:eastAsia="Arial" w:hAnsi="Arial"/>
                <w:sz w:val="18"/>
                <w:szCs w:val="18"/>
                <w:color w:val="auto"/>
              </w:rPr>
              <w:t>Valid Issuance</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5.7</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Purpose</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5.8</w:t>
            </w:r>
          </w:p>
        </w:tc>
        <w:tc>
          <w:tcPr>
            <w:tcW w:w="6280" w:type="dxa"/>
            <w:vAlign w:val="bottom"/>
          </w:tcPr>
          <w:p>
            <w:pPr>
              <w:ind w:left="20"/>
              <w:spacing w:after="0"/>
              <w:rPr>
                <w:sz w:val="20"/>
                <w:szCs w:val="20"/>
                <w:color w:val="auto"/>
              </w:rPr>
            </w:pPr>
            <w:r>
              <w:rPr>
                <w:rFonts w:ascii="Arial" w:cs="Arial" w:eastAsia="Arial" w:hAnsi="Arial"/>
                <w:sz w:val="18"/>
                <w:szCs w:val="18"/>
                <w:color w:val="auto"/>
              </w:rPr>
              <w:t>Buyer SEC Documents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864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ARTICLE VI COVENANTS; OTHER AGREEMENTS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6.1</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Further Assurances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6.2</w:t>
            </w:r>
          </w:p>
        </w:tc>
        <w:tc>
          <w:tcPr>
            <w:tcW w:w="6280" w:type="dxa"/>
            <w:vAlign w:val="bottom"/>
          </w:tcPr>
          <w:p>
            <w:pPr>
              <w:ind w:left="20"/>
              <w:spacing w:after="0"/>
              <w:rPr>
                <w:sz w:val="20"/>
                <w:szCs w:val="20"/>
                <w:color w:val="auto"/>
              </w:rPr>
            </w:pPr>
            <w:r>
              <w:rPr>
                <w:rFonts w:ascii="Arial" w:cs="Arial" w:eastAsia="Arial" w:hAnsi="Arial"/>
                <w:sz w:val="18"/>
                <w:szCs w:val="18"/>
                <w:color w:val="auto"/>
              </w:rPr>
              <w:t>Waiver and Release</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54</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6.3</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Confidentiality</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6.4</w:t>
            </w:r>
          </w:p>
        </w:tc>
        <w:tc>
          <w:tcPr>
            <w:tcW w:w="6280" w:type="dxa"/>
            <w:vAlign w:val="bottom"/>
          </w:tcPr>
          <w:p>
            <w:pPr>
              <w:ind w:left="20"/>
              <w:spacing w:after="0"/>
              <w:rPr>
                <w:sz w:val="20"/>
                <w:szCs w:val="20"/>
                <w:color w:val="auto"/>
              </w:rPr>
            </w:pPr>
            <w:r>
              <w:rPr>
                <w:rFonts w:ascii="Arial" w:cs="Arial" w:eastAsia="Arial" w:hAnsi="Arial"/>
                <w:sz w:val="18"/>
                <w:szCs w:val="18"/>
                <w:color w:val="auto"/>
              </w:rPr>
              <w:t>Consents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23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9"/>
              </w:rPr>
              <w:t>ARTICLE VII TAX MATTERS</w:t>
            </w:r>
          </w:p>
        </w:tc>
        <w:tc>
          <w:tcPr>
            <w:tcW w:w="6280" w:type="dxa"/>
            <w:vAlign w:val="bottom"/>
          </w:tcPr>
          <w:p>
            <w:pPr>
              <w:spacing w:after="0"/>
              <w:rPr>
                <w:sz w:val="18"/>
                <w:szCs w:val="18"/>
                <w:color w:val="auto"/>
              </w:rPr>
            </w:pP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Preparation of Tax Returns.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7.2</w:t>
            </w:r>
          </w:p>
        </w:tc>
        <w:tc>
          <w:tcPr>
            <w:tcW w:w="6280" w:type="dxa"/>
            <w:vAlign w:val="bottom"/>
          </w:tcPr>
          <w:p>
            <w:pPr>
              <w:ind w:left="20"/>
              <w:spacing w:after="0"/>
              <w:rPr>
                <w:sz w:val="20"/>
                <w:szCs w:val="20"/>
                <w:color w:val="auto"/>
              </w:rPr>
            </w:pPr>
            <w:r>
              <w:rPr>
                <w:rFonts w:ascii="Arial" w:cs="Arial" w:eastAsia="Arial" w:hAnsi="Arial"/>
                <w:sz w:val="18"/>
                <w:szCs w:val="18"/>
                <w:color w:val="auto"/>
              </w:rPr>
              <w:t>Straddle Periods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7.3</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Cooperation; Procedures Relating to Tax Claims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7.4</w:t>
            </w:r>
          </w:p>
        </w:tc>
        <w:tc>
          <w:tcPr>
            <w:tcW w:w="6280" w:type="dxa"/>
            <w:vAlign w:val="bottom"/>
          </w:tcPr>
          <w:p>
            <w:pPr>
              <w:ind w:left="20"/>
              <w:spacing w:after="0"/>
              <w:rPr>
                <w:sz w:val="20"/>
                <w:szCs w:val="20"/>
                <w:color w:val="auto"/>
              </w:rPr>
            </w:pPr>
            <w:r>
              <w:rPr>
                <w:rFonts w:ascii="Arial" w:cs="Arial" w:eastAsia="Arial" w:hAnsi="Arial"/>
                <w:sz w:val="18"/>
                <w:szCs w:val="18"/>
                <w:color w:val="auto"/>
              </w:rPr>
              <w:t>Tax Contests.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7.5</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Taxes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58</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7.6</w:t>
            </w:r>
          </w:p>
        </w:tc>
        <w:tc>
          <w:tcPr>
            <w:tcW w:w="6280" w:type="dxa"/>
            <w:vAlign w:val="bottom"/>
          </w:tcPr>
          <w:p>
            <w:pPr>
              <w:ind w:left="20"/>
              <w:spacing w:after="0"/>
              <w:rPr>
                <w:sz w:val="20"/>
                <w:szCs w:val="20"/>
                <w:color w:val="auto"/>
              </w:rPr>
            </w:pPr>
            <w:r>
              <w:rPr>
                <w:rFonts w:ascii="Arial" w:cs="Arial" w:eastAsia="Arial" w:hAnsi="Arial"/>
                <w:sz w:val="18"/>
                <w:szCs w:val="18"/>
                <w:color w:val="auto"/>
              </w:rPr>
              <w:t>Purchase Price Allocation</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58</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7.7</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Actions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864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INDEMNIFICATION</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8.1</w:t>
            </w:r>
          </w:p>
        </w:tc>
        <w:tc>
          <w:tcPr>
            <w:tcW w:w="6280" w:type="dxa"/>
            <w:vAlign w:val="bottom"/>
          </w:tcPr>
          <w:p>
            <w:pPr>
              <w:ind w:left="20"/>
              <w:spacing w:after="0"/>
              <w:rPr>
                <w:sz w:val="20"/>
                <w:szCs w:val="20"/>
                <w:color w:val="auto"/>
              </w:rPr>
            </w:pPr>
            <w:r>
              <w:rPr>
                <w:rFonts w:ascii="Arial" w:cs="Arial" w:eastAsia="Arial" w:hAnsi="Arial"/>
                <w:sz w:val="18"/>
                <w:szCs w:val="18"/>
                <w:color w:val="auto"/>
              </w:rPr>
              <w:t>Survival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8.2</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Indemnification.</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8.3</w:t>
            </w:r>
          </w:p>
        </w:tc>
        <w:tc>
          <w:tcPr>
            <w:tcW w:w="6280" w:type="dxa"/>
            <w:vAlign w:val="bottom"/>
          </w:tcPr>
          <w:p>
            <w:pPr>
              <w:ind w:left="20"/>
              <w:spacing w:after="0"/>
              <w:rPr>
                <w:sz w:val="20"/>
                <w:szCs w:val="20"/>
                <w:color w:val="auto"/>
              </w:rPr>
            </w:pPr>
            <w:r>
              <w:rPr>
                <w:rFonts w:ascii="Arial" w:cs="Arial" w:eastAsia="Arial" w:hAnsi="Arial"/>
                <w:sz w:val="18"/>
                <w:szCs w:val="18"/>
                <w:color w:val="auto"/>
              </w:rPr>
              <w:t>Indemnification Procedures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8.4</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Treatment of Indemnification Payments</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8.5</w:t>
            </w:r>
          </w:p>
        </w:tc>
        <w:tc>
          <w:tcPr>
            <w:tcW w:w="6280" w:type="dxa"/>
            <w:vAlign w:val="bottom"/>
          </w:tcPr>
          <w:p>
            <w:pPr>
              <w:ind w:left="20"/>
              <w:spacing w:after="0"/>
              <w:rPr>
                <w:sz w:val="20"/>
                <w:szCs w:val="20"/>
                <w:color w:val="auto"/>
              </w:rPr>
            </w:pPr>
            <w:r>
              <w:rPr>
                <w:rFonts w:ascii="Arial" w:cs="Arial" w:eastAsia="Arial" w:hAnsi="Arial"/>
                <w:sz w:val="18"/>
                <w:szCs w:val="18"/>
                <w:color w:val="auto"/>
              </w:rPr>
              <w:t>Certain Determinations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8.6</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Exclusive Remedy</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8.7</w:t>
            </w:r>
          </w:p>
        </w:tc>
        <w:tc>
          <w:tcPr>
            <w:tcW w:w="6280" w:type="dxa"/>
            <w:vAlign w:val="bottom"/>
          </w:tcPr>
          <w:p>
            <w:pPr>
              <w:ind w:left="20"/>
              <w:spacing w:after="0"/>
              <w:rPr>
                <w:sz w:val="20"/>
                <w:szCs w:val="20"/>
                <w:color w:val="auto"/>
              </w:rPr>
            </w:pPr>
            <w:r>
              <w:rPr>
                <w:rFonts w:ascii="Arial" w:cs="Arial" w:eastAsia="Arial" w:hAnsi="Arial"/>
                <w:sz w:val="18"/>
                <w:szCs w:val="18"/>
                <w:color w:val="auto"/>
              </w:rPr>
              <w:t>No Contribution or Circular Recovery</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8.8</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 and Manner of Payment</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2360" w:type="dxa"/>
            <w:vAlign w:val="bottom"/>
          </w:tcPr>
          <w:p>
            <w:pPr>
              <w:ind w:left="580"/>
              <w:spacing w:after="0"/>
              <w:rPr>
                <w:sz w:val="20"/>
                <w:szCs w:val="20"/>
                <w:color w:val="auto"/>
              </w:rPr>
            </w:pPr>
            <w:r>
              <w:rPr>
                <w:rFonts w:ascii="Arial" w:cs="Arial" w:eastAsia="Arial" w:hAnsi="Arial"/>
                <w:sz w:val="18"/>
                <w:szCs w:val="18"/>
                <w:color w:val="auto"/>
              </w:rPr>
              <w:t>Section 8.9</w:t>
            </w:r>
          </w:p>
        </w:tc>
        <w:tc>
          <w:tcPr>
            <w:tcW w:w="6280" w:type="dxa"/>
            <w:vAlign w:val="bottom"/>
          </w:tcPr>
          <w:p>
            <w:pPr>
              <w:ind w:left="20"/>
              <w:spacing w:after="0"/>
              <w:rPr>
                <w:sz w:val="20"/>
                <w:szCs w:val="20"/>
                <w:color w:val="auto"/>
              </w:rPr>
            </w:pPr>
            <w:r>
              <w:rPr>
                <w:rFonts w:ascii="Arial" w:cs="Arial" w:eastAsia="Arial" w:hAnsi="Arial"/>
                <w:sz w:val="18"/>
                <w:szCs w:val="18"/>
                <w:color w:val="auto"/>
              </w:rPr>
              <w:t>Materiality</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2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8.10</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Investigation</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9.1</w:t>
            </w:r>
          </w:p>
        </w:tc>
        <w:tc>
          <w:tcPr>
            <w:tcW w:w="6120" w:type="dxa"/>
            <w:vAlign w:val="bottom"/>
          </w:tcPr>
          <w:p>
            <w:pPr>
              <w:ind w:left="460"/>
              <w:spacing w:after="0"/>
              <w:rPr>
                <w:sz w:val="20"/>
                <w:szCs w:val="20"/>
                <w:color w:val="auto"/>
              </w:rPr>
            </w:pPr>
            <w:r>
              <w:rPr>
                <w:rFonts w:ascii="Arial" w:cs="Arial" w:eastAsia="Arial" w:hAnsi="Arial"/>
                <w:sz w:val="18"/>
                <w:szCs w:val="18"/>
                <w:color w:val="auto"/>
              </w:rPr>
              <w:t>Expenses</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9.2</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Notices</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9.3</w:t>
            </w:r>
          </w:p>
        </w:tc>
        <w:tc>
          <w:tcPr>
            <w:tcW w:w="6120" w:type="dxa"/>
            <w:vAlign w:val="bottom"/>
          </w:tcPr>
          <w:p>
            <w:pPr>
              <w:ind w:left="460"/>
              <w:spacing w:after="0"/>
              <w:rPr>
                <w:sz w:val="20"/>
                <w:szCs w:val="20"/>
                <w:color w:val="auto"/>
              </w:rPr>
            </w:pPr>
            <w:r>
              <w:rPr>
                <w:rFonts w:ascii="Arial" w:cs="Arial" w:eastAsia="Arial" w:hAnsi="Arial"/>
                <w:sz w:val="18"/>
                <w:szCs w:val="18"/>
                <w:color w:val="auto"/>
              </w:rPr>
              <w:t>Interpretation</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9.4</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Headings</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9.5</w:t>
            </w:r>
          </w:p>
        </w:tc>
        <w:tc>
          <w:tcPr>
            <w:tcW w:w="6120" w:type="dxa"/>
            <w:vAlign w:val="bottom"/>
          </w:tcPr>
          <w:p>
            <w:pPr>
              <w:ind w:left="460"/>
              <w:spacing w:after="0"/>
              <w:rPr>
                <w:sz w:val="20"/>
                <w:szCs w:val="20"/>
                <w:color w:val="auto"/>
              </w:rPr>
            </w:pPr>
            <w:r>
              <w:rPr>
                <w:rFonts w:ascii="Arial" w:cs="Arial" w:eastAsia="Arial" w:hAnsi="Arial"/>
                <w:sz w:val="18"/>
                <w:szCs w:val="18"/>
                <w:color w:val="auto"/>
              </w:rPr>
              <w:t>Public Announcements</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9.6</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Severability</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9.7</w:t>
            </w:r>
          </w:p>
        </w:tc>
        <w:tc>
          <w:tcPr>
            <w:tcW w:w="6120" w:type="dxa"/>
            <w:vAlign w:val="bottom"/>
          </w:tcPr>
          <w:p>
            <w:pPr>
              <w:ind w:left="460"/>
              <w:spacing w:after="0"/>
              <w:rPr>
                <w:sz w:val="20"/>
                <w:szCs w:val="20"/>
                <w:color w:val="auto"/>
              </w:rPr>
            </w:pPr>
            <w:r>
              <w:rPr>
                <w:rFonts w:ascii="Arial" w:cs="Arial" w:eastAsia="Arial" w:hAnsi="Arial"/>
                <w:sz w:val="18"/>
                <w:szCs w:val="18"/>
                <w:color w:val="auto"/>
              </w:rPr>
              <w:t>Entire Agreement</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9.8</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Amendments and Waiver</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9.9</w:t>
            </w:r>
          </w:p>
        </w:tc>
        <w:tc>
          <w:tcPr>
            <w:tcW w:w="6120" w:type="dxa"/>
            <w:vAlign w:val="bottom"/>
          </w:tcPr>
          <w:p>
            <w:pPr>
              <w:ind w:left="460"/>
              <w:spacing w:after="0"/>
              <w:rPr>
                <w:sz w:val="20"/>
                <w:szCs w:val="20"/>
                <w:color w:val="auto"/>
              </w:rPr>
            </w:pPr>
            <w:r>
              <w:rPr>
                <w:rFonts w:ascii="Arial" w:cs="Arial" w:eastAsia="Arial" w:hAnsi="Arial"/>
                <w:sz w:val="18"/>
                <w:szCs w:val="18"/>
                <w:color w:val="auto"/>
              </w:rPr>
              <w:t>Specific Performance</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9.10</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Successors and Assigns</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9.11</w:t>
            </w:r>
          </w:p>
        </w:tc>
        <w:tc>
          <w:tcPr>
            <w:tcW w:w="6120" w:type="dxa"/>
            <w:vAlign w:val="bottom"/>
          </w:tcPr>
          <w:p>
            <w:pPr>
              <w:ind w:left="460"/>
              <w:spacing w:after="0"/>
              <w:rPr>
                <w:sz w:val="20"/>
                <w:szCs w:val="20"/>
                <w:color w:val="auto"/>
              </w:rPr>
            </w:pPr>
            <w:r>
              <w:rPr>
                <w:rFonts w:ascii="Arial" w:cs="Arial" w:eastAsia="Arial" w:hAnsi="Arial"/>
                <w:sz w:val="18"/>
                <w:szCs w:val="18"/>
                <w:color w:val="auto"/>
              </w:rPr>
              <w:t>No Third-Party Beneficiaries</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9.12</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Governing Law; JURY TRIAL WAIVER.</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1920" w:type="dxa"/>
            <w:vAlign w:val="bottom"/>
          </w:tcPr>
          <w:p>
            <w:pPr>
              <w:ind w:left="580"/>
              <w:spacing w:after="0"/>
              <w:rPr>
                <w:sz w:val="20"/>
                <w:szCs w:val="20"/>
                <w:color w:val="auto"/>
              </w:rPr>
            </w:pPr>
            <w:r>
              <w:rPr>
                <w:rFonts w:ascii="Arial" w:cs="Arial" w:eastAsia="Arial" w:hAnsi="Arial"/>
                <w:sz w:val="18"/>
                <w:szCs w:val="18"/>
                <w:color w:val="auto"/>
              </w:rPr>
              <w:t>Section 9.13</w:t>
            </w:r>
          </w:p>
        </w:tc>
        <w:tc>
          <w:tcPr>
            <w:tcW w:w="6120" w:type="dxa"/>
            <w:vAlign w:val="bottom"/>
          </w:tcPr>
          <w:p>
            <w:pPr>
              <w:ind w:left="460"/>
              <w:spacing w:after="0"/>
              <w:rPr>
                <w:sz w:val="20"/>
                <w:szCs w:val="20"/>
                <w:color w:val="auto"/>
              </w:rPr>
            </w:pPr>
            <w:r>
              <w:rPr>
                <w:rFonts w:ascii="Arial" w:cs="Arial" w:eastAsia="Arial" w:hAnsi="Arial"/>
                <w:sz w:val="18"/>
                <w:szCs w:val="18"/>
                <w:color w:val="auto"/>
              </w:rPr>
              <w:t>Counterparts</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68</w:t>
            </w:r>
          </w:p>
        </w:tc>
      </w:tr>
      <w:tr>
        <w:trPr>
          <w:trHeight w:val="216"/>
        </w:trPr>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9.14</w:t>
            </w:r>
          </w:p>
        </w:tc>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Incorporation of Exhibits and Schedules</w:t>
            </w:r>
          </w:p>
        </w:tc>
        <w:tc>
          <w:tcPr>
            <w:tcW w:w="3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68</w:t>
            </w:r>
          </w:p>
        </w:tc>
      </w:tr>
      <w:tr>
        <w:trPr>
          <w:trHeight w:val="230"/>
        </w:trPr>
        <w:tc>
          <w:tcPr>
            <w:tcW w:w="1920" w:type="dxa"/>
            <w:vAlign w:val="bottom"/>
          </w:tcPr>
          <w:p>
            <w:pPr>
              <w:ind w:left="580"/>
              <w:spacing w:after="0"/>
              <w:rPr>
                <w:sz w:val="20"/>
                <w:szCs w:val="20"/>
                <w:color w:val="auto"/>
              </w:rPr>
            </w:pPr>
            <w:r>
              <w:rPr>
                <w:rFonts w:ascii="Arial" w:cs="Arial" w:eastAsia="Arial" w:hAnsi="Arial"/>
                <w:sz w:val="18"/>
                <w:szCs w:val="18"/>
                <w:color w:val="auto"/>
              </w:rPr>
              <w:t>Section 9.15</w:t>
            </w:r>
          </w:p>
        </w:tc>
        <w:tc>
          <w:tcPr>
            <w:tcW w:w="6120" w:type="dxa"/>
            <w:vAlign w:val="bottom"/>
          </w:tcPr>
          <w:p>
            <w:pPr>
              <w:ind w:left="460"/>
              <w:spacing w:after="0"/>
              <w:rPr>
                <w:sz w:val="20"/>
                <w:szCs w:val="20"/>
                <w:color w:val="auto"/>
              </w:rPr>
            </w:pPr>
            <w:r>
              <w:rPr>
                <w:rFonts w:ascii="Arial" w:cs="Arial" w:eastAsia="Arial" w:hAnsi="Arial"/>
                <w:sz w:val="18"/>
                <w:szCs w:val="18"/>
                <w:color w:val="auto"/>
              </w:rPr>
              <w:t>Member Representative</w:t>
            </w:r>
          </w:p>
        </w:tc>
        <w:tc>
          <w:tcPr>
            <w:tcW w:w="3200" w:type="dxa"/>
            <w:vAlign w:val="bottom"/>
          </w:tcPr>
          <w:p>
            <w:pPr>
              <w:jc w:val="right"/>
              <w:ind w:right="310"/>
              <w:spacing w:after="0"/>
              <w:rPr>
                <w:sz w:val="20"/>
                <w:szCs w:val="20"/>
                <w:color w:val="auto"/>
              </w:rPr>
            </w:pPr>
            <w:r>
              <w:rPr>
                <w:rFonts w:ascii="Arial" w:cs="Arial" w:eastAsia="Arial" w:hAnsi="Arial"/>
                <w:sz w:val="18"/>
                <w:szCs w:val="18"/>
                <w:color w:val="auto"/>
              </w:rPr>
              <w:t>68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Members and Pro Rata Portions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Working Capital Calculation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MEMBERSHIP INTEREST PURCHASE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December 31, 2021, is entered into by and among</w:t>
      </w:r>
    </w:p>
    <w:p>
      <w:pPr>
        <w:spacing w:after="0" w:line="46" w:lineRule="exact"/>
        <w:rPr>
          <w:sz w:val="20"/>
          <w:szCs w:val="20"/>
          <w:color w:val="auto"/>
        </w:rPr>
      </w:pPr>
    </w:p>
    <w:p>
      <w:pPr>
        <w:jc w:val="both"/>
        <w:ind w:firstLine="8"/>
        <w:spacing w:after="0" w:line="253" w:lineRule="auto"/>
        <w:tabs>
          <w:tab w:leader="none" w:pos="22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Agrify Corporation, a Nevada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(ii) PurePressure, LLC, a Colorado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(iii) each of the equity holders of the Company, as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and Benjamin Britton, solely in his capacity as the Member Representative hereunder (the “</w:t>
      </w:r>
      <w:r>
        <w:rPr>
          <w:rFonts w:ascii="Arial" w:cs="Arial" w:eastAsia="Arial" w:hAnsi="Arial"/>
          <w:sz w:val="18"/>
          <w:szCs w:val="18"/>
          <w:b w:val="1"/>
          <w:bCs w:val="1"/>
          <w:i w:val="1"/>
          <w:iCs w:val="1"/>
          <w:color w:val="auto"/>
        </w:rPr>
        <w:t>Member Representative</w:t>
      </w:r>
      <w:r>
        <w:rPr>
          <w:rFonts w:ascii="Arial" w:cs="Arial" w:eastAsia="Arial" w:hAnsi="Arial"/>
          <w:sz w:val="18"/>
          <w:szCs w:val="18"/>
          <w:color w:val="auto"/>
        </w:rPr>
        <w:t>”). Buyer, the Company, and the Members are each sometimes referred to herein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of the date hereof, the Members own all of the issued and outstanding Equity Securities of the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Interests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subject to the terms and conditions set forth in this Agreement, Buyer desires to purchase and the Members desires to sell 100% of the Company Interests;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respective boards of directors (or other applicable governing authority) of the Company and Buyer have approved this Agreement, the Transaction Documents (as defined below) and the consummation of the transactions contemplated hereby and thereby.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and other good and valuable consideration, the receipt and sufficiency of which are hereby acknowledged, the Parties, intending to be legally bound, hereby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2022 Earn-Out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2023 Earn-Out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Accounting Principles</w:t>
      </w:r>
      <w:r>
        <w:rPr>
          <w:rFonts w:ascii="Arial" w:cs="Arial" w:eastAsia="Arial" w:hAnsi="Arial"/>
          <w:sz w:val="16"/>
          <w:szCs w:val="16"/>
          <w:color w:val="auto"/>
        </w:rPr>
        <w:t xml:space="preserve">” means the Company Group’s historical accounting principles, as consistently applied with the Latest Annual Financial Statements. Except as set forth on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Disclosure Schedule, the Accounting Principles are consistent, in all material respects, with GAAP.</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color w:val="auto"/>
        </w:rPr>
        <w:t xml:space="preserve"> means, with respect to the Company Group, all accounts receivable, including all trade accounts receivable, notes receivable from customers, and vendor credits.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claim, action, cause of action, suit, charge, complaint, arbitration, or inquiry, any audit, any formal notice of violation of any Law, or any proceeding, litigation, citation, summons, subpoena, inspection, compliance review, or investigation (each of any nature, civil, criminal, administrative, regulatory or otherwise, whether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Group</w:t>
      </w:r>
      <w:r>
        <w:rPr>
          <w:rFonts w:ascii="Arial" w:cs="Arial" w:eastAsia="Arial" w:hAnsi="Arial"/>
          <w:sz w:val="18"/>
          <w:szCs w:val="18"/>
          <w:color w:val="auto"/>
        </w:rPr>
        <w:t>” means an affiliated group as defined in Section 1504 of the Code (or any analogous combined, consolidated or unitary group defined under income Tax Law) of which any member of the Company Group is or has been a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True-Up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Allocable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Dispute Notice</w:t>
      </w:r>
      <w:r>
        <w:rPr>
          <w:rFonts w:ascii="Arial" w:cs="Arial" w:eastAsia="Arial" w:hAnsi="Arial"/>
          <w:sz w:val="18"/>
          <w:szCs w:val="18"/>
          <w:color w:val="auto"/>
        </w:rPr>
        <w:t>” has the meaning set forth in Section 7.6(b).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Dispute Period</w:t>
      </w:r>
      <w:r>
        <w:rPr>
          <w:rFonts w:ascii="Arial" w:cs="Arial" w:eastAsia="Arial" w:hAnsi="Arial"/>
          <w:sz w:val="18"/>
          <w:szCs w:val="18"/>
          <w:color w:val="auto"/>
        </w:rPr>
        <w:t>” has the meaning set forth in Section 7.6(b).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Methodology</w:t>
      </w:r>
      <w:r>
        <w:rPr>
          <w:rFonts w:ascii="Arial" w:cs="Arial" w:eastAsia="Arial" w:hAnsi="Arial"/>
          <w:sz w:val="18"/>
          <w:szCs w:val="18"/>
          <w:color w:val="auto"/>
        </w:rPr>
        <w:t>” has the meaning set forth in Section 7.6(a).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Resolution Period</w:t>
      </w:r>
      <w:r>
        <w:rPr>
          <w:rFonts w:ascii="Arial" w:cs="Arial" w:eastAsia="Arial" w:hAnsi="Arial"/>
          <w:sz w:val="18"/>
          <w:szCs w:val="18"/>
          <w:color w:val="auto"/>
        </w:rPr>
        <w:t>” has the meaning set forth in Section 7.6(b).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Basket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Benefit Plan</w:t>
      </w:r>
      <w:r>
        <w:rPr>
          <w:rFonts w:ascii="Arial" w:cs="Arial" w:eastAsia="Arial" w:hAnsi="Arial"/>
          <w:sz w:val="17"/>
          <w:szCs w:val="17"/>
          <w:color w:val="auto"/>
        </w:rPr>
        <w:t>” means: (a) each “employee benefit plan,” as defined in Section 3(3) of ERISA, including any “multiemployer plan” as defined in Section 3(37) of ERISA, each determined without regard to whether such plan is subject to ERISA; and (b) any other plan, fund, policy, program, agreement, Contract, arrangement or scheme, qualified or nonqualified, that involves any pension, retirement, thrift, saving, profit sharing, welfare, wellness, medical, voluntary employees’ beneficiary association or related trust, disability, group insurance, life insurance, employment (including offer letters), severance pay, compensation, deferred compensation, flexible benefit, excess or supplemental benefit, vacation, summer hours, equity or equity-related, stock option, phantom equity, stock or equity appreciation, supplemental unemployment, layoff, “golden parachute”, retention, change in control, transaction, fringe benefit or incentives, or any other benefit or compensation, in each case which pertains to any current or former employee officer, director or service provider of any member of the Company Group: (i) to which any member of the Company Group or any ERISA Affiliate is a party or sponsoring, participating or contributing employer; or (ii) with respect to which any member of the Company Group may otherwise have any Liability, whether direct or indirect (including any such plan or arrangement formerly maintained by or participated in or contributed to by any member of the Company Group or any current or former ERISA Affiliate).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means the business of the Company Group as conducted and proposed to be conducted as of the Closing Date, including, but not limited to, the business of the sale of equipment related to cannabis and hemp extraction and processing, including, without limitation, solventless processing, ice water hash processing, pressing, heating, washing, filtering, drying, and facility and laboratory design and training services.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Sunday or other day on which banks in the Commonwealth of Massachusetts are required or authorized by Law to be closed.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Systems</w:t>
      </w:r>
      <w:r>
        <w:rPr>
          <w:rFonts w:ascii="Arial" w:cs="Arial" w:eastAsia="Arial" w:hAnsi="Arial"/>
          <w:sz w:val="17"/>
          <w:szCs w:val="17"/>
          <w:color w:val="auto"/>
        </w:rPr>
        <w:t>” means all computers, computer systems, servers, hardware, Software, middleware, websites, networks, routers, hubs, switches, data- and tele-communication equipment and lines, co-location facilities and equipment, and all other information technology equipment and related items of automated, computerized or Software systems, including any outsourced systems and processes, in each case relied on, owned, licensed or leased by any member of the Company Group in connection with the current conduct of the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Common Stock</w:t>
      </w:r>
      <w:r>
        <w:rPr>
          <w:rFonts w:ascii="Arial" w:cs="Arial" w:eastAsia="Arial" w:hAnsi="Arial"/>
          <w:sz w:val="18"/>
          <w:szCs w:val="18"/>
          <w:color w:val="auto"/>
        </w:rPr>
        <w:t>” means the common stock, par value $0.001 per share,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Shares</w:t>
      </w:r>
      <w:r>
        <w:rPr>
          <w:rFonts w:ascii="Arial" w:cs="Arial" w:eastAsia="Arial" w:hAnsi="Arial"/>
          <w:sz w:val="18"/>
          <w:szCs w:val="18"/>
          <w:color w:val="auto"/>
        </w:rPr>
        <w:t>” means the Closing Buyer Shares, Holdback Buyer Shares and Earn-Out Buyer Shares,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Calculation Time</w:t>
      </w:r>
      <w:r>
        <w:rPr>
          <w:rFonts w:ascii="Arial" w:cs="Arial" w:eastAsia="Arial" w:hAnsi="Arial"/>
          <w:sz w:val="18"/>
          <w:szCs w:val="18"/>
          <w:color w:val="auto"/>
        </w:rPr>
        <w:t>” means 11:59 p.m. Eastern Time on the day immediately preceding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means the Coronavirus Aid, Relief, and Economic Security Act (Pub. L. 116-136), together with all amendments thereto and the statutes, rules and regulations promulgated thereunder and any successor to such statutes, rules or regulations, as in effect on the date hereof as well as any administrative or other guidance published with respect thereto by any Governmental Authority.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w:t>
      </w:r>
      <w:r>
        <w:rPr>
          <w:rFonts w:ascii="Arial" w:cs="Arial" w:eastAsia="Arial" w:hAnsi="Arial"/>
          <w:sz w:val="17"/>
          <w:szCs w:val="17"/>
          <w:color w:val="auto"/>
        </w:rPr>
        <w:t xml:space="preserve">” means (a) the aggregate cash and cash equivalents of the Company Group (including bank account balances and marketable securities),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undeposited checks that have not yet cleared, drafts and wires in transit to the Company Group,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(c) the sum of (i) uncashed checks, outstanding drafts or wire payments from the Company Group and (ii) any cash of the Company Group which is not freely usable by the Company Group because it is subject to restrictions, limitations on use or distribution by Law or contract, including without limitation, security deposits, restrictions on dividends or any other similar form of restriction, in each case calculated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Estimated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Buyer Shares</w:t>
      </w:r>
      <w:r>
        <w:rPr>
          <w:rFonts w:ascii="Arial" w:cs="Arial" w:eastAsia="Arial" w:hAnsi="Arial"/>
          <w:sz w:val="18"/>
          <w:szCs w:val="18"/>
          <w:color w:val="auto"/>
        </w:rPr>
        <w:t>” means 240,301 shares of Buyer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Cash Amount</w:t>
      </w:r>
      <w:r>
        <w:rPr>
          <w:rFonts w:ascii="Arial" w:cs="Arial" w:eastAsia="Arial" w:hAnsi="Arial"/>
          <w:sz w:val="18"/>
          <w:szCs w:val="18"/>
          <w:color w:val="auto"/>
        </w:rPr>
        <w:t>” means $4,000,000.00.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Cash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Company’s Knowledge</w:t>
      </w:r>
      <w:r>
        <w:rPr>
          <w:rFonts w:ascii="Arial" w:cs="Arial" w:eastAsia="Arial" w:hAnsi="Arial"/>
          <w:sz w:val="17"/>
          <w:szCs w:val="17"/>
          <w:color w:val="auto"/>
        </w:rPr>
        <w:t>” means, after due inquiry into the applicable matter, the knowledge of Benjamin Britton and Joshua Rutherford.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collectively, the Company and each of the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Services and Products</w:t>
      </w:r>
      <w:r>
        <w:rPr>
          <w:rFonts w:ascii="Arial" w:cs="Arial" w:eastAsia="Arial" w:hAnsi="Arial"/>
          <w:sz w:val="18"/>
          <w:szCs w:val="18"/>
          <w:color w:val="auto"/>
        </w:rPr>
        <w:t>” means all service offerings, products, technology or Software that have been, in the past three (3) years, are currently, or that are currently budgeted to be created, developed, marketed, sold, licensed, distributed, supported, or otherwise commercialized by any member of the Company Group.</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means any non-public, confidential or proprietary information relating to Buyer and the Company Group (including the Trade Secrets) regardless of the form in which such information is communicated or maintained.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Contaminants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all contracts, purchase orders, leases, deeds, mortgages, licenses, instruments, notes, commitments, indentures, joint ventures and all other agreements, commitments and legally binding arrangements, in each case, whether written or oral.</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means all works of authorship in any medium of expression and all copyrightable works, whether or not published and whether or not copyrightable, all copyrights (whether registered, unregistered or arising by Law), database and design rights, mask work rights and moral rights, all registrations and applications for registration of such copyrights, and all issuances, extensions and renewals of such registrations and applications.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 means SARS-CoV-2 or COVID-19 and any evolutions thereof or related or associated epidemics, pandemic or disease outbreaks.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 Order, directive, guidelines or recommendations by any Governmental Authority in connection with or in response to COVID-19, including the CARES Act and FFCRA.</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Assets</w:t>
      </w:r>
      <w:r>
        <w:rPr>
          <w:rFonts w:ascii="Arial" w:cs="Arial" w:eastAsia="Arial" w:hAnsi="Arial"/>
          <w:sz w:val="17"/>
          <w:szCs w:val="17"/>
          <w:color w:val="auto"/>
        </w:rPr>
        <w:t>” means Accounts Receivable, inventory and prepaid expenses, but excluding (a) Cash, (b) the portion of any prepaid expense of which Buyer will not receive the benefit following the Closing, (c) deferred Tax assets and (d) receivables from any of the Company Group's Affiliates, managers, employees, officers or members and any of their respective Affiliates, determined in accordance with GAAP.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Liabilities</w:t>
      </w:r>
      <w:r>
        <w:rPr>
          <w:rFonts w:ascii="Arial" w:cs="Arial" w:eastAsia="Arial" w:hAnsi="Arial"/>
          <w:sz w:val="18"/>
          <w:szCs w:val="18"/>
          <w:color w:val="auto"/>
        </w:rPr>
        <w:t>” means accounts payable, accrued Taxes and accrued expenses, but excluding (a) payables to any of the Company Group’s Affiliates, managers, employees, officers or members and any of their respective Affiliates, (b) deferred Tax liabilities, (c) Transaction Expenses, and (d) Indebtedness of the Company Group, determined in accordance with GAAP.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Customization</w:t>
      </w:r>
      <w:r>
        <w:rPr>
          <w:rFonts w:ascii="Arial" w:cs="Arial" w:eastAsia="Arial" w:hAnsi="Arial"/>
          <w:sz w:val="18"/>
          <w:szCs w:val="18"/>
          <w:color w:val="auto"/>
        </w:rPr>
        <w:t>” has the meaning set forth in Section 3.15(e)..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xml:space="preserve">” has the meaning set forth in the preamble of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has the meaning set forth in Section 2.7(b).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 Period</w:t>
      </w:r>
      <w:r>
        <w:rPr>
          <w:rFonts w:ascii="Arial" w:cs="Arial" w:eastAsia="Arial" w:hAnsi="Arial"/>
          <w:sz w:val="18"/>
          <w:szCs w:val="18"/>
          <w:color w:val="auto"/>
        </w:rPr>
        <w:t>” has the meaning set forth in Section 2.7(b).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Domain Names</w:t>
      </w:r>
      <w:r>
        <w:rPr>
          <w:rFonts w:ascii="Arial" w:cs="Arial" w:eastAsia="Arial" w:hAnsi="Arial"/>
          <w:sz w:val="18"/>
          <w:szCs w:val="18"/>
          <w:color w:val="auto"/>
        </w:rPr>
        <w:t>” means all (a) Internet domain names (and underlying registrations), whether or not Trademarks, including those registered in any top level domain by any authorized private registrar or Governmental Authority, (b) websites, web addresses, web pages and related content, (c) accounts with Twitter, Facebook, and other social media companies and the content found thereon and related thereto whether or not it comprises Copyrights, and (d) URLs of any member of the Company Group.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Due Date</w:t>
      </w:r>
      <w:r>
        <w:rPr>
          <w:rFonts w:ascii="Arial" w:cs="Arial" w:eastAsia="Arial" w:hAnsi="Arial"/>
          <w:sz w:val="18"/>
          <w:szCs w:val="18"/>
          <w:color w:val="auto"/>
        </w:rPr>
        <w:t>” means the due date with respect to an applicable Tax Return (taking into account valid extensions).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Buyer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Net Revenues</w:t>
      </w:r>
      <w:r>
        <w:rPr>
          <w:rFonts w:ascii="Arial" w:cs="Arial" w:eastAsia="Arial" w:hAnsi="Arial"/>
          <w:sz w:val="18"/>
          <w:szCs w:val="18"/>
          <w:color w:val="auto"/>
        </w:rPr>
        <w:t xml:space="preserve">” means, with respect to any period, aggregate revenue of the Company Group during such period derived from the sale of the products listed on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Disclosure Schedule, determined using GAAP consistently applied,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(without duplication) (a) discounts, contingent payments, allowances, rebates, returns, refunds and/or credits relating to or originating from sales during such period, and (b) any bad debt write-offs of the Company Group relating to or originating from Eligible Net Revenues, net of bad debt reserves, in each case as reasonably determined in good faith by Buyer.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means those individuals employed by any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Employment Agreements</w:t>
      </w:r>
      <w:r>
        <w:rPr>
          <w:rFonts w:ascii="Arial" w:cs="Arial" w:eastAsia="Arial" w:hAnsi="Arial"/>
          <w:sz w:val="18"/>
          <w:szCs w:val="18"/>
          <w:color w:val="auto"/>
        </w:rPr>
        <w:t>” has the meaning set forth in Section 2.6(a)(viii).</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charge, claim, community property interest, pledge, condition, equitable interest, lien (statutory or other), mechanic’s or materialman’s lien, exclusive license, option, security interest, mortgage, easement, encroachment, right of way, right of first refusal, right of first offer, preemptive right or restriction of any kind, including any restriction on use, voting, transfer, receipt of income or exercise of any other attribute of ownership.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Claim</w:t>
      </w:r>
      <w:r>
        <w:rPr>
          <w:rFonts w:ascii="Arial" w:cs="Arial" w:eastAsia="Arial" w:hAnsi="Arial"/>
          <w:sz w:val="18"/>
          <w:szCs w:val="18"/>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w:t>
      </w:r>
      <w:r>
        <w:rPr>
          <w:rFonts w:ascii="Arial" w:cs="Arial" w:eastAsia="Arial" w:hAnsi="Arial"/>
          <w:sz w:val="17"/>
          <w:szCs w:val="17"/>
          <w:color w:val="auto"/>
        </w:rPr>
        <w:t>” means any applicable Law, and any Governmental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Notice</w:t>
      </w:r>
      <w:r>
        <w:rPr>
          <w:rFonts w:ascii="Arial" w:cs="Arial" w:eastAsia="Arial" w:hAnsi="Arial"/>
          <w:sz w:val="18"/>
          <w:szCs w:val="18"/>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Permit</w:t>
      </w:r>
      <w:r>
        <w:rPr>
          <w:rFonts w:ascii="Arial" w:cs="Arial" w:eastAsia="Arial" w:hAnsi="Arial"/>
          <w:sz w:val="18"/>
          <w:szCs w:val="18"/>
          <w:color w:val="auto"/>
        </w:rPr>
        <w:t>” means any Permit, letter, clearance, consent, waiver, closure, exemption, decision or other action required under or issued, granted, given, authorized by or made pursuant to Environmental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means any: (a) stock, shares, units, membership interests, partnership interests or other equity securities or capital interests;</w:t>
      </w:r>
    </w:p>
    <w:p>
      <w:pPr>
        <w:spacing w:after="0" w:line="46" w:lineRule="exact"/>
        <w:rPr>
          <w:sz w:val="20"/>
          <w:szCs w:val="20"/>
          <w:color w:val="auto"/>
        </w:rPr>
      </w:pPr>
    </w:p>
    <w:p>
      <w:pPr>
        <w:jc w:val="both"/>
        <w:ind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options or other rights to purchase, or otherwise acquire securities described in clause (a) of this definition; (c) equity appreciation rights or units, phantom equity rights, profit participation rights, profits interests or similar rights; and (d) obligations, evidences of indebtedness, or other securities or interests convertible or exchangeable into securities described in clauses (a), (b) or (c) of this definition.</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and all regulations and rules issued thereunder, or any successor Law.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any trade or business that, together with any member of the Company Group, is or was at any relevant time considered to be a single employer under Section 414 of the Code or Section 4001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Working Capital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FFCRA</w:t>
      </w:r>
      <w:r>
        <w:rPr>
          <w:rFonts w:ascii="Arial" w:cs="Arial" w:eastAsia="Arial" w:hAnsi="Arial"/>
          <w:sz w:val="18"/>
          <w:szCs w:val="18"/>
          <w:color w:val="auto"/>
        </w:rPr>
        <w:t>” means the Families First Coronavirus Response Act (Pub. L. 116-127) and any administrative or other guidance published with respect thereto by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Competition Laws</w:t>
      </w:r>
      <w:r>
        <w:rPr>
          <w:rFonts w:ascii="Arial" w:cs="Arial" w:eastAsia="Arial" w:hAnsi="Arial"/>
          <w:sz w:val="18"/>
          <w:szCs w:val="18"/>
          <w:color w:val="auto"/>
        </w:rPr>
        <w:t>” means any antitrust, competition or trade regulatory Laws of a Governmental Authority of a jurisdiction outside of the United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w:t>
      </w:r>
      <w:r>
        <w:rPr>
          <w:rFonts w:ascii="Arial" w:cs="Arial" w:eastAsia="Arial" w:hAnsi="Arial"/>
          <w:sz w:val="18"/>
          <w:szCs w:val="18"/>
          <w:color w:val="auto"/>
        </w:rPr>
        <w:t>” means actual and intentional fraud with respect to the making of representations and warranties herein that constitutes common law fraud under applicable Laws of the Commonwealth of Massachusetts.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 Carveout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Fundamental Representations</w:t>
      </w:r>
      <w:r>
        <w:rPr>
          <w:rFonts w:ascii="Arial" w:cs="Arial" w:eastAsia="Arial" w:hAnsi="Arial"/>
          <w:sz w:val="17"/>
          <w:szCs w:val="17"/>
          <w:color w:val="auto"/>
        </w:rPr>
        <w:t xml:space="preserve">” means the representations and warranties set out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(Organization and Qualification of the Company),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(Authority of the Company),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(Capitalization; Subsidiaries),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(Compliance with Laws; Permits),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(Taxes),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(Intellectual Property), </w:t>
      </w:r>
      <w:r>
        <w:rPr>
          <w:rFonts w:ascii="Arial" w:cs="Arial" w:eastAsia="Arial" w:hAnsi="Arial"/>
          <w:sz w:val="17"/>
          <w:szCs w:val="17"/>
          <w:u w:val="single" w:color="auto"/>
          <w:color w:val="auto"/>
        </w:rPr>
        <w:t>Section 3.19</w:t>
      </w:r>
      <w:r>
        <w:rPr>
          <w:rFonts w:ascii="Arial" w:cs="Arial" w:eastAsia="Arial" w:hAnsi="Arial"/>
          <w:sz w:val="17"/>
          <w:szCs w:val="17"/>
          <w:color w:val="auto"/>
        </w:rPr>
        <w:t xml:space="preserve"> (Employee Benefits),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(Employee Matters), </w:t>
      </w:r>
      <w:r>
        <w:rPr>
          <w:rFonts w:ascii="Arial" w:cs="Arial" w:eastAsia="Arial" w:hAnsi="Arial"/>
          <w:sz w:val="17"/>
          <w:szCs w:val="17"/>
          <w:u w:val="single" w:color="auto"/>
          <w:color w:val="auto"/>
        </w:rPr>
        <w:t>Section 3.26</w:t>
      </w:r>
      <w:r>
        <w:rPr>
          <w:rFonts w:ascii="Arial" w:cs="Arial" w:eastAsia="Arial" w:hAnsi="Arial"/>
          <w:sz w:val="17"/>
          <w:szCs w:val="17"/>
          <w:color w:val="auto"/>
        </w:rPr>
        <w:t xml:space="preserve"> (Brokers), </w:t>
      </w:r>
      <w:r>
        <w:rPr>
          <w:rFonts w:ascii="Arial" w:cs="Arial" w:eastAsia="Arial" w:hAnsi="Arial"/>
          <w:sz w:val="17"/>
          <w:szCs w:val="17"/>
          <w:u w:val="single" w:color="auto"/>
          <w:color w:val="auto"/>
        </w:rPr>
        <w:t>Section 3.27</w:t>
      </w:r>
      <w:r>
        <w:rPr>
          <w:rFonts w:ascii="Arial" w:cs="Arial" w:eastAsia="Arial" w:hAnsi="Arial"/>
          <w:sz w:val="17"/>
          <w:szCs w:val="17"/>
          <w:color w:val="auto"/>
        </w:rPr>
        <w:t xml:space="preserve"> (Environmental Matters),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(Organization and Authority),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(Authority of Buyer) and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(Brokers).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Fully Diluted Company Interest Count</w:t>
      </w:r>
      <w:r>
        <w:rPr>
          <w:rFonts w:ascii="Arial" w:cs="Arial" w:eastAsia="Arial" w:hAnsi="Arial"/>
          <w:sz w:val="17"/>
          <w:szCs w:val="17"/>
          <w:color w:val="auto"/>
        </w:rPr>
        <w:t>” means the aggregate number of Company Interests issued and outstanding at the Closing.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Funds Flow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United States generally accepted accounting principles, as in effect as of the date of this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local or foreign government, governing body, regulatory or administrative authority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court or tribunal of competent jurisdiction or arbitral body (public or private).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Order</w:t>
      </w:r>
      <w:r>
        <w:rPr>
          <w:rFonts w:ascii="Arial" w:cs="Arial" w:eastAsia="Arial" w:hAnsi="Arial"/>
          <w:sz w:val="18"/>
          <w:szCs w:val="18"/>
          <w:color w:val="auto"/>
        </w:rPr>
        <w:t>” means any order, writ, judgment, injunction, decree, stipulation, determination, ruling or award entered by or with any Governmental Authority.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Holdback Buyer Shares</w:t>
      </w:r>
      <w:r>
        <w:rPr>
          <w:rFonts w:ascii="Arial" w:cs="Arial" w:eastAsia="Arial" w:hAnsi="Arial"/>
          <w:sz w:val="18"/>
          <w:szCs w:val="18"/>
          <w:color w:val="auto"/>
        </w:rPr>
        <w:t>” means 88,878 shares of Buyer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Holdback Release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Incidental Inbound Licenses</w:t>
      </w:r>
      <w:r>
        <w:rPr>
          <w:rFonts w:ascii="Arial" w:cs="Arial" w:eastAsia="Arial" w:hAnsi="Arial"/>
          <w:sz w:val="17"/>
          <w:szCs w:val="17"/>
          <w:color w:val="auto"/>
        </w:rPr>
        <w:t>” means any (a) non-disclosure/confidentiality agreement (or other Contract that includes confidentiality provisions) entered into in the Ordinary Course of Business that is not material to the Business and that provides the applicable member of the Company Group no more than a limited, non-exclusive right to access or use Trade Secrets; (b) Contract that authorizes any member of Company Group to identify another Person as a customer, vendor, supplier or partner of such member of the Company Group, if such Contract is an Intellectual Property License solely due to such authorization; (c) Off-the-Shelf Software Licenses; and (d) Open Source Licenses.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Incidental Outbound License</w:t>
      </w:r>
      <w:r>
        <w:rPr>
          <w:rFonts w:ascii="Arial" w:cs="Arial" w:eastAsia="Arial" w:hAnsi="Arial"/>
          <w:sz w:val="16"/>
          <w:szCs w:val="16"/>
          <w:color w:val="auto"/>
        </w:rPr>
        <w:t>” means any (a) non-disclosure/confidentiality agreement entered into in the Ordinary Course of Business that is not material to the Business whereby the applicable member of the Company Group provides another Person no more than a limited, non-exclusive right to access or use Trade Secrets; (b) Contract that authorizes another Person on a non-exclusive basis to identify any member of the Company Group as a customer, vendor, supplier or partner of such Person, if such Contract is an Intellectual Property License solely due to such authorization; (c) Contract with a vendor, contractor or another Person granting such Person the limited, non-exclusive right to use Intellectual Property Assets solely to enable such Person to provide products or services to any member of the Company Group; and (d) Contract with a customer or end-user that provides for the non-exclusive use of any Intellectual Property Assets granted in the Ordinary Course of Business for the use of Company Services and Products.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of any Person means any and all of the following (without duplication): (a) all outstanding obligations of such Person for borrowed money or which have been incurred in connection with the acquisition of property or assets; (b) all Liabilities secured by any Encumbrance (other than a Permitted Encumbrance) upon property or assets owned by such Person, regardless of whether such Person has assumed or become liable for the payment of such Liabilities; (c) all Liabilities created or arising under any conditional sale or other title retention agreement with respect to property acquired by such Person, regardless of whether the rights and remedies of the seller, lender or lessor under such agreement in the event of default are limited to repossession or sale of the property; (d) all lease obligations as lessee under any lease or similar arrangement recorded, or required in accordance with GAAP to be recorded, as a capital or finance lease in the Financial Statements; (e) all Liabilities of such Person in regard to guaranties or sureties by others of such Person’s Liabilities, regardless of whether by payment or performance, or whether such guaranties are in the form of letters of credit, deposits, bonds, insurance or other forms of security, surety or guaranty or indebtedness evidenced by any note, debenture or other debt instrument or debt security; (f) all Liabilities for underfunded employee pension benefit plans and similar obligations, including any unfunded employee 401(k) matching contributions; (g) all unpaid Liabilities for severance payments to the extent not included as Transaction Expenses (and any payroll Taxes payable in connection therewith); (h) all Liabilities for earn out (or similar deferred purchase price) obligations, whether or not such obligations are currently due and payable, including seller notes, post-closing true-up obligations and other similar payments, in each case, calculated as the maximum payable under or pursuant to such obligation; (i) all declared and unpaid dividends; (j) all Liabilities arising out of, or in respect of all interest rate swap agreements, foreign currency exchange agreements or other hedging agreements or arrangements; (k) all Liabilities arising out of, or in respect of all deferred Taxes with respect to any Pre-Closing Tax Period, including any payroll Taxes, under the CARES Act; (l) all Liabilities arising out of, or in respect of all deferred rent;</w:t>
      </w:r>
    </w:p>
    <w:p>
      <w:pPr>
        <w:spacing w:after="0" w:line="11" w:lineRule="exact"/>
        <w:rPr>
          <w:sz w:val="20"/>
          <w:szCs w:val="20"/>
          <w:color w:val="auto"/>
        </w:rPr>
      </w:pPr>
    </w:p>
    <w:p>
      <w:pPr>
        <w:jc w:val="both"/>
        <w:ind w:firstLine="8"/>
        <w:spacing w:after="0" w:line="268" w:lineRule="auto"/>
        <w:tabs>
          <w:tab w:leader="none" w:pos="308"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all Liabilities arising out of, or in respect of, factoring arrangements, (n) all Liabilities for accrued but unpaid interest and unpaid prepayment penalties or premiums, expenses or other amounts that are payable in connection with retirement or prepayment in respect of any of the foregoing (assuming full payment of such liabilities as of the applicable measurement time), (o) all accrued and unused bonuses, commissions, or severance, and any other bonuses and commissions that relate to the period prior to the Closing, irrespective of whether accrued, and in each case the employer Taxes related thereto (including any payroll or other employment Taxes deferred under Section 2302 of the CARES Act); (p) all Liabilities for amounts payable by any member of the Company Group pursuant to any settlement agreement, conciliation or similar arrangement existing at the time of Closing; or (q) any receivables factoring facilities or arrangements;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Indebtedness will not include, or be deemed not to include, those Liabilities of the Company Group that are included in Working Capital or treated as Transaction Expenses to the extent included in the calculation of the Closing Cash Payment and any adjustments thereto.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Purchase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Insurance Policies</w:t>
      </w:r>
      <w:r>
        <w:rPr>
          <w:rFonts w:ascii="Arial" w:cs="Arial" w:eastAsia="Arial" w:hAnsi="Arial"/>
          <w:sz w:val="18"/>
          <w:szCs w:val="18"/>
          <w:color w:val="auto"/>
        </w:rPr>
        <w:t>” has the meaning set forth in Section 3.22.</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all (a)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and (b) all (i) Trademarks; (ii) Domain Names; (iii) Copyrights; (iv) Trade Secrets; (v) patented and patentable designs and inventions, all design, plant and utility patents, letters patent, utility models, certificates of invention, petty patents, pending patent applications and provisional applications and all issuances, divisionals, continuations, continuations-in-part, substitutions, reissues, extensions, reexaminations, restorations and renewals of such patents and applications and any other Governmental Authority issued indicia of invention ownership; (vi) rights of publicity; (vii) Software and all rights and licenses thereto; and (viii) all other intellectual or industrial property and proprietary rights; and (ix) registrations and applications for registrations of the foregoing clauses (i)-(vii); and (x) actions and rights to sue at law or in equity for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Assets</w:t>
      </w:r>
      <w:r>
        <w:rPr>
          <w:rFonts w:ascii="Arial" w:cs="Arial" w:eastAsia="Arial" w:hAnsi="Arial"/>
          <w:sz w:val="18"/>
          <w:szCs w:val="18"/>
          <w:color w:val="auto"/>
        </w:rPr>
        <w:t>” means all Intellectual Property that is (a) owned or purported to be owned by any member of the Company Group (“</w:t>
      </w:r>
      <w:r>
        <w:rPr>
          <w:rFonts w:ascii="Arial" w:cs="Arial" w:eastAsia="Arial" w:hAnsi="Arial"/>
          <w:sz w:val="18"/>
          <w:szCs w:val="18"/>
          <w:b w:val="1"/>
          <w:bCs w:val="1"/>
          <w:i w:val="1"/>
          <w:iCs w:val="1"/>
          <w:color w:val="auto"/>
        </w:rPr>
        <w:t>Owned IP</w:t>
      </w:r>
      <w:r>
        <w:rPr>
          <w:rFonts w:ascii="Arial" w:cs="Arial" w:eastAsia="Arial" w:hAnsi="Arial"/>
          <w:sz w:val="18"/>
          <w:szCs w:val="18"/>
          <w:color w:val="auto"/>
        </w:rPr>
        <w:t>”), or (b) owned by another Person and used in or necessary for the conduct of the Business.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Licenses</w:t>
      </w:r>
      <w:r>
        <w:rPr>
          <w:rFonts w:ascii="Arial" w:cs="Arial" w:eastAsia="Arial" w:hAnsi="Arial"/>
          <w:sz w:val="16"/>
          <w:szCs w:val="16"/>
          <w:color w:val="auto"/>
        </w:rPr>
        <w:t>” means (a) all licenses, sublicenses consent to use agreements, settlements, coexistence agreements, covenants not to sue, permissions and other Contracts (including any right to receive or obligation to pay royalties or any other consideration), whether written or oral and that remain in effect, relating to any Intellectual Property Asset, and (b) other Contracts that remain in effect to which any member of the Company Group is a party, beneficiary, or bound (i) affecting any member of the Company Group’s ability to own, enforce, use, license or disclose any Intellectual Property Asset or (ii) providing for the development of any Intellectual Property by any member of the Company Group, but in the case of each of (a) and (b), excluding any Incidental Outbound Licenses, Incidental Inbound Licenses or Standard Employee Invention Agreements.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Registration</w:t>
      </w:r>
      <w:r>
        <w:rPr>
          <w:rFonts w:ascii="Arial" w:cs="Arial" w:eastAsia="Arial" w:hAnsi="Arial"/>
          <w:sz w:val="18"/>
          <w:szCs w:val="18"/>
          <w:color w:val="auto"/>
        </w:rPr>
        <w:t>” means any Owned IP that is currently registered with any Governmental Authority or authorized private registrar in any jurisdiction, or the subject of a pending application for registration, including registered Trademarks, Domain Names and Copyrights, issued and reissued patents and pending applications for any of the foregoing.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Members</w:t>
      </w:r>
      <w:r>
        <w:rPr>
          <w:rFonts w:ascii="Arial" w:cs="Arial" w:eastAsia="Arial" w:hAnsi="Arial"/>
          <w:sz w:val="18"/>
          <w:szCs w:val="18"/>
          <w:color w:val="auto"/>
        </w:rPr>
        <w:t>” means Benjamin Britton and Joshua Rutherford.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Labor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Latest 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Latest Balance Sheet Date</w:t>
      </w:r>
      <w:r>
        <w:rPr>
          <w:rFonts w:ascii="Arial" w:cs="Arial" w:eastAsia="Arial" w:hAnsi="Arial"/>
          <w:sz w:val="18"/>
          <w:szCs w:val="18"/>
          <w:color w:val="auto"/>
        </w:rPr>
        <w:t>” means the date of the Latest Balance Sheet.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act, ordinance, regulation, rule, code, order, constitution, treaty, common law, judgment, injunction, ruling, award, decree, writ, or other requirement or rule of law of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Leasehold Improvements</w:t>
      </w:r>
      <w:r>
        <w:rPr>
          <w:rFonts w:ascii="Arial" w:cs="Arial" w:eastAsia="Arial" w:hAnsi="Arial"/>
          <w:sz w:val="18"/>
          <w:szCs w:val="18"/>
          <w:color w:val="auto"/>
        </w:rPr>
        <w:t>” means all buildings, structures, improvements and fixtures, building systems and equipment, and all components thereof, located on any Leased Real Property which are owned or leased by any member of Company Group, regardless of whether title to such buildings, structures, improvements or fixtures are subject to reversion to the landlord or other third party upon the expiration or termination of the Lease for such Leased Real Property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means liabilities, obligations, debts, Taxes, costs, expenses or commitments of any nature whatsoever, whether asserted or unasserted, known or unknown, absolute or contingent, accrued or unaccrued, matured or unmatured, liquidated or unliquidated, due or to become due or otherwise, including any liabilities, contributions obligations, debts, Taxes, costs, expenses or commitments of any nature whatsoever relating to any Benefit Plans, for the period ending on the Closing Date.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means all charges, complaints, actions, suits, proceedings, hearings, investigations, demands, costs of defense, judgments, orders, decrees, stipulations, injunctions, damages, dues, penalties, fines, costs, amounts paid in settlement, Liabilities, losses, expenses and fees (including all reasonable attorneys’ fees and court costs); </w:t>
      </w:r>
      <w:r>
        <w:rPr>
          <w:rFonts w:ascii="Arial" w:cs="Arial" w:eastAsia="Arial" w:hAnsi="Arial"/>
          <w:sz w:val="18"/>
          <w:szCs w:val="18"/>
          <w:i w:val="1"/>
          <w:iCs w:val="1"/>
          <w:color w:val="auto"/>
        </w:rPr>
        <w:t>provided, however</w:t>
      </w:r>
      <w:r>
        <w:rPr>
          <w:rFonts w:ascii="Arial" w:cs="Arial" w:eastAsia="Arial" w:hAnsi="Arial"/>
          <w:sz w:val="18"/>
          <w:szCs w:val="18"/>
          <w:color w:val="auto"/>
        </w:rPr>
        <w:t>, that “Losses” shall not include, and an Indemnified Party shall not be entitled to seek or recover from any Indemnifying Party under any theory of Liability, any punitive or special damages except to the extent such punitive or special damages are payable to a third party.</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xml:space="preserve">” means any event, occurrence, fact, condition or change that is, or would reasonably be expected, individually or in the aggregate, to have (a) a material adverse effect on the Business, assets, financial condition or results of operations of the Company Group, taken as a whole, or (b) prevent or materially delay the consummation of the transactions contemplated hereby;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purposes of clause (a) of the foregoing, any events, occurrences, facts, conditions or changes resulting from the following items shall not be considered when determining whether a Material Adverse Effect has occurred: (i) changes in economic, political, regulatory, financial or capital markets conditions generally or in the industries in which the Company Group operates, including to the extent resulting from, arising out of or relating to any epidemic, pandemic or disease outbreak (including the COVID-19 virus); (ii) any acts of war, sabotage or terrorist activities; (iii) effects of weather or meteorological events; (iv) any change of Law, accounting standards or regulatory policy after the date of this Agreement; (v) any actions required or permitted to be taken or omitted pursuant to this Agreement or the other transaction documents contemplated hereby; (vi) any failure by the Company Group to meet projections or forecasts or revenue or earnings predictions for any period (but, for the purposes of clarity, not the underlying cause of such failure); or (vii) the announcement, pendency or consummation of the transactions contemplated hereby, except with respect to clauses (i), (ii), (iii) or (iv) above, if any such event, occurrence, fact, condition or change materially and disproportionately affects the Company Group, taken as a whole, relative to other similar participants in the industries in which the Company Group participates.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Non-Accredited Investors</w:t>
      </w:r>
      <w:r>
        <w:rPr>
          <w:rFonts w:ascii="Arial" w:cs="Arial" w:eastAsia="Arial" w:hAnsi="Arial"/>
          <w:sz w:val="18"/>
          <w:szCs w:val="18"/>
          <w:color w:val="auto"/>
        </w:rPr>
        <w:t>” means the Members set forth on Section 1.1(c) of the Disclosure Schedule.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Off-the-Shelf Software Licenses</w:t>
      </w:r>
      <w:r>
        <w:rPr>
          <w:rFonts w:ascii="Arial" w:cs="Arial" w:eastAsia="Arial" w:hAnsi="Arial"/>
          <w:sz w:val="18"/>
          <w:szCs w:val="18"/>
          <w:color w:val="auto"/>
        </w:rPr>
        <w:t>” means non-exclusive licenses granted to any member of the Company Group in respect of commercially available, unmodified, off-the-shelf third-party Software.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Open Source License</w:t>
      </w:r>
      <w:r>
        <w:rPr>
          <w:rFonts w:ascii="Arial" w:cs="Arial" w:eastAsia="Arial" w:hAnsi="Arial"/>
          <w:sz w:val="16"/>
          <w:szCs w:val="16"/>
          <w:color w:val="auto"/>
        </w:rPr>
        <w:t>” means any license (a) meeting the Open Source Definition (as promulgated by the Open Source Initiative) or the Free Software Definition (as promulgated by the Free Software Foundation), or any substantially similar license, including but not limited to any license approved by the Open Source Initiative, or any Creative Commons License, or (b) that requires, or that includes as a condition of use or other grant of rights, that any materials, software or other technology incorporated into, derived from, used with, or distributed with such materials: (i) in the case of Software, be made available or distributed in a form other than binary (e.g., source code form), (ii) be licensed for the purpose of preparing derivative works, (iii) be licensed under terms that allow Company Services and Products or portions thereof or interfaces therefor to be reverse engineered, reverse assembled or disassembled (other than by operation of law) or (iv) be redistributable at no license fee (each of (i) through (iv), “</w:t>
      </w:r>
      <w:r>
        <w:rPr>
          <w:rFonts w:ascii="Arial" w:cs="Arial" w:eastAsia="Arial" w:hAnsi="Arial"/>
          <w:sz w:val="16"/>
          <w:szCs w:val="16"/>
          <w:b w:val="1"/>
          <w:bCs w:val="1"/>
          <w:i w:val="1"/>
          <w:iCs w:val="1"/>
          <w:color w:val="auto"/>
        </w:rPr>
        <w:t>Copyleft Licenses</w:t>
      </w:r>
      <w:r>
        <w:rPr>
          <w:rFonts w:ascii="Arial" w:cs="Arial" w:eastAsia="Arial" w:hAnsi="Arial"/>
          <w:sz w:val="16"/>
          <w:szCs w:val="16"/>
          <w:color w:val="auto"/>
        </w:rPr>
        <w:t>”). Open Source Licenses include the GNU General Public License, the GNU Lesser General Public License, the Mozilla Public License, the Common Development and Distribution License, the Eclipse Public License, the Server Side Public License, and all Creative Commons “share alike” licenses.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 Materials</w:t>
      </w:r>
      <w:r>
        <w:rPr>
          <w:rFonts w:ascii="Arial" w:cs="Arial" w:eastAsia="Arial" w:hAnsi="Arial"/>
          <w:sz w:val="18"/>
          <w:szCs w:val="18"/>
          <w:color w:val="auto"/>
        </w:rPr>
        <w:t>” means any software or other technology subject to an Open Source License.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in respect of a Person, the ordinary course of business of such Person, consistent with past customs and practices (including as to frequency and amount).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Documents</w:t>
      </w:r>
      <w:r>
        <w:rPr>
          <w:rFonts w:ascii="Arial" w:cs="Arial" w:eastAsia="Arial" w:hAnsi="Arial"/>
          <w:sz w:val="17"/>
          <w:szCs w:val="17"/>
          <w:color w:val="auto"/>
        </w:rPr>
        <w:t>” means: (a) with respect to a corporation, the certificate or articles of incorporation and bylaws; (b) with respect to any other entity, each charter, certificate of formation, partnership agreement, joint venture agreement, operating agreement and similar document, adopted or filed in connection with the creation, formation or organization of such entity; and (c) any amendment to any of the foregoing.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have the meanings set forth in the Preamble.</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Payoff Letters</w:t>
      </w:r>
      <w:r>
        <w:rPr>
          <w:rFonts w:ascii="Arial" w:cs="Arial" w:eastAsia="Arial" w:hAnsi="Arial"/>
          <w:sz w:val="16"/>
          <w:szCs w:val="16"/>
          <w:color w:val="auto"/>
        </w:rPr>
        <w:t>” means payoff letters executed by each holder of Indebtedness of the Company Group which sets forth: (a) the amount required to repay in full all the Indebtedness owed to such holder at the Closing; (b) the wire transfer instructions for the repayment of such Indebtedness to such holder; and (c) a release of all Encumbrances held by such holder on the assets of the Company Group otherwise arising with respect to such Indebtedness.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 and IRS Notice 2021-11).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Value</w:t>
      </w:r>
      <w:r>
        <w:rPr>
          <w:rFonts w:ascii="Arial" w:cs="Arial" w:eastAsia="Arial" w:hAnsi="Arial"/>
          <w:sz w:val="18"/>
          <w:szCs w:val="18"/>
          <w:color w:val="auto"/>
        </w:rPr>
        <w:t>” means $15.1893.</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Taxes</w:t>
      </w:r>
      <w:r>
        <w:rPr>
          <w:rFonts w:ascii="Arial" w:cs="Arial" w:eastAsia="Arial" w:hAnsi="Arial"/>
          <w:sz w:val="18"/>
          <w:szCs w:val="18"/>
          <w:color w:val="auto"/>
        </w:rPr>
        <w:t xml:space="preserve">” means property and similar ad valorem Taxes imposed on a periodic basis with respect to the assets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Periodic Taxes shall not include any Taxes based on income, payroll or receipts, or imposed in connection with the sale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property, including for the avoidance of doubt, Transfer Taxes.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Permits</w:t>
      </w:r>
      <w:r>
        <w:rPr>
          <w:rFonts w:ascii="Arial" w:cs="Arial" w:eastAsia="Arial" w:hAnsi="Arial"/>
          <w:sz w:val="18"/>
          <w:szCs w:val="18"/>
          <w:color w:val="auto"/>
        </w:rPr>
        <w:t>” means all permits, licenses, franchises, approvals, authorizations, registrations, certificates, variances and similar rights obtained, or required to be obtained, from Governmental Authorities.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means: (a) statutory liens for Taxes not yet due for which adequate reserves with respect thereto are maintained on the books of the Company Group; (b) statutory liens of landlords, carriers, warehousemen, mechanics and materialmen for sums not yet due incurred in the Ordinary Course of Business and for which adequate reserves with respect thereto are maintained on the books of the Company Group; (c) liens incurred or deposits made in the Ordinary Course of Business in connection with workers’ compensation, unemployment insurance and other types of social security;</w:t>
      </w:r>
    </w:p>
    <w:p>
      <w:pPr>
        <w:spacing w:after="0" w:line="1" w:lineRule="exact"/>
        <w:rPr>
          <w:sz w:val="20"/>
          <w:szCs w:val="20"/>
          <w:color w:val="auto"/>
        </w:rPr>
      </w:pPr>
    </w:p>
    <w:p>
      <w:pPr>
        <w:jc w:val="both"/>
        <w:ind w:firstLine="8"/>
        <w:spacing w:after="0" w:line="253"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with respect to Owned IP, imperfections or irregularities of title that do not and would not, individually or in the aggregate, materially detract from the value of, or materially interfere with, the present use and enjoyment of the asset or property subject thereto or affected thereby; (e) non-exclusive licenses to Intellectual Property Assets granted by any member of the Company Group in the Ordinary Course of Business, or (f) Encumbrances created by Buyer.</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bank, trust, association or other entity, whether or not legal entities.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means data that identifies, is relating to, describes, is reasonably capable of being associated with, or could reasonably be linked, directly or indirectly, with a particular identified or identifiable natural person, household, or device, including any payment card information, taxpayer identification or social security number, educational records, or other identifying, behavioral or sensitive information which would be reasonably expected to be kept confidential or subject to restricted use, including any information defined as “personal data”, “personally identifiable information”, “individually identifiable health information”, or “personal information” protected under any relevant data privacy or data security Law and any personal information subject to privacy or security requirements under any written agreement between any member of the Company Group and any third party.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Data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all taxable periods ending on or before the Closing Date and the portion of any Straddle Period through the close of business on the Closing Date.</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Taxes</w:t>
      </w:r>
      <w:r>
        <w:rPr>
          <w:rFonts w:ascii="Arial" w:cs="Arial" w:eastAsia="Arial" w:hAnsi="Arial"/>
          <w:sz w:val="16"/>
          <w:szCs w:val="16"/>
          <w:color w:val="auto"/>
        </w:rPr>
        <w:t xml:space="preserve">” means, without duplication: (a) any and all Taxes of or imposed on any member of the Company Group for any and all Pre-Closing Tax Periods (determined for any Straddle Period, in accordance with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including (i) all liabilities for Taxes under Code Sections 951, 951A, or 965 (including any installments of Tax payable with respect to any election under Code Section 965(h) (or any applicable guidance issued with respect thereto)) and (ii) any payroll Taxes deferred under the CARES Act or the Payroll Tax Executive Order; (b) any and all Taxes of an “affiliated group” (as defined in Section 1504 of the Code) (or affiliated, consolidated, unitary, combined or similar group under applicable state, local or foreign Law) of which any member of the Company Group (or any predecessor of any such Person) is or was a member on or prior to the Closing Date, including pursuant to Treasury Regulations Section 1.1502-6 (or any predecessor or successor thereof or any analogous or similar state, local, or foreign Law); (c) any and all Taxes of or imposed on any member of the Company Group, including Taxes of any member of the Company Group imposed on Buyer or any of its affiliates, as a result of transferee, successor or similar liability (including bulk transfer or similar Laws) or pursuant to any Law or otherwise, which Taxes relate to an event or transaction (including transactions contemplated by this Agreement) occurring on or before the Closing Date; (d) any and all Transfer Taxes required to be paid by the Company pursuant to </w:t>
      </w:r>
      <w:r>
        <w:rPr>
          <w:rFonts w:ascii="Arial" w:cs="Arial" w:eastAsia="Arial" w:hAnsi="Arial"/>
          <w:sz w:val="16"/>
          <w:szCs w:val="16"/>
          <w:u w:val="single" w:color="auto"/>
          <w:color w:val="auto"/>
        </w:rPr>
        <w:t>Section 7.5</w:t>
      </w:r>
      <w:r>
        <w:rPr>
          <w:rFonts w:ascii="Arial" w:cs="Arial" w:eastAsia="Arial" w:hAnsi="Arial"/>
          <w:sz w:val="16"/>
          <w:szCs w:val="16"/>
          <w:color w:val="auto"/>
        </w:rPr>
        <w:t>; (e) any and all withholding Taxes required to be deducted and withheld with respect to payments made by Buyer to the Members (or by the Company to the Members) pursuant to applicable Tax laws in connection with the transactions contemplated pursuant to this Agreement (to the extent such Taxes are not actually withheld); and (f) any and all amounts required to be paid by any member of the Company Group pursuant to any Tax Sharing Agreement (that such member of the Company Group was a party to on the Closing Date), except that Pre-Closing Taxes shall not include any Taxes that are specifically included in the calculations of Actual Working Capital, Transaction Expenses, or Actual Indebtedness (each as finally determined hereunder). Notwithstanding the foregoing, Pre-Closing Taxes will not include Taxes of or imposed on any member of the Company Group attributable to transactions that are not contemplated by this agreement and that occur (or are deemed to occur) after the Closing outside the Ordinary Course of Business on the Closing Date.</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Rata Portion</w:t>
      </w:r>
      <w:r>
        <w:rPr>
          <w:rFonts w:ascii="Arial" w:cs="Arial" w:eastAsia="Arial" w:hAnsi="Arial"/>
          <w:sz w:val="16"/>
          <w:szCs w:val="16"/>
          <w:color w:val="auto"/>
        </w:rPr>
        <w:t xml:space="preserve">” means, as to each Member, the percentage set forth next to such Person’s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(a) the sum (without duplication) of the aggregate number of Company Interests owned by such holder as of the Closing,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(b) the Fully Diluted Company Interest Count. For the avoidance of doubt, the aggregate Pro Rata Portion of all Members shall at all times equal one hundred percent (100%).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Proceeds Excess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2.7(d)(i)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Processed</w:t>
      </w:r>
      <w:r>
        <w:rPr>
          <w:rFonts w:ascii="Arial" w:cs="Arial" w:eastAsia="Arial" w:hAnsi="Arial"/>
          <w:sz w:val="18"/>
          <w:szCs w:val="18"/>
          <w:color w:val="auto"/>
        </w:rPr>
        <w:t>”) means any (i) operation or set of operations which is performed on data or information, or on sets thereof, or (ii) access, collection, use, processing, storage, sharing, distribution, transfer, disclosure, sorting, treatment, manipulation, enhancement, aggregation, destruction, security or disposal of any data (including Personal Data) or information or collections thereof, or set thereof, or any Business System.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Real Property</w:t>
      </w:r>
      <w:r>
        <w:rPr>
          <w:rFonts w:ascii="Arial" w:cs="Arial" w:eastAsia="Arial" w:hAnsi="Arial"/>
          <w:sz w:val="18"/>
          <w:szCs w:val="18"/>
          <w:color w:val="auto"/>
        </w:rPr>
        <w:t>” means all rights and interests in or to real property, including fee estates, leaseholds, subleaseholds, easements and licenses, together with all buildings, structures, facilities and other improvements located thereon.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Released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Sanctioned Country</w:t>
      </w:r>
      <w:r>
        <w:rPr>
          <w:rFonts w:ascii="Arial" w:cs="Arial" w:eastAsia="Arial" w:hAnsi="Arial"/>
          <w:sz w:val="16"/>
          <w:szCs w:val="16"/>
          <w:color w:val="auto"/>
        </w:rPr>
        <w:t>” means a country or territory which is currently or has in the last five years been itself the subject of or target of any Sanctions and Export Control Laws (at the time of this Agreement, the Crimea region of Ukraine, Cuba, Iran, North Korea, Venezuela, Sudan and Syria).</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Sanctioned Person</w:t>
      </w:r>
      <w:r>
        <w:rPr>
          <w:rFonts w:ascii="Arial" w:cs="Arial" w:eastAsia="Arial" w:hAnsi="Arial"/>
          <w:sz w:val="18"/>
          <w:szCs w:val="18"/>
          <w:color w:val="auto"/>
        </w:rPr>
        <w:t>” means a Person (a) listed on any Sanctions and Export Control Laws-related list of designated Persons maintained by a Governmental Authority, (b) greater than 50% owned or controlled by one or more Persons described in clause (a) above, or (c) located, organized, or resident in a Sanctioned Country.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and Export Control Laws</w:t>
      </w:r>
      <w:r>
        <w:rPr>
          <w:rFonts w:ascii="Arial" w:cs="Arial" w:eastAsia="Arial" w:hAnsi="Arial"/>
          <w:sz w:val="18"/>
          <w:szCs w:val="18"/>
          <w:color w:val="auto"/>
        </w:rPr>
        <w:t>” means any Law in any part of the world related to (a) export controls, including the U.S. Export Administration Regulations and the International Traffic in Arms Regulations, (b) economic sanctions, including those administered by the Office of Foreign Assets Control of the U.S. Department of the Treasury, the U.S. Department of State, the European Union, any European Union Member State, the United Nations, and Her Majesty’s Treasury of the United Kingdom, or (c) import controls, including those administered by the U.S. Customs and Border Protection.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Incident</w:t>
      </w:r>
      <w:r>
        <w:rPr>
          <w:rFonts w:ascii="Arial" w:cs="Arial" w:eastAsia="Arial" w:hAnsi="Arial"/>
          <w:sz w:val="18"/>
          <w:szCs w:val="18"/>
          <w:color w:val="auto"/>
        </w:rPr>
        <w:t>” means an actual or suspected cyber or security incident that could have an adverse effect on a system (including Business Systems) or any Personal Data (including any Personal Data Processed, stored, or transmitted thereby or contained therein), including an occurrence that actually jeopardizes the confidentiality, integrity, or availability of, or the actual or alleged loss or unauthorized use, acquisition, or access, or other processing, or impairment of access to, a Business System or any Personal Data. A Security Incident includes incidents of security breaches or intrusions, or denial of service, or any unauthorized Processing of any Business Systems or Personal Data, or any loss, distribution, compromise or unauthorized disclosure of any of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Software</w:t>
      </w:r>
      <w:r>
        <w:rPr>
          <w:rFonts w:ascii="Arial" w:cs="Arial" w:eastAsia="Arial" w:hAnsi="Arial"/>
          <w:sz w:val="18"/>
          <w:szCs w:val="18"/>
          <w:color w:val="auto"/>
        </w:rPr>
        <w:t>” means any (a) computer program or software (including any software implementations of algorithms, applications, utilities, development tools, embedded systems, models and methodologies, whether in Source Code or object code or executable code), (b) any computer database and computer compilation (including any data and collections of data, whether machine readable or otherwise), and (c) all documentation and work product related to, or used to design, plan, organize or develop, any of the foregoing.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8"/>
          <w:szCs w:val="18"/>
          <w:color w:val="auto"/>
        </w:rPr>
        <w:t>” means computer software and code, in a form other than object code form, including related documentation and programmer comments and annotations, which may be printed out or displayed in human readable form or otherwise (including (a) such statements in batch or scripting languages, (b) hardware definition languages such as VHDL and (c) firmware code).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Employee Invention Agreements</w:t>
      </w:r>
      <w:r>
        <w:rPr>
          <w:rFonts w:ascii="Arial" w:cs="Arial" w:eastAsia="Arial" w:hAnsi="Arial"/>
          <w:sz w:val="18"/>
          <w:szCs w:val="18"/>
          <w:color w:val="auto"/>
        </w:rPr>
        <w:t>” means all Contracts pursuant to which current Employees and former employees of each member of the Company Group (a) assigned to the applicable member of the Company Group any ownership interest and right they may have had in the Owned IP or Intellectual Property Registrations, and (b) covenanted not to disclose, and to otherwise maintain the confidentiality of, the Confidential Information of the applicable member of the Company Group.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Pure Services LLC.</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(a) taxes, charges, withholdings, fees, levies, imposts, duties and governmental fees or other like assessments or charges of any kind whatsoever in the nature of taxes imposed by any United States federal, state, local or foreign or other Governmental Authority (including those related to income and net income (including all income taxes), gross income, receipts, capital, windfall profit, severance, property (real and personal), production, sales, goods and services, use, business and occupation, license, excise, registration, franchise, employment, payroll (including social security contributions), deductions at source, withholding, alternative or add-on minimum, intangibles, ad valorem, transfer, gains, stamp, customs, duties, estimated, transaction, title, capital, paid-up capital, profits, premium, value added, recording, inventory and merchandise, business privilege, federal highway use, commercial rent or environmental tax, and any liability under unclaimed property, escheat, or similar Laws); (b) interest, penalties, fines, additions to tax or additional amounts imposed by any Taxing Authority in connection with (i) any item described in clause (a) or (ii) the failure to comply with any requirement imposed with respect to any Tax Return; and (c) liability in respect of any items described in clause (a) and/or (b) payable by reason of Contract (including any Tax Sharing Agreement, but excluding any customary commercial agreement, such as a lease, the principal purpose of which does not relate to Taxes), assumption, transferee, successor or similar liability (including bulk sales and similar liability), or operation of law (including pursuant to Treasury Regulations Section 1.1502-6 (or any predecessor or successor thereof or any analogous or similar state, local, or foreign Law)).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Contest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form, report, claim, informational return or statement required to be filed with any Governmental Authority with respect to Taxes, including any schedule or attachment thereto or amendment thereof.</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means any Tax indemnity agreement, Tax sharing agreement, Tax allocation agreement or similar Contract or arrangement, whether written or unwritten (including any such agreement, Contract or arrangement included in any purchase or sale agreement, merger agreement, or joint venture agreement or other document) or any Contract relating or attributable to Taxes with any Taxing Authority, but excluding any customary commercial agreement, such as a lease, the principal purpose of which does not relate to Taxes).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means, with respect to any Tax or Tax Return, the Governmental Authority that imposes such Tax or requires a Person to file such Tax Return and the agency (if any) charged with the collection of such Tax or the administration of such Tax Return, in each case, for such Governmental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means all countries worldwide.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Trade Controls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information and materials not generally known to the public, including a formula, pattern, compilation, program, device,</w:t>
      </w:r>
      <w:r>
        <w:rPr>
          <w:rFonts w:ascii="Arial" w:cs="Arial" w:eastAsia="Arial" w:hAnsi="Arial"/>
          <w:sz w:val="16"/>
          <w:szCs w:val="16"/>
          <w:i w:val="1"/>
          <w:iCs w:val="1"/>
          <w:color w:val="auto"/>
        </w:rPr>
        <w:t xml:space="preserve"> </w:t>
      </w:r>
      <w:r>
        <w:rPr>
          <w:rFonts w:ascii="Arial" w:cs="Arial" w:eastAsia="Arial" w:hAnsi="Arial"/>
          <w:sz w:val="16"/>
          <w:szCs w:val="16"/>
          <w:color w:val="auto"/>
        </w:rPr>
        <w:t>method, technique, drawing, process, financial data, financial plan, product plan, list of actual or potential customers or suppliers, or other information similar to any of the foregoing, in each case, only to the extent any of the foregoing derives economic value, actual or potential, from not being generally known to, and not being readily ascertainable by proper means by, other persons who can derive economic value from its disclosure or use.</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Trademarks</w:t>
      </w:r>
      <w:r>
        <w:rPr>
          <w:rFonts w:ascii="Arial" w:cs="Arial" w:eastAsia="Arial" w:hAnsi="Arial"/>
          <w:sz w:val="17"/>
          <w:szCs w:val="17"/>
          <w:color w:val="auto"/>
        </w:rPr>
        <w:t>” means all trademarks, service marks, trade names, brand names, logos, trade dress, design rights, vanity telephone numbers, and other similar designations of source, sponsorship, association or origin, together with the goodwill connected with the use of and symbolized by any of the foregoing, whether registered, unregistered or arising by Law, and all registrations and applications for registration of the foregoing, including intent-to-use applications, and all issuances, extensions and renewals of such registrations and applications.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Employment Agreements and all of the other agreements, certificates, instruments and other documents to be executed and delivered by the Company, the Member Representative, the Buyer or the Members in connection with the transactions contemplated by this Agreement.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Expenses</w:t>
      </w:r>
      <w:r>
        <w:rPr>
          <w:rFonts w:ascii="Arial" w:cs="Arial" w:eastAsia="Arial" w:hAnsi="Arial"/>
          <w:sz w:val="17"/>
          <w:szCs w:val="17"/>
          <w:color w:val="auto"/>
        </w:rPr>
        <w:t>” means (without duplication), in each case to the extent outstanding as of immediately prior to the Closing: (a) all fees, costs and expenses, incurred by or on behalf of any member of the Company Group in connection with the process of selling the Company Interests or otherwise relating to the negotiation, preparation or execution of this Agreement, the Transaction Documents or any other documents or agreements contemplated hereby or thereby or the performance or consummation of the transactions contemplated hereby or thereby including all investment banking, legal, accounting and other advisor or service provider fees, costs and expenses in connection therewith; (b) Liabilities to any current or former officer, director, manager, employee, member or Affiliate of any member of the Company Group as a result of or in connection with the consummation of the transactions contemplated hereby (whether or not such Liability is immediately due and payable upon consummation of the transactions contemplated hereby), including retention payments, change of control payments, severance payments and transaction bonus payments (but, for the avoidance of doubt, excluding any payments expressly contemplated hereunder); (c) the employer portion of any employment or payroll Taxes related to any of the foregoing payments or any other payments contemplated by this Agreement, and any amounts payable to offset or gross-up any excise or income Taxes attributable thereto, and in each case, determined as if no deferral (if any) of such Taxes has occurred as permitted by the CARES Act; and (d) all Transfer Taxes. Notwithstanding the foregoing, Transaction Expenses shall not include any items included in the calculation of Working Capital or as a Liability in Indebtedness.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Invoices</w:t>
      </w:r>
      <w:r>
        <w:rPr>
          <w:rFonts w:ascii="Arial" w:cs="Arial" w:eastAsia="Arial" w:hAnsi="Arial"/>
          <w:sz w:val="18"/>
          <w:szCs w:val="18"/>
          <w:color w:val="auto"/>
        </w:rPr>
        <w:t>” means collectively, an invoice issued by each creditor of Transaction Expenses that is a service provider to be paid at the Closing and a calculation by the Members of all Transfer Taxes (if any) arising from the transactions contemplated by this Agreement, in each case which sets forth: (a) the amount required to pay in full all Transaction Expenses or Transfer Taxes owed to such creditor or Governmental Authority on the Closing Date; and (b) the wire transfer instructions for the payment of such Transaction Expenses or Transfer Taxes to such creditor or Governmental Authority.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Treasury regulations promulgated under the Code, as such Treasury Regulations may be amended from time to time. Any reference herein to a particular provision of the Treasury Regulations means, where appropriate, the corresponding successor provision.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True-Up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Working Capital</w:t>
      </w:r>
      <w:r>
        <w:rPr>
          <w:rFonts w:ascii="Arial" w:cs="Arial" w:eastAsia="Arial" w:hAnsi="Arial"/>
          <w:sz w:val="16"/>
          <w:szCs w:val="16"/>
          <w:color w:val="auto"/>
        </w:rPr>
        <w:t xml:space="preserve">” means, as of a specific time, a Dollar amount representing, without duplication, (a) Current Assets of the Company Group, </w:t>
      </w:r>
      <w:r>
        <w:rPr>
          <w:rFonts w:ascii="Arial" w:cs="Arial" w:eastAsia="Arial" w:hAnsi="Arial"/>
          <w:sz w:val="16"/>
          <w:szCs w:val="16"/>
          <w:u w:val="single" w:color="auto"/>
          <w:color w:val="auto"/>
        </w:rPr>
        <w:t>less</w:t>
      </w:r>
    </w:p>
    <w:p>
      <w:pPr>
        <w:spacing w:after="0" w:line="46" w:lineRule="exact"/>
        <w:rPr>
          <w:sz w:val="20"/>
          <w:szCs w:val="20"/>
          <w:color w:val="auto"/>
        </w:rPr>
      </w:pPr>
    </w:p>
    <w:p>
      <w:pPr>
        <w:ind w:firstLine="8"/>
        <w:spacing w:after="0" w:line="260" w:lineRule="auto"/>
        <w:tabs>
          <w:tab w:leader="none" w:pos="282"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Liabilities of the Company Group, all as determined in accordance with GAAP. Exhibit B sets forth an example of, and method for, the calculation of Working Capital based on the Accounting Principles of the Company Group.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Target</w:t>
      </w:r>
      <w:r>
        <w:rPr>
          <w:rFonts w:ascii="Arial" w:cs="Arial" w:eastAsia="Arial" w:hAnsi="Arial"/>
          <w:sz w:val="18"/>
          <w:szCs w:val="18"/>
          <w:color w:val="auto"/>
        </w:rPr>
        <w:t>” means $351,818.26.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Purchase of Equity; Treatment of Company Securities</w:t>
      </w:r>
      <w:r>
        <w:rPr>
          <w:rFonts w:ascii="Arial" w:cs="Arial" w:eastAsia="Arial" w:hAnsi="Arial"/>
          <w:sz w:val="17"/>
          <w:szCs w:val="17"/>
          <w:color w:val="auto"/>
        </w:rPr>
        <w:t>. Subject to the terms and conditions set forth herein, at the Closing, the Members shall sell, transfer, convey, assign and deliver to Buyer, and Buyer shall purchase from the Members, all of the Company Interests, free and clear of all Encumbrances, which Company Interests shall comprise all of the issued and outstanding equity interests of the Company such that immediately after the consummation of such purchase and sale the Company shall be a wholly-owned subsidiary of Buyer.</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Subject to the provisions of this Agreement, the aggregate consideration for the Company Interests shall consist of (a) the Closing Cash Amount, subject to adjustment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 (b) the Closing Buyer Shares (together with the Closing Cash Amount, the “</w:t>
      </w:r>
      <w:r>
        <w:rPr>
          <w:rFonts w:ascii="Arial" w:cs="Arial" w:eastAsia="Arial" w:hAnsi="Arial"/>
          <w:sz w:val="17"/>
          <w:szCs w:val="17"/>
          <w:b w:val="1"/>
          <w:bCs w:val="1"/>
          <w:i w:val="1"/>
          <w:iCs w:val="1"/>
          <w:color w:val="auto"/>
        </w:rPr>
        <w:t>Initial Purchase Price</w:t>
      </w:r>
      <w:r>
        <w:rPr>
          <w:rFonts w:ascii="Arial" w:cs="Arial" w:eastAsia="Arial" w:hAnsi="Arial"/>
          <w:sz w:val="17"/>
          <w:szCs w:val="17"/>
          <w:color w:val="auto"/>
        </w:rPr>
        <w:t>”), (c) the Holdback Buyer Shares to be withheld from the Key Members by Buyer on the Closing Date, which shall be issued to the Key Members on the first Business Day following the twelve (12) month anniversary of the Closing Date (the “</w:t>
      </w:r>
      <w:r>
        <w:rPr>
          <w:rFonts w:ascii="Arial" w:cs="Arial" w:eastAsia="Arial" w:hAnsi="Arial"/>
          <w:sz w:val="17"/>
          <w:szCs w:val="17"/>
          <w:b w:val="1"/>
          <w:bCs w:val="1"/>
          <w:i w:val="1"/>
          <w:iCs w:val="1"/>
          <w:color w:val="auto"/>
        </w:rPr>
        <w:t>Holdback Release Date</w:t>
      </w:r>
      <w:r>
        <w:rPr>
          <w:rFonts w:ascii="Arial" w:cs="Arial" w:eastAsia="Arial" w:hAnsi="Arial"/>
          <w:sz w:val="17"/>
          <w:szCs w:val="17"/>
          <w:color w:val="auto"/>
        </w:rPr>
        <w:t xml:space="preserve">”) in accordance with and subject to the conditions of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 (d) the Earn-Out Consideration as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(collectively with the Closing Cash Amount, the Closing Buyer Shares and the Holdback Buyer Shares,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Closing</w:t>
      </w:r>
      <w:r>
        <w:rPr>
          <w:rFonts w:ascii="Arial" w:cs="Arial" w:eastAsia="Arial" w:hAnsi="Arial"/>
          <w:sz w:val="18"/>
          <w:szCs w:val="18"/>
          <w:color w:val="auto"/>
        </w:rPr>
        <w:t>. Subject to the terms and conditions of this Agreement, the Closing of the transactions contemplated hereby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remotely via the electronic exchange of signatures and documents on the date of this Agreement and simultaneously with the execution and delivery of this Agreement (the day on which the Closing takes place being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Closing Cash Payment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7" w:lineRule="auto"/>
        <w:tabs>
          <w:tab w:leader="none" w:pos="15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purposes of Closing, the Member Representative has delivered to Buyer a statement in form and substance reasonably acceptable to Buyer (the “</w:t>
      </w:r>
      <w:r>
        <w:rPr>
          <w:rFonts w:ascii="Arial" w:cs="Arial" w:eastAsia="Arial" w:hAnsi="Arial"/>
          <w:sz w:val="16"/>
          <w:szCs w:val="16"/>
          <w:b w:val="1"/>
          <w:bCs w:val="1"/>
          <w:i w:val="1"/>
          <w:iCs w:val="1"/>
          <w:color w:val="auto"/>
        </w:rPr>
        <w:t>Closing Estimated Statement</w:t>
      </w:r>
      <w:r>
        <w:rPr>
          <w:rFonts w:ascii="Arial" w:cs="Arial" w:eastAsia="Arial" w:hAnsi="Arial"/>
          <w:sz w:val="16"/>
          <w:szCs w:val="16"/>
          <w:color w:val="auto"/>
        </w:rPr>
        <w:t>”) setting forth the Company’s good faith estimate of: (i) the estimated Working Capital as of the Calculation Time (the “</w:t>
      </w:r>
      <w:r>
        <w:rPr>
          <w:rFonts w:ascii="Arial" w:cs="Arial" w:eastAsia="Arial" w:hAnsi="Arial"/>
          <w:sz w:val="16"/>
          <w:szCs w:val="16"/>
          <w:b w:val="1"/>
          <w:bCs w:val="1"/>
          <w:i w:val="1"/>
          <w:iCs w:val="1"/>
          <w:color w:val="auto"/>
        </w:rPr>
        <w:t>Estimated Working Capital</w:t>
      </w:r>
      <w:r>
        <w:rPr>
          <w:rFonts w:ascii="Arial" w:cs="Arial" w:eastAsia="Arial" w:hAnsi="Arial"/>
          <w:sz w:val="16"/>
          <w:szCs w:val="16"/>
          <w:color w:val="auto"/>
        </w:rPr>
        <w:t>”); (ii) (A) the amount, if any, by which the Estimated Working Capital is greater than the Working Capital Target, or (B) the amount, if any, by which the Working Capital Target is greater than the Estimated Working Capital (as applicable, the “</w:t>
      </w:r>
      <w:r>
        <w:rPr>
          <w:rFonts w:ascii="Arial" w:cs="Arial" w:eastAsia="Arial" w:hAnsi="Arial"/>
          <w:sz w:val="16"/>
          <w:szCs w:val="16"/>
          <w:b w:val="1"/>
          <w:bCs w:val="1"/>
          <w:i w:val="1"/>
          <w:iCs w:val="1"/>
          <w:color w:val="auto"/>
        </w:rPr>
        <w:t>Estimated Working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Capital Adjustment</w:t>
      </w:r>
      <w:r>
        <w:rPr>
          <w:rFonts w:ascii="Arial" w:cs="Arial" w:eastAsia="Arial" w:hAnsi="Arial"/>
          <w:sz w:val="16"/>
          <w:szCs w:val="16"/>
          <w:color w:val="auto"/>
        </w:rPr>
        <w:t>”); (iii) the estimated amount of Indebtedness of the Company Group as of the Calculation Time (the “</w:t>
      </w:r>
      <w:r>
        <w:rPr>
          <w:rFonts w:ascii="Arial" w:cs="Arial" w:eastAsia="Arial" w:hAnsi="Arial"/>
          <w:sz w:val="16"/>
          <w:szCs w:val="16"/>
          <w:b w:val="1"/>
          <w:bCs w:val="1"/>
          <w:i w:val="1"/>
          <w:iCs w:val="1"/>
          <w:color w:val="auto"/>
        </w:rPr>
        <w:t>Estimated Indebtedness</w:t>
      </w:r>
      <w:r>
        <w:rPr>
          <w:rFonts w:ascii="Arial" w:cs="Arial" w:eastAsia="Arial" w:hAnsi="Arial"/>
          <w:sz w:val="16"/>
          <w:szCs w:val="16"/>
          <w:color w:val="auto"/>
        </w:rPr>
        <w:t>”); (iv)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estimated amount of Transaction Expenses of the Company Group as of the Calculation Time (the “</w:t>
      </w:r>
      <w:r>
        <w:rPr>
          <w:rFonts w:ascii="Arial" w:cs="Arial" w:eastAsia="Arial" w:hAnsi="Arial"/>
          <w:sz w:val="16"/>
          <w:szCs w:val="16"/>
          <w:b w:val="1"/>
          <w:bCs w:val="1"/>
          <w:i w:val="1"/>
          <w:iCs w:val="1"/>
          <w:color w:val="auto"/>
        </w:rPr>
        <w:t>Estimated Transaction Expenses</w:t>
      </w:r>
      <w:r>
        <w:rPr>
          <w:rFonts w:ascii="Arial" w:cs="Arial" w:eastAsia="Arial" w:hAnsi="Arial"/>
          <w:sz w:val="16"/>
          <w:szCs w:val="16"/>
          <w:color w:val="auto"/>
        </w:rPr>
        <w:t>”); and (v) the estimated amount of Cash of the Company Group as of the Calculation Time (the “</w:t>
      </w:r>
      <w:r>
        <w:rPr>
          <w:rFonts w:ascii="Arial" w:cs="Arial" w:eastAsia="Arial" w:hAnsi="Arial"/>
          <w:sz w:val="16"/>
          <w:szCs w:val="16"/>
          <w:b w:val="1"/>
          <w:bCs w:val="1"/>
          <w:i w:val="1"/>
          <w:iCs w:val="1"/>
          <w:color w:val="auto"/>
        </w:rPr>
        <w:t>Estimated Cash</w:t>
      </w:r>
      <w:r>
        <w:rPr>
          <w:rFonts w:ascii="Arial" w:cs="Arial" w:eastAsia="Arial" w:hAnsi="Arial"/>
          <w:sz w:val="16"/>
          <w:szCs w:val="16"/>
          <w:color w:val="auto"/>
        </w:rPr>
        <w:t>”), together with all backup and supporting materials reasonably requested by Buyer relating to such estimates. The “</w:t>
      </w:r>
      <w:r>
        <w:rPr>
          <w:rFonts w:ascii="Arial" w:cs="Arial" w:eastAsia="Arial" w:hAnsi="Arial"/>
          <w:sz w:val="16"/>
          <w:szCs w:val="16"/>
          <w:b w:val="1"/>
          <w:bCs w:val="1"/>
          <w:i w:val="1"/>
          <w:iCs w:val="1"/>
          <w:color w:val="auto"/>
        </w:rPr>
        <w:t>Closing Cash Payment</w:t>
      </w:r>
      <w:r>
        <w:rPr>
          <w:rFonts w:ascii="Arial" w:cs="Arial" w:eastAsia="Arial" w:hAnsi="Arial"/>
          <w:sz w:val="16"/>
          <w:szCs w:val="16"/>
          <w:color w:val="auto"/>
        </w:rPr>
        <w:t xml:space="preserve">” shall be a Dollar amount equal to the Closing Cash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Estimated Working Capital Adjustment (as applicable),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Estimated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Estimated Transaction Expenses, plus the Estimated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adjustments to the Closing Cash Amount pursuant to this sentence shall not, collectively, have an absolute value of greater than $1,000,000.00;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Closing Cash Payment shall be subject to adjustment as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firstLine="1304"/>
        <w:spacing w:after="0" w:line="277" w:lineRule="auto"/>
        <w:tabs>
          <w:tab w:leader="none" w:pos="15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Subject to the delivery of the items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 at the Closing, Buyer shall pay, or cause to be paid, the following amounts to the Members or such other designated Persons as indicated below:</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1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each holder of Indebtedness named in a Payoff Letter, the amount required to repay in full all Indebtedness owed to each such holder at the Closing, in cash by wire transfer of immediately available funds, in accordance with the wire transfer instructions set forth in such Payoff Letter;</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2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each creditor or other payee of Transaction Expenses, the amount required to pay in full all Transaction Expenses at the Closing, in cash by wire transfer of immediately available funds, in accordance with the wire transfer instructions set forth in the Transaction Invoices; and</w:t>
      </w:r>
    </w:p>
    <w:p>
      <w:pPr>
        <w:spacing w:after="0" w:line="183" w:lineRule="exact"/>
        <w:rPr>
          <w:rFonts w:ascii="Arial" w:cs="Arial" w:eastAsia="Arial" w:hAnsi="Arial"/>
          <w:sz w:val="18"/>
          <w:szCs w:val="18"/>
          <w:color w:val="auto"/>
        </w:rPr>
      </w:pPr>
    </w:p>
    <w:p>
      <w:pPr>
        <w:ind w:left="2260" w:hanging="308"/>
        <w:spacing w:after="0"/>
        <w:tabs>
          <w:tab w:leader="none" w:pos="2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Members, the Closing Cash Payment in accordance with their respective Pro Rata Portions.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The payments and issuances to be made by Buyer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shall be made to the accounts designated in writing by the applicable payees, as memorialized in the funds flow mutually agreed to by Buyer and Member Representative prior to the Closing Date (the “</w:t>
      </w:r>
      <w:r>
        <w:rPr>
          <w:rFonts w:ascii="Arial" w:cs="Arial" w:eastAsia="Arial" w:hAnsi="Arial"/>
          <w:sz w:val="17"/>
          <w:szCs w:val="17"/>
          <w:b w:val="1"/>
          <w:bCs w:val="1"/>
          <w:i w:val="1"/>
          <w:iCs w:val="1"/>
          <w:color w:val="auto"/>
        </w:rPr>
        <w:t>Funds Flow</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Earn-Out</w:t>
      </w:r>
      <w:r>
        <w:rPr>
          <w:rFonts w:ascii="Arial" w:cs="Arial" w:eastAsia="Arial" w:hAnsi="Arial"/>
          <w:sz w:val="18"/>
          <w:szCs w:val="18"/>
          <w:color w:val="auto"/>
        </w:rPr>
        <w:t xml:space="preserve">. In addition to the Initial Purchase Price and the Holdback Buyer Shares, the Members may be entitled to an amount up to $3,000,000.00 from the Buyer in accordance with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Earn-Out Consideration</w:t>
      </w:r>
      <w:r>
        <w:rPr>
          <w:rFonts w:ascii="Arial" w:cs="Arial" w:eastAsia="Arial" w:hAnsi="Arial"/>
          <w:sz w:val="18"/>
          <w:szCs w:val="18"/>
          <w:color w:val="auto"/>
        </w:rPr>
        <w:t>”). The Earn-Out Consideration, if any, shall be calculated as follows:</w:t>
      </w:r>
    </w:p>
    <w:p>
      <w:pPr>
        <w:spacing w:after="0" w:line="184" w:lineRule="exact"/>
        <w:rPr>
          <w:sz w:val="20"/>
          <w:szCs w:val="20"/>
          <w:color w:val="auto"/>
        </w:rPr>
      </w:pPr>
    </w:p>
    <w:p>
      <w:pPr>
        <w:jc w:val="both"/>
        <w:ind w:firstLine="1304"/>
        <w:spacing w:after="0" w:line="286" w:lineRule="auto"/>
        <w:tabs>
          <w:tab w:leader="none" w:pos="15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calculation of the Earn-Out Consideration will be based upon the Business achieving Eligible Net Revenue targets in the fiscal year ending December 31, 2022 (the “</w:t>
      </w:r>
      <w:r>
        <w:rPr>
          <w:rFonts w:ascii="Arial" w:cs="Arial" w:eastAsia="Arial" w:hAnsi="Arial"/>
          <w:sz w:val="17"/>
          <w:szCs w:val="17"/>
          <w:b w:val="1"/>
          <w:bCs w:val="1"/>
          <w:i w:val="1"/>
          <w:iCs w:val="1"/>
          <w:color w:val="auto"/>
        </w:rPr>
        <w:t>2022 Earn-Out Consideration</w:t>
      </w:r>
      <w:r>
        <w:rPr>
          <w:rFonts w:ascii="Arial" w:cs="Arial" w:eastAsia="Arial" w:hAnsi="Arial"/>
          <w:sz w:val="17"/>
          <w:szCs w:val="17"/>
          <w:color w:val="auto"/>
        </w:rPr>
        <w:t>”) and the fiscal year ending December 31, 2023 (the “</w:t>
      </w:r>
      <w:r>
        <w:rPr>
          <w:rFonts w:ascii="Arial" w:cs="Arial" w:eastAsia="Arial" w:hAnsi="Arial"/>
          <w:sz w:val="17"/>
          <w:szCs w:val="17"/>
          <w:b w:val="1"/>
          <w:bCs w:val="1"/>
          <w:i w:val="1"/>
          <w:iCs w:val="1"/>
          <w:color w:val="auto"/>
        </w:rPr>
        <w:t>2023 Earn-Out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Consideration</w:t>
      </w:r>
      <w:r>
        <w:rPr>
          <w:rFonts w:ascii="Arial" w:cs="Arial" w:eastAsia="Arial" w:hAnsi="Arial"/>
          <w:sz w:val="17"/>
          <w:szCs w:val="17"/>
          <w:color w:val="auto"/>
        </w:rPr>
        <w:t>”). Each of the 2022 Earn-Out Consideration and 2023 Earn-Out Consideration shall be payable in separate installments.</w:t>
      </w:r>
    </w:p>
    <w:p>
      <w:pPr>
        <w:spacing w:after="0" w:line="165" w:lineRule="exact"/>
        <w:rPr>
          <w:rFonts w:ascii="Arial" w:cs="Arial" w:eastAsia="Arial" w:hAnsi="Arial"/>
          <w:sz w:val="17"/>
          <w:szCs w:val="17"/>
          <w:color w:val="auto"/>
        </w:rPr>
      </w:pPr>
    </w:p>
    <w:p>
      <w:pPr>
        <w:jc w:val="both"/>
        <w:ind w:firstLine="1304"/>
        <w:spacing w:after="0" w:line="273" w:lineRule="auto"/>
        <w:tabs>
          <w:tab w:leader="none" w:pos="15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2022 Earn-Out Consideration will be calculated as follows: (i) if the Eligible Net Revenues of the Business during the fiscal year ending December 31, 2022 is greater than or equal to $13,000,000.00 but less than $14,000,000.00, the Members will receive aggregate 2022 Earn-Out Consideration of $750,000.00 in accordance with their respective Pro Rata Portions; and (ii) if the Eligible Net Revenues of the Business during such fiscal year is greater than or equal to $14,000,000.00, the Members will receive aggregate 2022 Earn-Out Consideration of $1,500,000.00 in accordance with their respective Pro Rata Portions. For the avoidance of doubt, if the Eligible Net Revenues of the Business during such fiscal year is less than $13,000,000.00, then the Members will not be entitled to any 2022 Earn-Out Consideration.</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15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2023 Earn-Out Consideration will be calculated as follows: (i) if the Eligible Net Revenues of the Business during the fiscal year ending December 31, 2023 is greater than or equal to $18,500,000.00 but less than $20,000,000.00, the Members will receive aggregate 2023 Earn-Out Consideration of $750,000.00 in accordance with their respective Pro Rata Portions; and (ii) if the Eligible Net Revenues of the Business during such fiscal year is greater than or equal to $20,000,000.00, the Members will receive aggregate 2022 Earn-Out Consideration of $1,500,000.00 in accordance with their respective Pro Rata Portions. For the avoidance of doubt, if the Eligible Net Revenues of the Business during such fiscal year is less than $18,500,000.00, then the Members will not be entitled to any 2023 Earn-Out Consideration.</w:t>
      </w:r>
    </w:p>
    <w:p>
      <w:pPr>
        <w:spacing w:after="0" w:line="177" w:lineRule="exact"/>
        <w:rPr>
          <w:rFonts w:ascii="Arial" w:cs="Arial" w:eastAsia="Arial" w:hAnsi="Arial"/>
          <w:sz w:val="17"/>
          <w:szCs w:val="17"/>
          <w:color w:val="auto"/>
        </w:rPr>
      </w:pPr>
    </w:p>
    <w:p>
      <w:pPr>
        <w:jc w:val="both"/>
        <w:ind w:firstLine="1304"/>
        <w:spacing w:after="0" w:line="291" w:lineRule="auto"/>
        <w:tabs>
          <w:tab w:leader="none" w:pos="15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If the Members are eligible to receive an Earn-Out Consideration payment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then Buyer shall pay and issue, or cause to be paid and issued, the applicable Earn-Out Consideration to the Members within thirty (30) days following the earliest to occur of (i) the</w:t>
      </w:r>
    </w:p>
    <w:p>
      <w:pPr>
        <w:jc w:val="both"/>
        <w:spacing w:after="0" w:line="256" w:lineRule="auto"/>
        <w:rPr>
          <w:sz w:val="20"/>
          <w:szCs w:val="20"/>
          <w:color w:val="auto"/>
        </w:rPr>
      </w:pPr>
      <w:r>
        <w:rPr>
          <w:rFonts w:ascii="Arial" w:cs="Arial" w:eastAsia="Arial" w:hAnsi="Arial"/>
          <w:sz w:val="17"/>
          <w:szCs w:val="17"/>
          <w:color w:val="auto"/>
        </w:rPr>
        <w:t>thirtieth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receipt of the Earn-Out Report without the Member Representative notifying Buyer that it objects to the computations set forth therein, (ii) the date on which the Member Representative shall have given Buyer notice to the effect that the Member Representative does not have any objection to the computations set forth in the Earn-Out Report, (iii) the date as of which Buyer and the Member Representative reach a settlement of all Disputed Amounts in accordance with </w:t>
      </w:r>
      <w:r>
        <w:rPr>
          <w:rFonts w:ascii="Arial" w:cs="Arial" w:eastAsia="Arial" w:hAnsi="Arial"/>
          <w:sz w:val="17"/>
          <w:szCs w:val="17"/>
          <w:u w:val="single" w:color="auto"/>
          <w:color w:val="auto"/>
        </w:rPr>
        <w:t>Section 2.5(f)</w:t>
      </w:r>
      <w:r>
        <w:rPr>
          <w:rFonts w:ascii="Arial" w:cs="Arial" w:eastAsia="Arial" w:hAnsi="Arial"/>
          <w:sz w:val="17"/>
          <w:szCs w:val="17"/>
          <w:color w:val="auto"/>
        </w:rPr>
        <w:t xml:space="preserve">, or (iv) the date as of which Buyer and the Member Representative shall have received the determination of the Financial Arbitrator (as defined below) in accordance with </w:t>
      </w:r>
      <w:r>
        <w:rPr>
          <w:rFonts w:ascii="Arial" w:cs="Arial" w:eastAsia="Arial" w:hAnsi="Arial"/>
          <w:sz w:val="17"/>
          <w:szCs w:val="17"/>
          <w:u w:val="single" w:color="auto"/>
          <w:color w:val="auto"/>
        </w:rPr>
        <w:t>Section 2.5(f)</w:t>
      </w:r>
      <w:r>
        <w:rPr>
          <w:rFonts w:ascii="Arial" w:cs="Arial" w:eastAsia="Arial" w:hAnsi="Arial"/>
          <w:sz w:val="17"/>
          <w:szCs w:val="17"/>
          <w:color w:val="auto"/>
        </w:rPr>
        <w:t>. With respect to each Earn-Out Consideration payment, (A) forty percent (40%) of such payment shall be paid by Buyer in cash, by wire transfer of immediately available funds to the account(s) designated by the Member Representative, and (B) the remaining sixty percent (60%) of such payment shall be paid by Buyer by issuing shares of Buyer Common Stock to the Members in accordance with their respective Pro Rata Portions (such shares, the “</w:t>
      </w:r>
      <w:r>
        <w:rPr>
          <w:rFonts w:ascii="Arial" w:cs="Arial" w:eastAsia="Arial" w:hAnsi="Arial"/>
          <w:sz w:val="17"/>
          <w:szCs w:val="17"/>
          <w:b w:val="1"/>
          <w:bCs w:val="1"/>
          <w:i w:val="1"/>
          <w:iCs w:val="1"/>
          <w:color w:val="auto"/>
        </w:rPr>
        <w:t>Earn-Out Buyer Shares</w:t>
      </w:r>
      <w:r>
        <w:rPr>
          <w:rFonts w:ascii="Arial" w:cs="Arial" w:eastAsia="Arial" w:hAnsi="Arial"/>
          <w:sz w:val="17"/>
          <w:szCs w:val="17"/>
          <w:color w:val="auto"/>
        </w:rPr>
        <w:t>”, with the price per Buyer Share being equal to the volume-weighted average price per share of Buyer Common Stock on The Nasdaq Capital Market for the thirty (30) consecutive trading days ending on the last day of the applicable Earn-Out period. Notwithstanding the foregoing, under no circumstance shall Buyer be obligated to issue Earn-Out Buyer Shares to the extent that such issuance would cause the aggregate issuance of Buyer Shares hereunder to equal or exceed 19.9% of the outstanding shares of Buyer Common Stock as of immediately prior to the Closing.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1304"/>
        <w:spacing w:after="0" w:line="269" w:lineRule="auto"/>
        <w:tabs>
          <w:tab w:leader="none" w:pos="15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Within sixty (60) days after each of the fiscal years ending December 31, 2022 and 2023, Buyer will prepare and deliver to the Member Representative a report (an “</w:t>
      </w:r>
      <w:r>
        <w:rPr>
          <w:rFonts w:ascii="Arial" w:cs="Arial" w:eastAsia="Arial" w:hAnsi="Arial"/>
          <w:sz w:val="17"/>
          <w:szCs w:val="17"/>
          <w:b w:val="1"/>
          <w:bCs w:val="1"/>
          <w:i w:val="1"/>
          <w:iCs w:val="1"/>
          <w:color w:val="auto"/>
        </w:rPr>
        <w:t>Earn-Out Report</w:t>
      </w:r>
      <w:r>
        <w:rPr>
          <w:rFonts w:ascii="Arial" w:cs="Arial" w:eastAsia="Arial" w:hAnsi="Arial"/>
          <w:sz w:val="17"/>
          <w:szCs w:val="17"/>
          <w:color w:val="auto"/>
        </w:rPr>
        <w:t>”) setting forth, in reasonable detail, a computation of the Eligible Net Revenues of the Business and the Earn-Out Consideration, together with copies of Year-End Financials, and any and all documents which evidence the computations shown as being true, correct and complete. Buyer and its representatives shall give the Member Representative and its agents and representatives reasonable access (including electronic access, to the extent available) during normal business hours and upon reasonable notice as they may reasonably require to the books and records of the Company and Buyer and access to such personnel or representatives of the Company and Buyer, including to the individuals responsible for preparing such Earn-Out Report, as they may reasonably require for the purposes of investigating or resolving any disputes or responding to any matters or inquiries raised in each respective Earn-Out Report. Unless the Member Representative, within thirty (30) days after receipt of the Earn-Out Report, notifies Buyer in writing that it objects to the computation of the Eligible Net Revenues of the Business and the Earn-Out Consideration set forth in the Earn-Out Report, the Earn-Out Report shall be deemed accepted by the Member Representative and Buyer and will be binding and conclusive for all purposes of this Agreement.</w:t>
      </w:r>
    </w:p>
    <w:p>
      <w:pPr>
        <w:spacing w:after="0" w:line="181" w:lineRule="exact"/>
        <w:rPr>
          <w:rFonts w:ascii="Arial" w:cs="Arial" w:eastAsia="Arial" w:hAnsi="Arial"/>
          <w:sz w:val="17"/>
          <w:szCs w:val="17"/>
          <w:color w:val="auto"/>
        </w:rPr>
      </w:pPr>
    </w:p>
    <w:p>
      <w:pPr>
        <w:jc w:val="both"/>
        <w:ind w:firstLine="1304"/>
        <w:spacing w:after="0" w:line="269" w:lineRule="auto"/>
        <w:tabs>
          <w:tab w:leader="none" w:pos="15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Member Representative objects to the computation of the Eligible Net Revenues of the Business for the Earn-Out Consideration set forth in the Earn-Out Report (the amount so disputed, the “</w:t>
      </w:r>
      <w:r>
        <w:rPr>
          <w:rFonts w:ascii="Arial" w:cs="Arial" w:eastAsia="Arial" w:hAnsi="Arial"/>
          <w:sz w:val="17"/>
          <w:szCs w:val="17"/>
          <w:b w:val="1"/>
          <w:bCs w:val="1"/>
          <w:i w:val="1"/>
          <w:iCs w:val="1"/>
          <w:color w:val="auto"/>
        </w:rPr>
        <w:t>Disputed Amount</w:t>
      </w:r>
      <w:r>
        <w:rPr>
          <w:rFonts w:ascii="Arial" w:cs="Arial" w:eastAsia="Arial" w:hAnsi="Arial"/>
          <w:sz w:val="17"/>
          <w:szCs w:val="17"/>
          <w:color w:val="auto"/>
        </w:rPr>
        <w:t xml:space="preserve">”) by providing the appropriate notice in accordance with </w:t>
      </w:r>
      <w:r>
        <w:rPr>
          <w:rFonts w:ascii="Arial" w:cs="Arial" w:eastAsia="Arial" w:hAnsi="Arial"/>
          <w:sz w:val="17"/>
          <w:szCs w:val="17"/>
          <w:u w:val="single" w:color="auto"/>
          <w:color w:val="auto"/>
        </w:rPr>
        <w:t>Section 2.5(e)</w:t>
      </w:r>
      <w:r>
        <w:rPr>
          <w:rFonts w:ascii="Arial" w:cs="Arial" w:eastAsia="Arial" w:hAnsi="Arial"/>
          <w:sz w:val="17"/>
          <w:szCs w:val="17"/>
          <w:color w:val="auto"/>
        </w:rPr>
        <w:t xml:space="preserve">, the Disputed Amount shall be determined by a good faith negotiation between the Member Representative and Buyer. If Buyer and the Member Representative are unable to reach agreement within thirty (30) days after such notification, then the determination of the Disputed Amount shall be submitted to the Financial Arbitrator, whose determination shall be (i) in writing, (ii) furnished to the Member Representative and Buyer as soon as practicable (and in no event later than thirty (30) days after submission of the dispute to the Financial Arbitrator), (iii) made in accordance the provisions contained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(iv) non-appealable and incontestable by the Member Representative, the Members, Buyer, and each of their respective Affiliates and successors and assigns and not subject to collateral attack for any reason other than manifest error or fraud. The Financial Arbitrator’s determination of any Disputed Amount may not be higher than the highest value, or lower than the lowest value, claimed by Buyer and the Member Representative. The fees and expenses of the Financial Arbitrator shall be allocated between the Members (on the one hand), and Buyer (on the other hand), in accordance with </w:t>
      </w:r>
      <w:r>
        <w:rPr>
          <w:rFonts w:ascii="Arial" w:cs="Arial" w:eastAsia="Arial" w:hAnsi="Arial"/>
          <w:sz w:val="17"/>
          <w:szCs w:val="17"/>
          <w:u w:val="single" w:color="auto"/>
          <w:color w:val="auto"/>
        </w:rPr>
        <w:t>Section 2.7(c)</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4"/>
        <w:spacing w:after="0" w:line="289" w:lineRule="auto"/>
        <w:tabs>
          <w:tab w:leader="none" w:pos="15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Member acknowledges and agrees that, subject to the express provisions of this Agreement, (i) there is no assurance that the Members will receive any Earn-Out Consideration and Buyer has not promised any Earn-Out Consideration, (ii) Buyer does not owe a fiduciary duty to any Member related to any unearned Earn-Out Consideration, and (iii) upon the closing of the transactions contemplated by this Agreement, Buyer shall have the right to operate the Business in any way that the Buyer deems appropriate in its sole discretion. The Parties understand and agree that (i) the contingent rights to receive the Earn-Out Consideration shall not be represented by any form of certificate or other instrument, are not transferable, except by operation of Laws relating to descent and distribution, divorce and community property, by charitable donation to a non-profit entity or by assignment to a family corporation or similar entity, and do not constitute an equity or ownership interest in Buyer or any member of the Company Group, (ii) Members shall not have any rights as securityholders of Buyer or any member of the Company Group as a result of Members’ contingent right to receive the Earn-Out Consideration hereunder, and (iii) no interest is payable with respect to the Earn-Out Consideration.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304"/>
        <w:spacing w:after="0" w:line="263" w:lineRule="auto"/>
        <w:tabs>
          <w:tab w:leader="none" w:pos="15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After Closing, Buyer shall have sole discretion with regard to all matters relating to the operation of the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Buyer shall not intentionally, directly or indirectly, take any actions in bad faith or that would have the primary purpose of deferring, delaying or impairing Eligible Net Revenues for purposes of the Earn-Out Consideration calculations.</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Earn-Out Consideration paid or delivered to the Members will be treated by the Parties as additional Purchase Price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Buyer shall have the right to withhold and set off against any amount otherwise due to be paid or issued pursuant to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 the amount of any Aggregate True-Up Payment owed to it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and (ii) the amount of any claim for indemnification or payment of damages to which Buyer may be entitled under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5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Closing Deliverables</w:t>
      </w:r>
      <w:r>
        <w:rPr>
          <w:rFonts w:ascii="Arial" w:cs="Arial" w:eastAsia="Arial" w:hAnsi="Arial"/>
          <w:sz w:val="18"/>
          <w:szCs w:val="18"/>
          <w:color w:val="auto"/>
        </w:rPr>
        <w:t>. At the Closing, the Key Members shall deliver, or cause to be delivered, all items below with respect to the Company or themselves, and each Member other than the Key Members shall deliver the interest power and resignations that apply to him or her, to Buyer the following:</w:t>
      </w:r>
    </w:p>
    <w:p>
      <w:pPr>
        <w:spacing w:after="0" w:line="183" w:lineRule="exact"/>
        <w:rPr>
          <w:rFonts w:ascii="Arial" w:cs="Arial" w:eastAsia="Arial" w:hAnsi="Arial"/>
          <w:sz w:val="18"/>
          <w:szCs w:val="18"/>
          <w:color w:val="auto"/>
        </w:rPr>
      </w:pPr>
    </w:p>
    <w:p>
      <w:pPr>
        <w:jc w:val="both"/>
        <w:ind w:left="660" w:firstLine="1292"/>
        <w:spacing w:after="0" w:line="254" w:lineRule="auto"/>
        <w:tabs>
          <w:tab w:leader="none" w:pos="218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a copy of the resolutions and/or written consents by which all actions on the part of the Company necessary to approve this Agreement, the Transaction Documents and the transactions contemplated hereby and thereby were taken, certified by the Secretary or an authorized officer of the Company; (B) an incumbency certificate signed by the Secretary or an authorized officer of the Company certifying the signature and office of each officer executing this Agreement, the Transaction Documents or any other agreement, certificate or other instrument executed pursuant hereto or thereto; and (C) a copy of the Organizational Documents of the Company and each of the Subsidiaries that are filed with any Governmental Authority, certified by the applicable Governmental Authority as of a date which is no more than ten (10) Business Days before the Closing Date (if applicable);</w:t>
      </w:r>
    </w:p>
    <w:p>
      <w:pPr>
        <w:spacing w:after="0" w:line="194" w:lineRule="exact"/>
        <w:rPr>
          <w:rFonts w:ascii="Arial" w:cs="Arial" w:eastAsia="Arial" w:hAnsi="Arial"/>
          <w:sz w:val="18"/>
          <w:szCs w:val="18"/>
          <w:color w:val="auto"/>
        </w:rPr>
      </w:pPr>
    </w:p>
    <w:p>
      <w:pPr>
        <w:ind w:left="660" w:firstLine="1292"/>
        <w:spacing w:after="0" w:line="277" w:lineRule="auto"/>
        <w:tabs>
          <w:tab w:leader="none" w:pos="22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interest power, in form and substance reasonably acceptable to Buyer, duly executed in blank, by each Member, with respect to the Company Interests;</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2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certificate of good standing or qualification of the Company and each of the Subsidiaries, as applicable, issued not earlier than ten (10) days prior to the Closing Date, by the secretary of state of the State of Colorado and each other jurisdiction in which the Company or any of its Subsidiaries is qualified to do business;</w:t>
      </w:r>
    </w:p>
    <w:p>
      <w:pPr>
        <w:spacing w:after="0" w:line="183" w:lineRule="exact"/>
        <w:rPr>
          <w:rFonts w:ascii="Arial" w:cs="Arial" w:eastAsia="Arial" w:hAnsi="Arial"/>
          <w:sz w:val="18"/>
          <w:szCs w:val="18"/>
          <w:color w:val="auto"/>
        </w:rPr>
      </w:pPr>
    </w:p>
    <w:p>
      <w:pPr>
        <w:ind w:left="660" w:firstLine="1292"/>
        <w:spacing w:after="0" w:line="277" w:lineRule="auto"/>
        <w:tabs>
          <w:tab w:leader="none" w:pos="22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resignations, effective as of the Closing of the officers, directors and managers of the Company and the Subsidiaries identified by Buyer prior to the Closing Date;</w:t>
      </w:r>
    </w:p>
    <w:p>
      <w:pPr>
        <w:spacing w:after="0" w:line="170" w:lineRule="exact"/>
        <w:rPr>
          <w:rFonts w:ascii="Arial" w:cs="Arial" w:eastAsia="Arial" w:hAnsi="Arial"/>
          <w:sz w:val="18"/>
          <w:szCs w:val="18"/>
          <w:color w:val="auto"/>
        </w:rPr>
      </w:pPr>
    </w:p>
    <w:p>
      <w:pPr>
        <w:ind w:left="660" w:firstLine="1292"/>
        <w:spacing w:after="0" w:line="308" w:lineRule="auto"/>
        <w:tabs>
          <w:tab w:leader="none" w:pos="2239"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 affidavit, under penalties of perjury, stating that the Company is not and has not been a United States real property holding corporation, dated as of the Closing Date and in form and substance required under Treasury Regulation Section 1.897-2(h);</w:t>
      </w:r>
    </w:p>
    <w:p>
      <w:pPr>
        <w:spacing w:after="0" w:line="146" w:lineRule="exact"/>
        <w:rPr>
          <w:rFonts w:ascii="Arial" w:cs="Arial" w:eastAsia="Arial" w:hAnsi="Arial"/>
          <w:sz w:val="17"/>
          <w:szCs w:val="17"/>
          <w:color w:val="auto"/>
        </w:rPr>
      </w:pPr>
    </w:p>
    <w:p>
      <w:pPr>
        <w:ind w:left="660" w:firstLine="1292"/>
        <w:spacing w:after="0" w:line="277" w:lineRule="auto"/>
        <w:tabs>
          <w:tab w:leader="none" w:pos="22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evidence satisfactory to Buyer of termination of the agreements set forth on </w:t>
      </w:r>
      <w:r>
        <w:rPr>
          <w:rFonts w:ascii="Arial" w:cs="Arial" w:eastAsia="Arial" w:hAnsi="Arial"/>
          <w:sz w:val="18"/>
          <w:szCs w:val="18"/>
          <w:u w:val="single" w:color="auto"/>
          <w:color w:val="auto"/>
        </w:rPr>
        <w:t>Section 2.6(a)(vi)</w:t>
      </w:r>
      <w:r>
        <w:rPr>
          <w:rFonts w:ascii="Arial" w:cs="Arial" w:eastAsia="Arial" w:hAnsi="Arial"/>
          <w:sz w:val="18"/>
          <w:szCs w:val="18"/>
          <w:color w:val="auto"/>
        </w:rPr>
        <w:t xml:space="preserve"> of the Disclosure Schedule, except as otherwise set forth on </w:t>
      </w:r>
      <w:r>
        <w:rPr>
          <w:rFonts w:ascii="Arial" w:cs="Arial" w:eastAsia="Arial" w:hAnsi="Arial"/>
          <w:sz w:val="18"/>
          <w:szCs w:val="18"/>
          <w:u w:val="single" w:color="auto"/>
          <w:color w:val="auto"/>
        </w:rPr>
        <w:t>Section 2.6(a)(vi)</w:t>
      </w:r>
      <w:r>
        <w:rPr>
          <w:rFonts w:ascii="Arial" w:cs="Arial" w:eastAsia="Arial" w:hAnsi="Arial"/>
          <w:sz w:val="18"/>
          <w:szCs w:val="18"/>
          <w:color w:val="auto"/>
        </w:rPr>
        <w:t xml:space="preserve"> of the Disclosure Schedule;</w:t>
      </w:r>
    </w:p>
    <w:p>
      <w:pPr>
        <w:spacing w:after="0" w:line="170" w:lineRule="exact"/>
        <w:rPr>
          <w:rFonts w:ascii="Arial" w:cs="Arial" w:eastAsia="Arial" w:hAnsi="Arial"/>
          <w:sz w:val="18"/>
          <w:szCs w:val="18"/>
          <w:color w:val="auto"/>
        </w:rPr>
      </w:pPr>
    </w:p>
    <w:p>
      <w:pPr>
        <w:ind w:left="2320" w:hanging="368"/>
        <w:spacing w:after="0"/>
        <w:tabs>
          <w:tab w:leader="none" w:pos="23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the Payoff Letters and the Transaction Invoices, except as otherwise set forth on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the Disclosure Schedule;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left="660" w:firstLine="1292"/>
        <w:spacing w:after="0" w:line="311" w:lineRule="auto"/>
        <w:tabs>
          <w:tab w:leader="none" w:pos="2385"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separate employment agreements between the individuals listed on </w:t>
      </w:r>
      <w:r>
        <w:rPr>
          <w:rFonts w:ascii="Arial" w:cs="Arial" w:eastAsia="Arial" w:hAnsi="Arial"/>
          <w:sz w:val="16"/>
          <w:szCs w:val="16"/>
          <w:u w:val="single" w:color="auto"/>
          <w:color w:val="auto"/>
        </w:rPr>
        <w:t>Section 2.6(a)(viii)</w:t>
      </w:r>
      <w:r>
        <w:rPr>
          <w:rFonts w:ascii="Arial" w:cs="Arial" w:eastAsia="Arial" w:hAnsi="Arial"/>
          <w:sz w:val="16"/>
          <w:szCs w:val="16"/>
          <w:color w:val="auto"/>
        </w:rPr>
        <w:t xml:space="preserve"> of the Disclosure Schedule and Buyer, including offer letters with each of the Members (other than the Key Members) providing for the issuance of 5,000 restricted stock units of Buyer in connection with the employment of such Members (the “</w:t>
      </w:r>
      <w:r>
        <w:rPr>
          <w:rFonts w:ascii="Arial" w:cs="Arial" w:eastAsia="Arial" w:hAnsi="Arial"/>
          <w:sz w:val="16"/>
          <w:szCs w:val="16"/>
          <w:b w:val="1"/>
          <w:bCs w:val="1"/>
          <w:i w:val="1"/>
          <w:iCs w:val="1"/>
          <w:color w:val="auto"/>
        </w:rPr>
        <w:t>Employment Agreements</w:t>
      </w:r>
      <w:r>
        <w:rPr>
          <w:rFonts w:ascii="Arial" w:cs="Arial" w:eastAsia="Arial" w:hAnsi="Arial"/>
          <w:sz w:val="16"/>
          <w:szCs w:val="16"/>
          <w:color w:val="auto"/>
        </w:rPr>
        <w:t>”), executed by their respective counterparties.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1560" w:hanging="256"/>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Closing, Buyer shall deliver, or cause to be delivered, to the Members the following:</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payments pursuant to and paid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the Closing Buyer Shares, in accordance with the amounts set forth next to each Member’s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236" w:lineRule="exact"/>
        <w:rPr>
          <w:rFonts w:ascii="Arial" w:cs="Arial" w:eastAsia="Arial" w:hAnsi="Arial"/>
          <w:sz w:val="17"/>
          <w:szCs w:val="17"/>
          <w:color w:val="auto"/>
        </w:rPr>
      </w:pPr>
    </w:p>
    <w:p>
      <w:pPr>
        <w:ind w:left="660" w:firstLine="1292"/>
        <w:spacing w:after="0" w:line="277" w:lineRule="auto"/>
        <w:tabs>
          <w:tab w:leader="none" w:pos="22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certificate of the secretary of Buyer certifying as true and correct a copy of the resolutions of Buyer’s board of directors authorizing the execution, delivery and performance of this Agreement and the Transaction Documents; and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Employment Agreements, executed by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Post-Closing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5" w:lineRule="auto"/>
        <w:tabs>
          <w:tab w:leader="none" w:pos="15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Following the Closing, Buyer shall prepare and deliver within ninety (90) days following the Closing Date to the Member Representative a statement (the “</w:t>
      </w:r>
      <w:r>
        <w:rPr>
          <w:rFonts w:ascii="Arial" w:cs="Arial" w:eastAsia="Arial" w:hAnsi="Arial"/>
          <w:sz w:val="17"/>
          <w:szCs w:val="17"/>
          <w:b w:val="1"/>
          <w:bCs w:val="1"/>
          <w:i w:val="1"/>
          <w:iCs w:val="1"/>
          <w:color w:val="auto"/>
        </w:rPr>
        <w:t>Post-Closing Statement</w:t>
      </w:r>
      <w:r>
        <w:rPr>
          <w:rFonts w:ascii="Arial" w:cs="Arial" w:eastAsia="Arial" w:hAnsi="Arial"/>
          <w:sz w:val="17"/>
          <w:szCs w:val="17"/>
          <w:color w:val="auto"/>
        </w:rPr>
        <w:t>”) setting forth Buyer’s calculation of: (i) the actual Working Capital of the Company Group as of the Calculation Time (the “</w:t>
      </w:r>
      <w:r>
        <w:rPr>
          <w:rFonts w:ascii="Arial" w:cs="Arial" w:eastAsia="Arial" w:hAnsi="Arial"/>
          <w:sz w:val="17"/>
          <w:szCs w:val="17"/>
          <w:b w:val="1"/>
          <w:bCs w:val="1"/>
          <w:i w:val="1"/>
          <w:iCs w:val="1"/>
          <w:color w:val="auto"/>
        </w:rPr>
        <w:t>Actual Working Capital</w:t>
      </w:r>
      <w:r>
        <w:rPr>
          <w:rFonts w:ascii="Arial" w:cs="Arial" w:eastAsia="Arial" w:hAnsi="Arial"/>
          <w:sz w:val="17"/>
          <w:szCs w:val="17"/>
          <w:color w:val="auto"/>
        </w:rPr>
        <w:t>”); (ii) the actual amount of Indebtedness of the Company Group as of the Calculation Time (the “</w:t>
      </w:r>
      <w:r>
        <w:rPr>
          <w:rFonts w:ascii="Arial" w:cs="Arial" w:eastAsia="Arial" w:hAnsi="Arial"/>
          <w:sz w:val="17"/>
          <w:szCs w:val="17"/>
          <w:b w:val="1"/>
          <w:bCs w:val="1"/>
          <w:i w:val="1"/>
          <w:iCs w:val="1"/>
          <w:color w:val="auto"/>
        </w:rPr>
        <w:t>Actual Indebtedness</w:t>
      </w:r>
      <w:r>
        <w:rPr>
          <w:rFonts w:ascii="Arial" w:cs="Arial" w:eastAsia="Arial" w:hAnsi="Arial"/>
          <w:sz w:val="17"/>
          <w:szCs w:val="17"/>
          <w:color w:val="auto"/>
        </w:rPr>
        <w:t>”); (iii) the actual amount of Cash of the Company Group as of the Calculation Time (the “</w:t>
      </w:r>
      <w:r>
        <w:rPr>
          <w:rFonts w:ascii="Arial" w:cs="Arial" w:eastAsia="Arial" w:hAnsi="Arial"/>
          <w:sz w:val="17"/>
          <w:szCs w:val="17"/>
          <w:b w:val="1"/>
          <w:bCs w:val="1"/>
          <w:i w:val="1"/>
          <w:iCs w:val="1"/>
          <w:color w:val="auto"/>
        </w:rPr>
        <w:t>Actual Cash</w:t>
      </w:r>
      <w:r>
        <w:rPr>
          <w:rFonts w:ascii="Arial" w:cs="Arial" w:eastAsia="Arial" w:hAnsi="Arial"/>
          <w:sz w:val="17"/>
          <w:szCs w:val="17"/>
          <w:color w:val="auto"/>
        </w:rPr>
        <w:t>”); and (iv) the amount of Transaction Expenses of the Company Group as of the Calculation Time (the “</w:t>
      </w:r>
      <w:r>
        <w:rPr>
          <w:rFonts w:ascii="Arial" w:cs="Arial" w:eastAsia="Arial" w:hAnsi="Arial"/>
          <w:sz w:val="17"/>
          <w:szCs w:val="17"/>
          <w:b w:val="1"/>
          <w:bCs w:val="1"/>
          <w:i w:val="1"/>
          <w:iCs w:val="1"/>
          <w:color w:val="auto"/>
        </w:rPr>
        <w:t>Actual Transaction Expenses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firstLine="1304"/>
        <w:spacing w:after="0" w:line="289" w:lineRule="auto"/>
        <w:tabs>
          <w:tab w:leader="none" w:pos="155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Post-Closing Statement will be prepared in a manner consistent with the applicable definitions set forth herein. Within thirty (30) days after delivery to the Member Representative of the Post-Closing Statement (the “</w:t>
      </w:r>
      <w:r>
        <w:rPr>
          <w:rFonts w:ascii="Arial" w:cs="Arial" w:eastAsia="Arial" w:hAnsi="Arial"/>
          <w:sz w:val="16"/>
          <w:szCs w:val="16"/>
          <w:b w:val="1"/>
          <w:bCs w:val="1"/>
          <w:i w:val="1"/>
          <w:iCs w:val="1"/>
          <w:color w:val="auto"/>
        </w:rPr>
        <w:t>Dispute Period</w:t>
      </w:r>
      <w:r>
        <w:rPr>
          <w:rFonts w:ascii="Arial" w:cs="Arial" w:eastAsia="Arial" w:hAnsi="Arial"/>
          <w:sz w:val="16"/>
          <w:szCs w:val="16"/>
          <w:color w:val="auto"/>
        </w:rPr>
        <w:t>”), the Member Representative shall be required to notify Buyer in writing and with reasonable specificity (the “</w:t>
      </w:r>
      <w:r>
        <w:rPr>
          <w:rFonts w:ascii="Arial" w:cs="Arial" w:eastAsia="Arial" w:hAnsi="Arial"/>
          <w:sz w:val="16"/>
          <w:szCs w:val="16"/>
          <w:b w:val="1"/>
          <w:bCs w:val="1"/>
          <w:i w:val="1"/>
          <w:iCs w:val="1"/>
          <w:color w:val="auto"/>
        </w:rPr>
        <w:t>Dispute Notice</w:t>
      </w:r>
      <w:r>
        <w:rPr>
          <w:rFonts w:ascii="Arial" w:cs="Arial" w:eastAsia="Arial" w:hAnsi="Arial"/>
          <w:sz w:val="16"/>
          <w:szCs w:val="16"/>
          <w:color w:val="auto"/>
        </w:rPr>
        <w:t>”) of any disputed items with respect to the Post-Closing Statement. The Member Representative shall be deemed to have waived any claim with respect to any amount not specifically disputed in the Dispute Notice delivered within the Dispute Period. Upon delivery of the Post-Closing Statement, Buyer shall provide the Member Representative and its agents and representatives with reasonable access (including electronic access, to the extent available) during normal business hours and upon reasonable notice as they may reasonably require to the books and records of the Company Group and Buyer and access to such personnel or representatives of the Company and Buyer, including to the individuals responsible for preparing the Post-Closing Statement, as they may reasonably require for the sole purpose of investigating or resolving any disputes or responding to any matters or inquiries raised in the Post-Closing Statement.</w:t>
      </w:r>
    </w:p>
    <w:p>
      <w:pPr>
        <w:spacing w:after="0" w:line="166" w:lineRule="exact"/>
        <w:rPr>
          <w:rFonts w:ascii="Arial" w:cs="Arial" w:eastAsia="Arial" w:hAnsi="Arial"/>
          <w:sz w:val="16"/>
          <w:szCs w:val="16"/>
          <w:color w:val="auto"/>
        </w:rPr>
      </w:pPr>
    </w:p>
    <w:p>
      <w:pPr>
        <w:jc w:val="both"/>
        <w:ind w:firstLine="1304"/>
        <w:spacing w:after="0" w:line="285" w:lineRule="auto"/>
        <w:tabs>
          <w:tab w:leader="none" w:pos="15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receipt of the Dispute Notice and for a period of thirty (30) days following receipt of the Dispute Notice by Buyer, or such longer period as mutually agreed by Buyer and the Member Representative (the “</w:t>
      </w:r>
      <w:r>
        <w:rPr>
          <w:rFonts w:ascii="Arial" w:cs="Arial" w:eastAsia="Arial" w:hAnsi="Arial"/>
          <w:sz w:val="16"/>
          <w:szCs w:val="16"/>
          <w:b w:val="1"/>
          <w:bCs w:val="1"/>
          <w:i w:val="1"/>
          <w:iCs w:val="1"/>
          <w:color w:val="auto"/>
        </w:rPr>
        <w:t>Resolution Period</w:t>
      </w:r>
      <w:r>
        <w:rPr>
          <w:rFonts w:ascii="Arial" w:cs="Arial" w:eastAsia="Arial" w:hAnsi="Arial"/>
          <w:sz w:val="16"/>
          <w:szCs w:val="16"/>
          <w:color w:val="auto"/>
        </w:rPr>
        <w:t xml:space="preserve">”), Buyer shall negotiate with the Member Representative in good faith to resolve such disputed items;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that Buyer and the Member Representative are unable to resolve any such disputed items within the Resolution Period, the determination of any such unresolved disputed items with respect to the Post-Closing Statement shall be made by a mutually acceptable valuation firm of regional or national standing (the “</w:t>
      </w:r>
      <w:r>
        <w:rPr>
          <w:rFonts w:ascii="Arial" w:cs="Arial" w:eastAsia="Arial" w:hAnsi="Arial"/>
          <w:sz w:val="16"/>
          <w:szCs w:val="16"/>
          <w:b w:val="1"/>
          <w:bCs w:val="1"/>
          <w:i w:val="1"/>
          <w:iCs w:val="1"/>
          <w:color w:val="auto"/>
        </w:rPr>
        <w:t>Financial Arbitrator</w:t>
      </w:r>
      <w:r>
        <w:rPr>
          <w:rFonts w:ascii="Arial" w:cs="Arial" w:eastAsia="Arial" w:hAnsi="Arial"/>
          <w:sz w:val="16"/>
          <w:szCs w:val="16"/>
          <w:color w:val="auto"/>
        </w:rPr>
        <w:t xml:space="preserve">”). The Financial Arbitrator shall act as an independent arbitrator to determine within thirty (30) days of its engagement, based solely on the presentations by the Member Representative and Buyer and not by independent review, only those issues that remain in dispute from the Dispute Notice, and such determination by the Financial Arbitrator must be within the range of values assigned to such disputed items in the Post-Closing Statement and the Dispute Notice, respectively. The basis of the Financial Arbitrator’s determination must be based solely on the definitions and other applicable provisions of this Agreement. Neither the Member Representative nor Buyer (and none of their respective representatives) shall have any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conversation(s) or meeting(s) with the Financial Arbitrator without the prior written consent of (x) with respect to the Member Representative, Buyer and (y) with respect to Buyer, the Member Representative. Upon final resolution of all disputed items, the Financial Arbitrator shall issue a report showing its final calculation of such disputed items. Absent fraud or manifest error, the determination of the Financial Arbitrator shall be final, binding and conclusive on the Member Representative, the Members and Buyer, and the fees and expenses of the Financial Arbitrator shall be borne by the Members (on the one hand) and Buyer (on the other hand) in proportion to the amounts by which their proposals differed from the Financial Arbitrator’s final determination. For example, should the items in dispute total in amount to $1,000 and the Financial Arbitrator award $600 in favor of Buyer’s position, 60% of the costs of its review would be borne by the Members, and 40% of the costs would be borne by Buyer. In connection with the resolution of any dispute, each Party (the Members on the one hand and Buyer on the other) shall pay its own fees and expenses, legal, accounting and consultant fees and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ind w:left="1560" w:hanging="256"/>
        <w:spacing w:after="0"/>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post-Closing adjustments to the Closing Cash Payment shall be calculated and made as follows:</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21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Estimated Working Capital is greater than the Actual Working Capital (the amount of such excess, the “</w:t>
      </w:r>
      <w:r>
        <w:rPr>
          <w:rFonts w:ascii="Arial" w:cs="Arial" w:eastAsia="Arial" w:hAnsi="Arial"/>
          <w:sz w:val="18"/>
          <w:szCs w:val="18"/>
          <w:b w:val="1"/>
          <w:bCs w:val="1"/>
          <w:i w:val="1"/>
          <w:iCs w:val="1"/>
          <w:color w:val="auto"/>
        </w:rPr>
        <w:t>Proceeds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Excess</w:t>
      </w:r>
      <w:r>
        <w:rPr>
          <w:rFonts w:ascii="Arial" w:cs="Arial" w:eastAsia="Arial" w:hAnsi="Arial"/>
          <w:sz w:val="18"/>
          <w:szCs w:val="18"/>
          <w:color w:val="auto"/>
        </w:rPr>
        <w:t>”), then, the Members shall pay an amount equal to the Proceeds Excess to Buyer. If the Actual Working Capital is greater than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Working Capital, then Buyer shall pay (or cause to be paid) to the Members an amount equal to the difference between the Actual Working Capital and the Estimated Working Capital.</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2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Estimated Indebtedness is greater than the Actual Indebtedness, then Buyer shall pay (or cause to be paid) to the Members an amount equal to the difference between the Estimated Indebtedness and the Actual Indebtedness. If the Actual Indebtedness is greater than the Estimated Indebtedness, then the Members shall pay to Buyer an amount equal to the difference between the Actual Indebtedness and the Estimated Indebtedness.</w:t>
      </w:r>
    </w:p>
    <w:p>
      <w:pPr>
        <w:spacing w:after="0" w:line="186" w:lineRule="exact"/>
        <w:rPr>
          <w:rFonts w:ascii="Arial" w:cs="Arial" w:eastAsia="Arial" w:hAnsi="Arial"/>
          <w:sz w:val="18"/>
          <w:szCs w:val="18"/>
          <w:color w:val="auto"/>
        </w:rPr>
      </w:pPr>
    </w:p>
    <w:p>
      <w:pPr>
        <w:jc w:val="both"/>
        <w:ind w:left="660" w:firstLine="1292"/>
        <w:spacing w:after="0" w:line="286" w:lineRule="auto"/>
        <w:tabs>
          <w:tab w:leader="none" w:pos="22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If the Actual Cash is greater than the Estimated Cash, then Buyer shall pay (or cause to be paid) to the Members an amount equal to the difference between the Estimated Cash and the Actual Cash. If the Estimated Cash is greater than the Actual Cash, then the Members shall pay to Buyer an amount equal to the difference between the Actual Cash and the Estimated Cash.</w:t>
      </w:r>
    </w:p>
    <w:p>
      <w:pPr>
        <w:spacing w:after="0" w:line="165" w:lineRule="exact"/>
        <w:rPr>
          <w:rFonts w:ascii="Arial" w:cs="Arial" w:eastAsia="Arial" w:hAnsi="Arial"/>
          <w:sz w:val="17"/>
          <w:szCs w:val="17"/>
          <w:color w:val="auto"/>
        </w:rPr>
      </w:pPr>
    </w:p>
    <w:p>
      <w:pPr>
        <w:jc w:val="both"/>
        <w:ind w:left="660" w:firstLine="1292"/>
        <w:spacing w:after="0" w:line="279" w:lineRule="auto"/>
        <w:tabs>
          <w:tab w:leader="none" w:pos="2261" w:val="left"/>
        </w:tabs>
        <w:numPr>
          <w:ilvl w:val="1"/>
          <w:numId w:val="17"/>
        </w:numPr>
        <w:rPr>
          <w:rFonts w:ascii="Arial" w:cs="Arial" w:eastAsia="Arial" w:hAnsi="Arial"/>
          <w:sz w:val="17"/>
          <w:szCs w:val="17"/>
          <w:color w:val="auto"/>
        </w:rPr>
      </w:pPr>
      <w:r>
        <w:rPr>
          <w:rFonts w:ascii="Arial" w:cs="Arial" w:eastAsia="Arial" w:hAnsi="Arial"/>
          <w:sz w:val="17"/>
          <w:szCs w:val="17"/>
          <w:color w:val="auto"/>
        </w:rPr>
        <w:t>If the Estimated Transaction Expenses are greater than the Actual Transaction Expenses, then Buyer shall pay (or cause to be paid) to the Members an amount equal to the difference between the Estimated Transaction Expenses and the Actual Transaction Expenses. If the Actual Transaction Expenses are greater than the Estimated Transaction Expenses, then the Members shall pay to Buyer an amount equal to the difference between the Actual Transaction Expenses and the Estimated Transaction Expenses.</w:t>
      </w:r>
    </w:p>
    <w:p>
      <w:pPr>
        <w:spacing w:after="0" w:line="171" w:lineRule="exact"/>
        <w:rPr>
          <w:rFonts w:ascii="Arial" w:cs="Arial" w:eastAsia="Arial" w:hAnsi="Arial"/>
          <w:sz w:val="17"/>
          <w:szCs w:val="17"/>
          <w:color w:val="auto"/>
        </w:rPr>
      </w:pPr>
    </w:p>
    <w:p>
      <w:pPr>
        <w:jc w:val="both"/>
        <w:ind w:firstLine="1304"/>
        <w:spacing w:after="0" w:line="254"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Any payment required to be made pursuant to </w:t>
      </w:r>
      <w:r>
        <w:rPr>
          <w:rFonts w:ascii="Arial" w:cs="Arial" w:eastAsia="Arial" w:hAnsi="Arial"/>
          <w:sz w:val="18"/>
          <w:szCs w:val="18"/>
          <w:u w:val="single" w:color="auto"/>
          <w:color w:val="auto"/>
        </w:rPr>
        <w:t>Section 2.7(d)(i)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2.7(d)(iv)</w:t>
      </w:r>
      <w:r>
        <w:rPr>
          <w:rFonts w:ascii="Arial" w:cs="Arial" w:eastAsia="Arial" w:hAnsi="Arial"/>
          <w:sz w:val="18"/>
          <w:szCs w:val="18"/>
          <w:color w:val="auto"/>
        </w:rPr>
        <w:t xml:space="preserve"> shall be defined as a “</w:t>
      </w:r>
      <w:r>
        <w:rPr>
          <w:rFonts w:ascii="Arial" w:cs="Arial" w:eastAsia="Arial" w:hAnsi="Arial"/>
          <w:sz w:val="18"/>
          <w:szCs w:val="18"/>
          <w:b w:val="1"/>
          <w:bCs w:val="1"/>
          <w:i w:val="1"/>
          <w:iCs w:val="1"/>
          <w:color w:val="auto"/>
        </w:rPr>
        <w:t>True-Up Payment</w:t>
      </w:r>
      <w:r>
        <w:rPr>
          <w:rFonts w:ascii="Arial" w:cs="Arial" w:eastAsia="Arial" w:hAnsi="Arial"/>
          <w:sz w:val="18"/>
          <w:szCs w:val="18"/>
          <w:color w:val="auto"/>
        </w:rPr>
        <w:t xml:space="preserve">”. The Parties shall aggregate each of the undisputed True-Up Payments required to be made, if any, pursuant to </w:t>
      </w:r>
      <w:r>
        <w:rPr>
          <w:rFonts w:ascii="Arial" w:cs="Arial" w:eastAsia="Arial" w:hAnsi="Arial"/>
          <w:sz w:val="18"/>
          <w:szCs w:val="18"/>
          <w:u w:val="single" w:color="auto"/>
          <w:color w:val="auto"/>
        </w:rPr>
        <w:t>Section 2.7(d)(i)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2.7(d)(iv)</w:t>
      </w:r>
      <w:r>
        <w:rPr>
          <w:rFonts w:ascii="Arial" w:cs="Arial" w:eastAsia="Arial" w:hAnsi="Arial"/>
          <w:sz w:val="18"/>
          <w:szCs w:val="18"/>
          <w:color w:val="auto"/>
        </w:rPr>
        <w:t xml:space="preserve"> to determine an aggregate True-Up Payment in favor of Buyer or the Members, as applicable (the “</w:t>
      </w:r>
      <w:r>
        <w:rPr>
          <w:rFonts w:ascii="Arial" w:cs="Arial" w:eastAsia="Arial" w:hAnsi="Arial"/>
          <w:sz w:val="18"/>
          <w:szCs w:val="18"/>
          <w:b w:val="1"/>
          <w:bCs w:val="1"/>
          <w:i w:val="1"/>
          <w:iCs w:val="1"/>
          <w:color w:val="auto"/>
        </w:rPr>
        <w:t>Aggregate True-Up Payment</w:t>
      </w:r>
      <w:r>
        <w:rPr>
          <w:rFonts w:ascii="Arial" w:cs="Arial" w:eastAsia="Arial" w:hAnsi="Arial"/>
          <w:sz w:val="18"/>
          <w:szCs w:val="18"/>
          <w:color w:val="auto"/>
        </w:rPr>
        <w:t>”). The Aggregate True-Up Payment shall be made within five (5) Business Days after resolution of the amount of such Aggregate True-Up Payment during the Resolution Period or resolution by the Financial Arbitrator, as applicable. The Aggregate True-Up Payment shall be made by wire transfer of immediately available funds to a bank account designated by the recipient Party. Notwithstanding anything herein to the contrary, the Aggregate True-Up Payment shall not have an absolute value of greater than $1,000,000.00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304"/>
        <w:spacing w:after="0" w:line="263" w:lineRule="auto"/>
        <w:tabs>
          <w:tab w:leader="none" w:pos="15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Buyer favorable Aggregate True-Up Payment shall be made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by deducting from the Holdback Buyer Shares a number of shares equal in value to such Aggregate True-Up Payment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(ii) </w:t>
      </w:r>
      <w:r>
        <w:rPr>
          <w:rFonts w:ascii="Arial" w:cs="Arial" w:eastAsia="Arial" w:hAnsi="Arial"/>
          <w:sz w:val="18"/>
          <w:szCs w:val="18"/>
          <w:i w:val="1"/>
          <w:iCs w:val="1"/>
          <w:color w:val="auto"/>
        </w:rPr>
        <w:t>second</w:t>
      </w:r>
      <w:r>
        <w:rPr>
          <w:rFonts w:ascii="Arial" w:cs="Arial" w:eastAsia="Arial" w:hAnsi="Arial"/>
          <w:sz w:val="18"/>
          <w:szCs w:val="18"/>
          <w:color w:val="auto"/>
        </w:rPr>
        <w:t>, in the event such Buyer favorable Aggregate True-Up Payment exceeds the value of the Holdback Buyer Shares, from the Members.</w:t>
      </w:r>
    </w:p>
    <w:p>
      <w:pPr>
        <w:spacing w:after="0" w:line="183" w:lineRule="exact"/>
        <w:rPr>
          <w:rFonts w:ascii="Arial" w:cs="Arial" w:eastAsia="Arial" w:hAnsi="Arial"/>
          <w:sz w:val="18"/>
          <w:szCs w:val="18"/>
          <w:color w:val="auto"/>
        </w:rPr>
      </w:pPr>
    </w:p>
    <w:p>
      <w:pPr>
        <w:ind w:right="20" w:firstLine="1304"/>
        <w:spacing w:after="0" w:line="277" w:lineRule="auto"/>
        <w:tabs>
          <w:tab w:leader="none" w:pos="15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If the Aggregate True-Up Payment is in favor of the Members, Buyer shall cause the amount of such Aggregate True-Up Payment to be paid to the Members in accordance with </w:t>
      </w:r>
      <w:r>
        <w:rPr>
          <w:rFonts w:ascii="Arial" w:cs="Arial" w:eastAsia="Arial" w:hAnsi="Arial"/>
          <w:sz w:val="18"/>
          <w:szCs w:val="18"/>
          <w:u w:val="single" w:color="auto"/>
          <w:color w:val="auto"/>
        </w:rPr>
        <w:t>Section 2.7(h)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5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Any payments to be made to the Members under </w:t>
      </w:r>
      <w:r>
        <w:rPr>
          <w:rFonts w:ascii="Arial" w:cs="Arial" w:eastAsia="Arial" w:hAnsi="Arial"/>
          <w:sz w:val="17"/>
          <w:szCs w:val="17"/>
          <w:u w:val="single" w:color="auto"/>
          <w:color w:val="auto"/>
        </w:rPr>
        <w:t>Section 2.7(g)</w:t>
      </w:r>
      <w:r>
        <w:rPr>
          <w:rFonts w:ascii="Arial" w:cs="Arial" w:eastAsia="Arial" w:hAnsi="Arial"/>
          <w:sz w:val="17"/>
          <w:szCs w:val="17"/>
          <w:color w:val="auto"/>
        </w:rPr>
        <w:t xml:space="preserve"> shall be made in U.S. dollars and shall be paid as follows: the portion of such payment payable to the Members shall be delivered by or on behalf of Buyer to the Members (by wire transfer of immediately available funds to the account(s) designated by the Member Representative) in accordance with their respective Pro Rata Portions.</w:t>
      </w:r>
    </w:p>
    <w:p>
      <w:pPr>
        <w:spacing w:after="0" w:line="165" w:lineRule="exact"/>
        <w:rPr>
          <w:rFonts w:ascii="Arial" w:cs="Arial" w:eastAsia="Arial" w:hAnsi="Arial"/>
          <w:sz w:val="17"/>
          <w:szCs w:val="17"/>
          <w:color w:val="auto"/>
        </w:rPr>
      </w:pPr>
    </w:p>
    <w:p>
      <w:pPr>
        <w:ind w:firstLine="1304"/>
        <w:spacing w:after="0" w:line="342" w:lineRule="auto"/>
        <w:tabs>
          <w:tab w:leader="none" w:pos="15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Buyer shall have the right, in its sole discretion, to withhold and set off against any amount otherwise due to be paid to the Members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amount of any claim for indemnification or payment of damages to which Buyer may be entitled under this Agreement.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Holdback Shares</w:t>
      </w:r>
      <w:r>
        <w:rPr>
          <w:rFonts w:ascii="Arial" w:cs="Arial" w:eastAsia="Arial" w:hAnsi="Arial"/>
          <w:sz w:val="17"/>
          <w:szCs w:val="17"/>
          <w:color w:val="auto"/>
        </w:rPr>
        <w:t xml:space="preserve">. The applicable portion of the Holdback Buyer Shares shall be delivered to Key Members on the Holdback Release Date in accordance with amounts set forth next to each Key Member’s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subject to the terms of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Without limitation to the rights and remedies of Buyer, Buyer shall have the right to satisfy (a) the amount of any Aggregate True-Up Payment owed to it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and (b) the amount of any claim for indemnification or payment of damages to which Buyer may be entitled under this Agreement, in each case by deducting from the Holdback Buyer Shares, a number of shares equal in value to such Aggregate True-Up Payment, claim for indemnification or payment of damages, with the value of each Holdback Buyer Share for such purpose to be equal to the Per Share Value.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Tax Withholding</w:t>
      </w:r>
      <w:r>
        <w:rPr>
          <w:rFonts w:ascii="Arial" w:cs="Arial" w:eastAsia="Arial" w:hAnsi="Arial"/>
          <w:sz w:val="16"/>
          <w:szCs w:val="16"/>
          <w:color w:val="auto"/>
        </w:rPr>
        <w:t>. Buyer shall be entitled to deduct and withhold from the Purchase Price, the Transaction Expenses and any other payments contemplated by this Agreement such amounts required to be deducted and withheld with respect to the making of such payment under the Code, or any provision of applicable state, local or foreign Law. To the extent that amounts are so withheld, such amounts shall be treated for all purposes of this Agreement as having been paid to the Person in respect of whom such deduction and withholding were made. At the Closing, or at such time thereafter as reasonably requested by Buyer, each Member shall provide Buyer an IRS Form W-9 or other certificates or forms that Buyer may reasonably request in order to allow Buyer to meet its withholding and information reporting obligations under any applicable Law. The Parties shall cooperate to allow Buyer, at its election, to effectuate such withholding by means reasonably acceptable to Buyer. Except with respect to compensatory payments, Buyer shall use reasonable efforts to notify the Member Representative of any amounts subject to withholding at least one (1) Business Day prior to the scheduled date of such payment. The Parties shall cooperate to allow Buyer, at its election, to effectuate such withholding by means reasonably acceptable to Buyer. Buyer shall work in good faith with the Member Representative to minimize any such withheld amounts.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REGARDING THE COMPANY GROUP</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 a material inducement to Buyer to enter into this Agreement and consummate the transactions contemplated hereby, each Member represents and warrants to Buyer that the statements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true and correct as of Closing (except, in each case, as to any representations and warranties that specifically relate to an earlier date, and then as of such date), except as set forth in the schedule attached to this Agreement setting forth exceptions to the representations and warranties set forth herein (the “</w:t>
      </w:r>
      <w:r>
        <w:rPr>
          <w:rFonts w:ascii="Arial" w:cs="Arial" w:eastAsia="Arial" w:hAnsi="Arial"/>
          <w:sz w:val="17"/>
          <w:szCs w:val="17"/>
          <w:b w:val="1"/>
          <w:bCs w:val="1"/>
          <w:i w:val="1"/>
          <w:iCs w:val="1"/>
          <w:color w:val="auto"/>
        </w:rPr>
        <w:t>Disclosure Schedule</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Qualification of the Company Group</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5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Disclosure Schedule lists, for each member of the Company Group, its legal name, its type of legal entity, its jurisdiction of organization, and each jurisdiction in which it is qualified to do business as a foreign entity. Each member of the Company Group is duly organized, validly existing, and in good standing under the laws of its respective jurisdiction of organization, with full power and authority to conduct its business as it is being conducted, to own or use its assets, and to perform all its obligations. Each member of the Company Group is qualified to do business as a foreign entity and is in good standing under the laws of each jurisdiction in which the properties owned or leased by it or the operation of the Business makes such licensing or qualification necessary.</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True, correct and complete copies of the Organizational Documents of each member of the Company Group, in each case as amended to date, have been provided to Buyer, and such Organizational Documents are in full force and effect. No member of the Company Group is in default under or in violation of any provision of its Organizational Documents.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Authority of the Company Group</w:t>
      </w:r>
      <w:r>
        <w:rPr>
          <w:rFonts w:ascii="Arial" w:cs="Arial" w:eastAsia="Arial" w:hAnsi="Arial"/>
          <w:sz w:val="16"/>
          <w:szCs w:val="16"/>
          <w:color w:val="auto"/>
        </w:rPr>
        <w:t>. Each member of the Company Group has full power and authority to enter into this Agreement and the Transaction Documents to which it is a party, as applicable, to carry out its obligations hereunder and thereunder and to consummate the transactions contemplated hereby and thereby. The execution and delivery by each member of the Company Group of this Agreement and any Transaction Document to which it is a party, as applicable, the performance by the applicable member of the Company Group of its obligations hereunder and thereunder and the consummation by the Company Group of the transactions contemplated hereby and thereby have been duly authorized by all requisite action on the part of each member of the Company Group. This Agreement and each Transaction Document to which each member of the Company Group is a party has been duly executed and delivered by the applicable member of the Company Group, and (assuming due authorization, execution and delivery by Buyer) this Agreement and each Transaction Document to which each member of the Company Group is a party constitute a legal, valid and binding obligation of the applicable member of the Company Group, enforceable against such member of the Company Group, in accordance with their respective terms, except as enforceability may be limited by bankruptcy, insolvency or other similar laws affecting the enforcement of creditors’ rights in general and subject to general principles of equity (regardless of whether such enforceability is considered in a proceeding in equity or at law) (the “</w:t>
      </w:r>
      <w:r>
        <w:rPr>
          <w:rFonts w:ascii="Arial" w:cs="Arial" w:eastAsia="Arial" w:hAnsi="Arial"/>
          <w:sz w:val="16"/>
          <w:szCs w:val="16"/>
          <w:b w:val="1"/>
          <w:bCs w:val="1"/>
          <w:i w:val="1"/>
          <w:iCs w:val="1"/>
          <w:color w:val="auto"/>
        </w:rPr>
        <w:t>Enforceability Exceptions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Disclosure Schedule, No other proceeding, consent, approval, vote or other action on the part of any member of the Company Group is necessary to approve the execution and delivery by such member of the Company Group of this Agreement or the other Transaction Documents to which such member of the Company Group is a party or to consummate the transactions contemplated hereby and thereby.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8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Consents of Third Parties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Disclosure Schedule, the execution, delivery and performance by the Company of this Agreement or the Transaction Documents to which it is a party, as applicable, and the consummation of the transactions contemplated hereby and thereby, do not and, as of immediately following the Closing will not: (a) violate or conflict in any way with any applicable Law of any Governmental Authority to which any member of the Company Group is subject or any provision of the Organizational Documents of any member of the Company Group, or result in the creation of any Encumbrance upon any assets of any member of the Company Group pursuant to the terms thereof, (b) conflict with, result in a breach of, constitute a default under (with or without notice or lapse of time, or both), result in the acceleration of, create in any party the right to accelerate, terminate, modify or cancel, require any notice or consent under, or result in the creation of any Encumbrance upon any asset of any member of the Company Group pursuant to the terms of, any Contract, Lease, Benefit Plan, Permit, indenture, agreement for borrowed money, instrument of Indebtedness, Encumbrance (other than Permitted Encumbrances) or other arrangement to which any member of the Company Group is a party or by which any member of the Company Group is bound or to which any of its respective assets are subject, in each case in any material respect, (c) give rise to a potential release, disclosure or delivery of any Intellectual Property Assets by or to any escrow agent or other Person; or (d) give rise to a grant, assignment or transfer to any other Person of any license or other right or interest under, to or in any of the Owned IP. No member of the Company Group is required to give any notice to, make any filing with, or obtain any authorization, consent, or approval of any Governmental Authority or any other Person in order for the Parties to consummate the transactions contemplated by this Agreement or the Transaction Documents and in order that such transactions not constitute a breach or violation of, or result in a right of termination or acceleration or any Encumbrance on the Company Group’s assets pursuant to the provisions of, any Law, Contract, Lease or any Permit.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Title to and Sufficiency of Assets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3"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Disclosure Schedule, (i) the Company Group has good and valid title to, or good and valid leasehold interest in, all of its material assets reflected on the Company Group’s balance sheet as of the Latest Balance Sheet Date and acquired by any member of the Company Group after the Latest Balance Sheet Date, other than properties and assets sold or otherwise disposed of in the Ordinary Course of Business since the Latest Balance Sheet Date, free and clear of any Encumbrances, except for Permitted Encumbrances, and (ii) there is no Contract granting any Person or recognizing with respect to any Person any ownership or vesting right in, or any right of first refusal, right of first offer, preemptive right or other preferential right to purchase, any of the material assets or properties of the Company Group or any portion thereof or interest therein.</w:t>
      </w:r>
    </w:p>
    <w:p>
      <w:pPr>
        <w:spacing w:after="0" w:line="164" w:lineRule="exact"/>
        <w:rPr>
          <w:rFonts w:ascii="Arial" w:cs="Arial" w:eastAsia="Arial" w:hAnsi="Arial"/>
          <w:sz w:val="16"/>
          <w:szCs w:val="16"/>
          <w:color w:val="auto"/>
        </w:rPr>
      </w:pPr>
    </w:p>
    <w:p>
      <w:pPr>
        <w:ind w:firstLine="1304"/>
        <w:spacing w:after="0" w:line="277" w:lineRule="auto"/>
        <w:tabs>
          <w:tab w:leader="none" w:pos="15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assets of the Company Group are sufficient in all material respects for the continued conduct of the Business as of immediately following the Closing in substantially the same manner as conducted by such Persons immediately prior to the Closing.</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 of the Members owns, whether directly or indirectly (other than indirectly through their ownership of the Company Interests), any assets used by any member of the Company Group. The Company Group’s buildings, improvements, fixtures, machinery, equipment and other tangible assets (whether owned or leased) are, except for ordinary wear and tear, in good condition and repair and are usable in the Ordinary Course of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Capitalization; Subsidiaries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All of the issued and outstanding Equity Securities of the Company are owned beneficially and of record as set forth in </w:t>
      </w:r>
      <w:r>
        <w:rPr>
          <w:rFonts w:ascii="Arial" w:cs="Arial" w:eastAsia="Arial" w:hAnsi="Arial"/>
          <w:sz w:val="16"/>
          <w:szCs w:val="16"/>
          <w:u w:val="single" w:color="auto"/>
          <w:color w:val="auto"/>
        </w:rPr>
        <w:t>Section 3.5(a)</w:t>
      </w:r>
    </w:p>
    <w:p>
      <w:pPr>
        <w:spacing w:after="0" w:line="46" w:lineRule="exact"/>
        <w:rPr>
          <w:rFonts w:ascii="Arial" w:cs="Arial" w:eastAsia="Arial" w:hAnsi="Arial"/>
          <w:sz w:val="16"/>
          <w:szCs w:val="16"/>
          <w:color w:val="auto"/>
        </w:rPr>
      </w:pPr>
    </w:p>
    <w:p>
      <w:pPr>
        <w:jc w:val="both"/>
        <w:ind w:firstLine="8"/>
        <w:spacing w:after="0" w:line="267" w:lineRule="auto"/>
        <w:tabs>
          <w:tab w:leader="none" w:pos="215" w:val="left"/>
        </w:tabs>
        <w:numPr>
          <w:ilvl w:val="0"/>
          <w:numId w:val="22"/>
        </w:numPr>
        <w:rPr>
          <w:rFonts w:ascii="Arial" w:cs="Arial" w:eastAsia="Arial" w:hAnsi="Arial"/>
          <w:sz w:val="17"/>
          <w:szCs w:val="17"/>
          <w:u w:val="single" w:color="auto"/>
          <w:color w:val="auto"/>
        </w:rPr>
      </w:pPr>
      <w:r>
        <w:rPr>
          <w:rFonts w:ascii="Arial" w:cs="Arial" w:eastAsia="Arial" w:hAnsi="Arial"/>
          <w:sz w:val="17"/>
          <w:szCs w:val="17"/>
          <w:color w:val="auto"/>
        </w:rPr>
        <w:t xml:space="preserve">of the Disclosure Schedule. All of the issued and outstanding Equity Securities of the Subsidiaries are owned beneficially and of record by the Company. All of the issued and outstanding Equity Securities of each member of the Company Group have been duly authorized, validly issued, fully paid, and nonassessable, and are not subject to and were not issued in violation of any preemptive or similar rights. Other than as set forth in </w:t>
      </w:r>
      <w:r>
        <w:rPr>
          <w:rFonts w:ascii="Arial" w:cs="Arial" w:eastAsia="Arial" w:hAnsi="Arial"/>
          <w:sz w:val="17"/>
          <w:szCs w:val="17"/>
          <w:u w:val="single" w:color="auto"/>
          <w:color w:val="auto"/>
        </w:rPr>
        <w:t>Section 3.5(a)(ii)</w:t>
      </w:r>
      <w:r>
        <w:rPr>
          <w:rFonts w:ascii="Arial" w:cs="Arial" w:eastAsia="Arial" w:hAnsi="Arial"/>
          <w:sz w:val="17"/>
          <w:szCs w:val="17"/>
          <w:color w:val="auto"/>
        </w:rPr>
        <w:t xml:space="preserve"> of the Disclosure Schedule, there are no currently outstanding or authorized options, phantom stock or interests, warrants, rights, contracts, rights of first refusal or first offer, calls, puts, rights to subscribe, conversion rights, or other agreements or commitments to which any member of the Company Group is a party or which are binding upon any member of the Company Group providing for the issuance, disposition, or acquisition of any Equity Securities of any member of the Company Group. There are no outstanding or authorized stock appreciation, equity appreciation, phantom stock, or similar rights with respect to any member of the Company Group, and there are no contractual or statutory preemptive rights or similar restrictions with respect to the issuance or transfer of any shares of capital stock or other Equity Securities of any member of the Company Group. There are no voting trusts, proxies, or any other agreements, restrictions or understandings with respect to the voting of any of the capital stock or other Equity Securities of any member of the Company Group. No member of the Company Group is subject to any obligation (contingent or otherwise) to repurchase or otherwise acquire or retire any Equity Securities of such Company Group member.</w:t>
      </w:r>
    </w:p>
    <w:p>
      <w:pPr>
        <w:spacing w:after="0" w:line="184" w:lineRule="exact"/>
        <w:rPr>
          <w:rFonts w:ascii="Arial" w:cs="Arial" w:eastAsia="Arial" w:hAnsi="Arial"/>
          <w:sz w:val="17"/>
          <w:szCs w:val="17"/>
          <w:u w:val="single" w:color="auto"/>
          <w:color w:val="auto"/>
        </w:rPr>
      </w:pPr>
    </w:p>
    <w:p>
      <w:pPr>
        <w:ind w:firstLine="1304"/>
        <w:spacing w:after="0" w:line="277" w:lineRule="auto"/>
        <w:tabs>
          <w:tab w:leader="none" w:pos="15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for the Company’s ownership of the Equity Securities of the Subsidiaries, no member of the Company Group owns or holds the right to acquire any Equity Securities in any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3" w:lineRule="auto"/>
        <w:tabs>
          <w:tab w:leader="none" w:pos="15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Attached hereto in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of the Disclosure Schedule are copies of: (i) the annual consolidated unaudited balance sheet and statement of profit and loss of the Company Group as of December 31, 2019 and December 31, 2020 (“</w:t>
      </w:r>
      <w:r>
        <w:rPr>
          <w:rFonts w:ascii="Arial" w:cs="Arial" w:eastAsia="Arial" w:hAnsi="Arial"/>
          <w:sz w:val="17"/>
          <w:szCs w:val="17"/>
          <w:b w:val="1"/>
          <w:bCs w:val="1"/>
          <w:i w:val="1"/>
          <w:iCs w:val="1"/>
          <w:color w:val="auto"/>
        </w:rPr>
        <w:t>Latest Annual Financial Statements</w:t>
      </w:r>
      <w:r>
        <w:rPr>
          <w:rFonts w:ascii="Arial" w:cs="Arial" w:eastAsia="Arial" w:hAnsi="Arial"/>
          <w:sz w:val="17"/>
          <w:szCs w:val="17"/>
          <w:color w:val="auto"/>
        </w:rPr>
        <w:t>”), and (ii) the consolidated unaudited balance sheet (the “</w:t>
      </w:r>
      <w:r>
        <w:rPr>
          <w:rFonts w:ascii="Arial" w:cs="Arial" w:eastAsia="Arial" w:hAnsi="Arial"/>
          <w:sz w:val="17"/>
          <w:szCs w:val="17"/>
          <w:b w:val="1"/>
          <w:bCs w:val="1"/>
          <w:i w:val="1"/>
          <w:iCs w:val="1"/>
          <w:color w:val="auto"/>
        </w:rPr>
        <w:t>Latest Balance Sheet</w:t>
      </w:r>
      <w:r>
        <w:rPr>
          <w:rFonts w:ascii="Arial" w:cs="Arial" w:eastAsia="Arial" w:hAnsi="Arial"/>
          <w:sz w:val="17"/>
          <w:szCs w:val="17"/>
          <w:color w:val="auto"/>
        </w:rPr>
        <w:t>”) and statement of profit and loss of the Company Group as of October 31, 2021 (collectively, with the Latest Annual Financial Statements, the “</w:t>
      </w:r>
      <w:r>
        <w:rPr>
          <w:rFonts w:ascii="Arial" w:cs="Arial" w:eastAsia="Arial" w:hAnsi="Arial"/>
          <w:sz w:val="17"/>
          <w:szCs w:val="17"/>
          <w:b w:val="1"/>
          <w:bCs w:val="1"/>
          <w:i w:val="1"/>
          <w:iCs w:val="1"/>
          <w:color w:val="auto"/>
        </w:rPr>
        <w:t>Financial Statements</w:t>
      </w:r>
      <w:r>
        <w:rPr>
          <w:rFonts w:ascii="Arial" w:cs="Arial" w:eastAsia="Arial" w:hAnsi="Arial"/>
          <w:sz w:val="17"/>
          <w:szCs w:val="17"/>
          <w:color w:val="auto"/>
        </w:rPr>
        <w:t>”). The Financial Statements have been prepared in accordance with the Accounting Principles throughout the periods covered thereby and present fairly in all material respects the financial condition of the Company Group as of such dates and the results of operations of the Company Group for such periods.</w:t>
      </w:r>
    </w:p>
    <w:p>
      <w:pPr>
        <w:spacing w:after="0" w:line="177" w:lineRule="exact"/>
        <w:rPr>
          <w:rFonts w:ascii="Arial" w:cs="Arial" w:eastAsia="Arial" w:hAnsi="Arial"/>
          <w:sz w:val="17"/>
          <w:szCs w:val="17"/>
          <w:color w:val="auto"/>
        </w:rPr>
      </w:pPr>
    </w:p>
    <w:p>
      <w:pPr>
        <w:jc w:val="both"/>
        <w:ind w:firstLine="1304"/>
        <w:spacing w:after="0" w:line="275" w:lineRule="auto"/>
        <w:tabs>
          <w:tab w:leader="none" w:pos="15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of the Financial Statements have been prepared based on the books and records of the Company Group and kept in the Ordinary Course of Business. There has never been (i) any fraud by the employees of any member of the Company Group, (ii) any criminal wrongdoing that involves any employee of any member of the Company Group who has or had a role in the preparation of financial statements or the internal accounting controls used by any member of the Company Group or (iii) any written claim or allegation regarding any of the foregoing, in each case, that has resulted in or would reasonably be expected to result in material loss or Liability to any member of the Company Group.</w:t>
      </w:r>
    </w:p>
    <w:p>
      <w:pPr>
        <w:spacing w:after="0" w:line="176" w:lineRule="exact"/>
        <w:rPr>
          <w:rFonts w:ascii="Arial" w:cs="Arial" w:eastAsia="Arial" w:hAnsi="Arial"/>
          <w:sz w:val="17"/>
          <w:szCs w:val="17"/>
          <w:color w:val="auto"/>
        </w:rPr>
      </w:pPr>
    </w:p>
    <w:p>
      <w:pPr>
        <w:jc w:val="both"/>
        <w:ind w:firstLine="1304"/>
        <w:spacing w:after="0" w:line="25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Accounts Receivable reflected in the Latest Balance Sheet, and all of the Accounts Receivable outstanding as of the date of this Agreement, arose from bona fide, arm’s length transactions in the Ordinary Course of Business, are subject only to the reserve for bad debts set forth on the Latest Balance Sheet, were accurately determined and none of them is subject to any defense, counterclaim or setoff. The Accounts Receivable (including any such Accounts Receivable arising after the Latest Balance Sheet Date) of each member of the Company Group are collectible in full within ninety (90) days after billing.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Absence of Undisclosed Liabilities</w:t>
      </w:r>
      <w:r>
        <w:rPr>
          <w:rFonts w:ascii="Arial" w:cs="Arial" w:eastAsia="Arial" w:hAnsi="Arial"/>
          <w:sz w:val="18"/>
          <w:szCs w:val="18"/>
          <w:color w:val="auto"/>
        </w:rPr>
        <w:t>. Each member of the Company Group does not have any material Liabilities or obligations required to be accrued or reserved against in a balance sheet prepared in accordance with the Accounting Principles, whether accrued, absolute, contingent or otherwise, except (a) those which are specifically reflected and/or adequately reserved in the Latest Balance Sheet, or (b) Liabilities which have arisen after the Latest Balance Sheet Date in the Ordinary Course of Business (none of which relates to any breach of Contract, breach of warranty, tort, infringement, or violation of Law or arose out of any Action).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Absence of Certain Changes, Events or Conditions</w:t>
      </w:r>
      <w:r>
        <w:rPr>
          <w:rFonts w:ascii="Arial" w:cs="Arial" w:eastAsia="Arial" w:hAnsi="Arial"/>
          <w:sz w:val="18"/>
          <w:szCs w:val="18"/>
          <w:color w:val="auto"/>
        </w:rPr>
        <w:t xml:space="preserve">. Since the Latest Balance Sheet Date, the Company Group has not experienced or suffered any Material Adverse Effect. Without limiting the generality of the foregoing, except as reflected on the Latest Balance Sheet or as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the Disclosure Schedule, since the Latest Balance Sheet Date, the Company has not:</w:t>
      </w:r>
    </w:p>
    <w:p>
      <w:pPr>
        <w:spacing w:after="0" w:line="184" w:lineRule="exact"/>
        <w:rPr>
          <w:sz w:val="20"/>
          <w:szCs w:val="20"/>
          <w:color w:val="auto"/>
        </w:rPr>
      </w:pPr>
    </w:p>
    <w:p>
      <w:pPr>
        <w:ind w:left="1580" w:hanging="276"/>
        <w:spacing w:after="0"/>
        <w:tabs>
          <w:tab w:leader="none" w:pos="1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changed any method of accounting or accounting practice for any member of the Company Group, except as disclosed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Disclosure Schedule;</w:t>
      </w:r>
    </w:p>
    <w:p>
      <w:pPr>
        <w:spacing w:after="0" w:line="210" w:lineRule="exact"/>
        <w:rPr>
          <w:rFonts w:ascii="Arial" w:cs="Arial" w:eastAsia="Arial" w:hAnsi="Arial"/>
          <w:sz w:val="17"/>
          <w:szCs w:val="17"/>
          <w:color w:val="auto"/>
        </w:rPr>
      </w:pPr>
    </w:p>
    <w:p>
      <w:pPr>
        <w:ind w:firstLine="1304"/>
        <w:spacing w:after="0" w:line="342" w:lineRule="auto"/>
        <w:tabs>
          <w:tab w:leader="none" w:pos="155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implemented any material change in cash management practices and policies, practices and procedures with respect to collection of Accounts Receivable, establishment of reserves for uncollectible Accounts Receivable, deferral of revenue and acceptance of customer deposits;</w:t>
      </w:r>
    </w:p>
    <w:p>
      <w:pPr>
        <w:spacing w:after="0" w:line="123" w:lineRule="exact"/>
        <w:rPr>
          <w:rFonts w:ascii="Arial" w:cs="Arial" w:eastAsia="Arial" w:hAnsi="Arial"/>
          <w:sz w:val="16"/>
          <w:szCs w:val="16"/>
          <w:color w:val="auto"/>
        </w:rPr>
      </w:pPr>
    </w:p>
    <w:p>
      <w:pPr>
        <w:ind w:firstLine="1304"/>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incurred damage, destruction or loss in excess of Fifty Thousand Dollars ($50,000.00), or any interruption in use, of any assets of any member of the Company Group, whether or not covered by insurance;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incurred capital expenditures in excess of Fifty Thousand Dollars ($50,000.00);</w:t>
      </w:r>
    </w:p>
    <w:p>
      <w:pPr>
        <w:spacing w:after="0" w:line="225" w:lineRule="exact"/>
        <w:rPr>
          <w:rFonts w:ascii="Arial" w:cs="Arial" w:eastAsia="Arial" w:hAnsi="Arial"/>
          <w:sz w:val="18"/>
          <w:szCs w:val="18"/>
          <w:color w:val="auto"/>
        </w:rPr>
      </w:pPr>
    </w:p>
    <w:p>
      <w:pPr>
        <w:ind w:right="20" w:firstLine="1304"/>
        <w:spacing w:after="0" w:line="308" w:lineRule="auto"/>
        <w:tabs>
          <w:tab w:leader="none" w:pos="1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granted any bonuses, whether monetary or otherwise, or any general wage or salary increases or decreases or a change in position in respect of any Employees, other than as provided for in any written agreements provided to Buyer or in the Ordinary Course of Business;</w:t>
      </w:r>
    </w:p>
    <w:p>
      <w:pPr>
        <w:spacing w:after="0" w:line="146" w:lineRule="exact"/>
        <w:rPr>
          <w:rFonts w:ascii="Arial" w:cs="Arial" w:eastAsia="Arial" w:hAnsi="Arial"/>
          <w:sz w:val="17"/>
          <w:szCs w:val="17"/>
          <w:color w:val="auto"/>
        </w:rPr>
      </w:pPr>
    </w:p>
    <w:p>
      <w:pPr>
        <w:jc w:val="both"/>
        <w:ind w:firstLine="1304"/>
        <w:spacing w:after="0" w:line="272" w:lineRule="auto"/>
        <w:tabs>
          <w:tab w:leader="none" w:pos="1521"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except as required under the terms of any Benefit Plan or applicable Law: (i) granted any incentive, bonus, equity or equity-based, or other similar awards, or accelerate the funding, vesting or payment of any compensation or benefit (including, but not limited to, equity compensation); (ii) materially terminated, modified or amended any Benefit Plan; (iii) established, adopted, amended or entered into any plan, policy or arrangement for the current or future benefit of any current or former Employees, officer, director or service providers of any member of the Company Group that would be a Benefit Plan if it were in existence as of the date hereof or (iv) granted severance, change in control, retention or termination pay to, or adopted, entered into or amended any severance retention, termination, employment, consulting, bonus, change in control or severance agreement with any current or former Employee, officer, director or service provider of any member of the Company Group;</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modified, extended, terminated or entered into any Labor Agreement or recognized or certified any labor union, labor organization, works council, or group of employees of any member of the Company Group as the bargaining representative for any employees of such Company Group member;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1304"/>
        <w:spacing w:after="0" w:line="277" w:lineRule="auto"/>
        <w:tabs>
          <w:tab w:leader="none" w:pos="15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implemented or announced any employee layoffs, plant closings, reductions in force, furloughs, temporary layoffs, salary or wage reductions, work schedule changes or other such actions that would reasonably be expected to implicate the WARN Act;</w:t>
      </w:r>
    </w:p>
    <w:p>
      <w:pPr>
        <w:spacing w:after="0" w:line="170" w:lineRule="exact"/>
        <w:rPr>
          <w:rFonts w:ascii="Arial" w:cs="Arial" w:eastAsia="Arial" w:hAnsi="Arial"/>
          <w:sz w:val="18"/>
          <w:szCs w:val="18"/>
          <w:color w:val="auto"/>
        </w:rPr>
      </w:pPr>
    </w:p>
    <w:p>
      <w:pPr>
        <w:ind w:right="20" w:firstLine="1304"/>
        <w:spacing w:after="0" w:line="277" w:lineRule="auto"/>
        <w:tabs>
          <w:tab w:leader="none" w:pos="15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hired, engaged, terminated (without cause), furloughed, or temporarily laid off any employee or independent contractor with annual compensation in excess of Fifty Thousand Dollars ($50,000.00);</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entered into or terminated any employment agreement with an Employee that provides for other than at-will employment, for any severance upon termination, any equity-based award (including grant of, or modification to, any Equity Securities), or a collective bargaining agreement covering any of the Employees, written or oral, or material modification of the terms of any such existing agreement;</w:t>
      </w:r>
    </w:p>
    <w:p>
      <w:pPr>
        <w:spacing w:after="0" w:line="183" w:lineRule="exact"/>
        <w:rPr>
          <w:rFonts w:ascii="Arial" w:cs="Arial" w:eastAsia="Arial" w:hAnsi="Arial"/>
          <w:sz w:val="18"/>
          <w:szCs w:val="18"/>
          <w:color w:val="auto"/>
        </w:rPr>
      </w:pPr>
    </w:p>
    <w:p>
      <w:pPr>
        <w:ind w:firstLine="1304"/>
        <w:spacing w:after="0" w:line="277" w:lineRule="auto"/>
        <w:tabs>
          <w:tab w:leader="none" w:pos="15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made any loan to, or entered into, any transaction with (other than compensation for services rendered as an Employee), any of the Members or current or former directors, officers or Employees;</w:t>
      </w:r>
    </w:p>
    <w:p>
      <w:pPr>
        <w:spacing w:after="0" w:line="170" w:lineRule="exact"/>
        <w:rPr>
          <w:rFonts w:ascii="Arial" w:cs="Arial" w:eastAsia="Arial" w:hAnsi="Arial"/>
          <w:sz w:val="18"/>
          <w:szCs w:val="18"/>
          <w:color w:val="auto"/>
        </w:rPr>
      </w:pPr>
    </w:p>
    <w:p>
      <w:pPr>
        <w:ind w:firstLine="1304"/>
        <w:spacing w:after="0" w:line="277" w:lineRule="auto"/>
        <w:tabs>
          <w:tab w:leader="none" w:pos="15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adopted any plan of merger, consolidation, reorganization, liquidation or dissolution or filed a petition in bankruptcy under any provisions of federal or state bankruptcy Law or consent to the filing of any bankruptcy petition against it under any similar Law;</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6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made or changed any Tax election, changed any annual accounting period, changed any method of accounting, filed any amended Tax Return, failed to pay any material Tax that became due and payable, entered into or signed any closing or settlement agreement, surrendered of a right to claim a refund, consented to extend or waived a statute of limitations period applicable to any claim or assessment, in each case, with respect to Taxes;</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commenced, compromised, waived or settled any Action;</w:t>
      </w:r>
    </w:p>
    <w:p>
      <w:pPr>
        <w:spacing w:after="0" w:line="225" w:lineRule="exact"/>
        <w:rPr>
          <w:rFonts w:ascii="Arial" w:cs="Arial" w:eastAsia="Arial" w:hAnsi="Arial"/>
          <w:sz w:val="18"/>
          <w:szCs w:val="18"/>
          <w:color w:val="auto"/>
        </w:rPr>
      </w:pPr>
    </w:p>
    <w:p>
      <w:pPr>
        <w:ind w:right="20" w:firstLine="1304"/>
        <w:spacing w:after="0" w:line="277" w:lineRule="auto"/>
        <w:tabs>
          <w:tab w:leader="none" w:pos="15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waived or released any noncompetition, non-solicitation, nondisclosure, noninterference, non-disparagement or other restrictive covenant obligation of any current or former employee or independent contractor of any member of the Company Group;</w:t>
      </w:r>
    </w:p>
    <w:p>
      <w:pPr>
        <w:spacing w:after="0" w:line="170" w:lineRule="exact"/>
        <w:rPr>
          <w:rFonts w:ascii="Arial" w:cs="Arial" w:eastAsia="Arial" w:hAnsi="Arial"/>
          <w:sz w:val="18"/>
          <w:szCs w:val="18"/>
          <w:color w:val="auto"/>
        </w:rPr>
      </w:pPr>
    </w:p>
    <w:p>
      <w:pPr>
        <w:jc w:val="both"/>
        <w:ind w:right="20" w:firstLine="1304"/>
        <w:spacing w:after="0" w:line="286" w:lineRule="auto"/>
        <w:tabs>
          <w:tab w:leader="none" w:pos="155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Company’s Knowledge, disclosed any Trade Secrets (other than pursuant to a written confidentiality agreement entered into in the Ordinary Course of Business with reasonable protections of, and preserving all rights of the Company Group in such Trade Secrets) or, except in the Ordinary Course of Business, disclosed, licensed, released, delivered, escrowed or made available any Source Code;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5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made any material adverse change to the operation or security of any Business Systems or the Company Group’s respective rules, policies, or procedures with respect to Protected Data Requirements, Personal Data, or Confidential Information, except to the extent required by applicable Law; or</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agreed or contracted to do any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Legal Actions; Government Orders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firstLine="1304"/>
        <w:spacing w:after="0" w:line="301" w:lineRule="auto"/>
        <w:tabs>
          <w:tab w:leader="none" w:pos="1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Disclosure Schedule, there are, and for the past three (3) years there have been no, Actions pending, or, to the Company’s Knowledge, threatened by or against (x) any member of the Company Group or (y) any officers, directors or managers of any member of the Company Group, in their capacities as such, in the case of this clause (y), (i) relating to or affecting any member of the Company Group or their properties or assets, or (ii) that challenge or seek to prevent, enjoin or otherwise delay the transactions contemplated by this Agreement; and</w:t>
      </w:r>
    </w:p>
    <w:p>
      <w:pPr>
        <w:spacing w:after="0" w:line="157" w:lineRule="exact"/>
        <w:rPr>
          <w:rFonts w:ascii="Arial" w:cs="Arial" w:eastAsia="Arial" w:hAnsi="Arial"/>
          <w:sz w:val="16"/>
          <w:szCs w:val="16"/>
          <w:color w:val="auto"/>
        </w:rPr>
      </w:pPr>
    </w:p>
    <w:p>
      <w:pPr>
        <w:jc w:val="both"/>
        <w:ind w:firstLine="1304"/>
        <w:spacing w:after="0" w:line="342" w:lineRule="auto"/>
        <w:tabs>
          <w:tab w:leader="none" w:pos="15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are no, and for the past three (3) years there have been no, outstanding Governmental Orders and no unsatisfied judgments, penalties or awards against, relating to or affecting any member of the Company Group or any of their respective properties or assets (including Owned IP).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member of the Company Group is and, at all times in the past three (3) years, have been in compliance in all material respects with any and all applicable Laws, Governmental Orders, and agreements with any Governmental Authority to which the Company or their assets or activities are subject, including any unfair labor practice charges with respect to any member of the Company Group before the National Labor Relations Board or any similar Governmental Authority or labor relations tribunal.</w:t>
      </w:r>
    </w:p>
    <w:p>
      <w:pPr>
        <w:spacing w:after="0" w:line="186" w:lineRule="exact"/>
        <w:rPr>
          <w:rFonts w:ascii="Arial" w:cs="Arial" w:eastAsia="Arial" w:hAnsi="Arial"/>
          <w:sz w:val="18"/>
          <w:szCs w:val="18"/>
          <w:color w:val="auto"/>
        </w:rPr>
      </w:pPr>
    </w:p>
    <w:p>
      <w:pPr>
        <w:ind w:right="20" w:firstLine="1304"/>
        <w:spacing w:after="0" w:line="342" w:lineRule="auto"/>
        <w:tabs>
          <w:tab w:leader="none" w:pos="15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member of the Company Group is not, nor has any manager, director, officer, employee or, to the Company’s Knowledge, any agent or other Person acting on behalf of such member of the Company Group in the course of its actions for, or on behalf of the Company Group:</w:t>
      </w:r>
    </w:p>
    <w:p>
      <w:pPr>
        <w:spacing w:after="0" w:line="123" w:lineRule="exact"/>
        <w:rPr>
          <w:rFonts w:ascii="Arial" w:cs="Arial" w:eastAsia="Arial" w:hAnsi="Arial"/>
          <w:sz w:val="16"/>
          <w:szCs w:val="16"/>
          <w:color w:val="auto"/>
        </w:rPr>
      </w:pPr>
    </w:p>
    <w:p>
      <w:pPr>
        <w:jc w:val="both"/>
        <w:ind w:left="660" w:firstLine="1292"/>
        <w:spacing w:after="0" w:line="272" w:lineRule="auto"/>
        <w:tabs>
          <w:tab w:leader="none" w:pos="2198" w:val="left"/>
        </w:tabs>
        <w:numPr>
          <w:ilvl w:val="1"/>
          <w:numId w:val="27"/>
        </w:numPr>
        <w:rPr>
          <w:rFonts w:ascii="Arial" w:cs="Arial" w:eastAsia="Arial" w:hAnsi="Arial"/>
          <w:sz w:val="17"/>
          <w:szCs w:val="17"/>
          <w:color w:val="auto"/>
        </w:rPr>
      </w:pPr>
      <w:r>
        <w:rPr>
          <w:rFonts w:ascii="Arial" w:cs="Arial" w:eastAsia="Arial" w:hAnsi="Arial"/>
          <w:sz w:val="17"/>
          <w:szCs w:val="17"/>
          <w:color w:val="auto"/>
        </w:rPr>
        <w:t>has used any corporate funds for any unlawful contribution, gift, entertainment or other unlawful expenses relating to political activity; (ii) has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or foreign employee from any corporate funds; (iii) has violated or is in violation of any provision of the FCPA or any applicable non-U.S. anti-bribery or anti-money laundering statute or regulation (collectively, “</w:t>
      </w:r>
      <w:r>
        <w:rPr>
          <w:rFonts w:ascii="Arial" w:cs="Arial" w:eastAsia="Arial" w:hAnsi="Arial"/>
          <w:sz w:val="17"/>
          <w:szCs w:val="17"/>
          <w:b w:val="1"/>
          <w:bCs w:val="1"/>
          <w:i w:val="1"/>
          <w:iCs w:val="1"/>
          <w:color w:val="auto"/>
        </w:rPr>
        <w:t>Anti-Corruption Laws</w:t>
      </w:r>
      <w:r>
        <w:rPr>
          <w:rFonts w:ascii="Arial" w:cs="Arial" w:eastAsia="Arial" w:hAnsi="Arial"/>
          <w:sz w:val="17"/>
          <w:szCs w:val="17"/>
          <w:color w:val="auto"/>
        </w:rPr>
        <w:t>”); or (iv) has made, offered, authorized or facilitated any unlawful bribe, rebate, payoff, influence payment, kickback, financial or other advantage, or other unlawful payment, regardless of form or amount, to any domestic government official, such foreign official or employee or to any other Person.</w:t>
      </w:r>
    </w:p>
    <w:p>
      <w:pPr>
        <w:spacing w:after="0" w:line="177" w:lineRule="exact"/>
        <w:rPr>
          <w:rFonts w:ascii="Arial" w:cs="Arial" w:eastAsia="Arial" w:hAnsi="Arial"/>
          <w:sz w:val="17"/>
          <w:szCs w:val="17"/>
          <w:color w:val="auto"/>
        </w:rPr>
      </w:pPr>
    </w:p>
    <w:p>
      <w:pPr>
        <w:jc w:val="both"/>
        <w:ind w:left="660" w:right="20" w:firstLine="1292"/>
        <w:spacing w:after="0" w:line="286" w:lineRule="auto"/>
        <w:tabs>
          <w:tab w:leader="none" w:pos="2234" w:val="left"/>
        </w:tabs>
        <w:numPr>
          <w:ilvl w:val="1"/>
          <w:numId w:val="27"/>
        </w:numPr>
        <w:rPr>
          <w:rFonts w:ascii="Arial" w:cs="Arial" w:eastAsia="Arial" w:hAnsi="Arial"/>
          <w:sz w:val="17"/>
          <w:szCs w:val="17"/>
          <w:color w:val="auto"/>
        </w:rPr>
      </w:pPr>
      <w:r>
        <w:rPr>
          <w:rFonts w:ascii="Arial" w:cs="Arial" w:eastAsia="Arial" w:hAnsi="Arial"/>
          <w:sz w:val="17"/>
          <w:szCs w:val="17"/>
          <w:color w:val="auto"/>
        </w:rPr>
        <w:t>is currently or has in the past three (3) years been: (A) a Sanctioned Person; (B) operating in, organized in, conducting business with, or otherwise engaging in dealings with or for the benefit of any Sanctioned Person or in or for the benefit of any Sanctioned Country; or (C) otherwise in violation of any Sanctions and Export Control Laws or U.S. antiboycott requirements (“</w:t>
      </w:r>
      <w:r>
        <w:rPr>
          <w:rFonts w:ascii="Arial" w:cs="Arial" w:eastAsia="Arial" w:hAnsi="Arial"/>
          <w:sz w:val="17"/>
          <w:szCs w:val="17"/>
          <w:b w:val="1"/>
          <w:bCs w:val="1"/>
          <w:i w:val="1"/>
          <w:iCs w:val="1"/>
          <w:color w:val="auto"/>
        </w:rPr>
        <w:t>Trade Controls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660" w:firstLine="1292"/>
        <w:spacing w:after="0" w:line="259" w:lineRule="auto"/>
        <w:tabs>
          <w:tab w:leader="none" w:pos="22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or has been the subject of any enforcement proceedings, or to the Company’s Knowledge, any investigation, inquiry by any Governmental Authority regarding any offense or alleged offense under Trade Controls or Anti-Corruption Laws (including by virtue of having made any disclosure relating to any offense or alleged offense), and no such investigation, inquiry or proceedings have, to the Company’s Knowledge, been threatened.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304"/>
        <w:spacing w:after="0" w:line="275" w:lineRule="auto"/>
        <w:tabs>
          <w:tab w:leader="none" w:pos="15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all times in the past three (3) years, all Permits required or necessary for each member of the Company Group to conduct its business and to use its properties and assets, each as currently conducted, have been obtained by the applicable member of the Company Group and are valid and in full force and effect. All fees and charges with respect to such Permits due on or prior to the Closing Date (but not payments that may become due after the Closing Date) have been paid in full. No event has occurred that, with or without notice or lapse of time or both, would reasonably be expected to result in the revocation, suspension, lapse or limitation of any material Permit.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firstLine="1304"/>
        <w:spacing w:after="0" w:line="259"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member of the Company Group has (i) timely filed all Tax Returns required to be filed by it, and all such Tax Returns have been properly completed in compliance with all applicable Laws, and are true, correct and complete; and (ii) timely paid all Taxes owed by or with respect to such member of the Company Group (whether or not shown as due on any such Tax Returns). No member of the Company Group is currently the beneficiary of any extension of time within which to file any Tax Return.</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made available to Buyer copies of all Tax Returns filed with respect to each member of the Company Group for taxable periods ending on or after December 31, 2017. None of the Company Group’s Tax Returns provided to Buyer have been audited, and none currently are the subject of audit, and there are no examination reports or statements of deficiencies assessed against or agreed to by any member of the Company Group for taxable periods covered by such Tax Returns.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member of the Company Group has timely withheld and paid over to the appropriate Taxing Authority all Taxes which it is required to withhold from amounts paid or owing to any employee, creditor, holder of Equity Securities or other third party, and each member of the Company Group has complied with all information reporting (including IRS Form 1099) and any applicable backup withholding requirements, including maintenance of required records with respect thereto.</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no Encumbrances relating or attributable to Taxes encumbering the property and assets of any member of the Company Group nor, to the Company’s Knowledge, is any Taxing Authority in the process of imposing any Encumbrances for Taxes on any member of the Company Group or its assets, other than Permitted Encumbrances.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no (and, since January 1, 2018, there have not been any): (i) pending or threatened claims in writing by any Taxing Authority with respect to Taxes relating or attributable to any member of the Company Group; (ii) deficiencies for any Tax, claim for additional Taxes, or other material dispute or claim relating or attributable to any Tax Liability of any member of the Company Group issued or raised by any Taxing Authority; or (iii) claims by any Taxing Authority in a jurisdiction where any member of the Company Group does not file Tax Returns that the applicable member of the Company Group is or may be subject to taxation in that jurisdiction.</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member of the Company Group has waived any statute of limitations for the period of assessment or collection of Taxes, or agreed to (or requested) any extension of time for the period with respect to a Tax assessment or deficiency, which period (after giving effect to such waiver or extension) has not yet expired.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member of the Company Group is a party to, is bound by or has any obligation under, any Tax Sharing Agreement or any closing or similar agreement, Tax abatement or similar agreement or any other agreements with any Taxing Authority with respect to any period for which the statute of limitations has not expired.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304"/>
        <w:spacing w:after="0" w:line="257" w:lineRule="auto"/>
        <w:tabs>
          <w:tab w:leader="none" w:pos="15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no unpaid Periodic Taxes imposed by any Taxing Authority on any member of the Company Group, other than Periodic Taxes not yet due and payable. The Company Group’s Liability for unpaid Taxes, whether to any Governmental Authority or to another Person: (i) did not as of the Latest Balance Sheet Date, exceed the reserve for Tax Liability (excluding reserves for deferred Tax assets or deferred Tax Liabilities) set forth on the face of the Latest Balance Sheet; and (ii) does not exceed the reserve as adjusted for the passage of time through the Closing Date in accordance with the custom and practice of the Company Group in filing its Tax Returns.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member of the Company Group has duly and timely collected and remitted all sales, use, excise or similar Taxes related or attributable to the applicable member of the Company Group and its business in accordance with all applicable Laws as a transferee or successor, by contract or otherwise.</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member of the Company Group has been a party to any “listed transaction” as defined in Code Section 6707A(c)(2).</w:t>
      </w:r>
    </w:p>
    <w:p>
      <w:pPr>
        <w:spacing w:after="0" w:line="225" w:lineRule="exact"/>
        <w:rPr>
          <w:rFonts w:ascii="Arial" w:cs="Arial" w:eastAsia="Arial" w:hAnsi="Arial"/>
          <w:sz w:val="18"/>
          <w:szCs w:val="18"/>
          <w:color w:val="auto"/>
        </w:rPr>
      </w:pPr>
    </w:p>
    <w:p>
      <w:pPr>
        <w:ind w:right="20" w:firstLine="1304"/>
        <w:spacing w:after="0" w:line="308" w:lineRule="auto"/>
        <w:tabs>
          <w:tab w:leader="none" w:pos="15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member of the Company Group has received from any Governmental Authority any written notice that proposed a material reassessment (for property or ad valorem Tax purposes) of any assets or any property owned by the applicable member of the Company Group.</w:t>
      </w:r>
    </w:p>
    <w:p>
      <w:pPr>
        <w:spacing w:after="0" w:line="146" w:lineRule="exact"/>
        <w:rPr>
          <w:rFonts w:ascii="Arial" w:cs="Arial" w:eastAsia="Arial" w:hAnsi="Arial"/>
          <w:sz w:val="17"/>
          <w:szCs w:val="17"/>
          <w:color w:val="auto"/>
        </w:rPr>
      </w:pPr>
    </w:p>
    <w:p>
      <w:pPr>
        <w:ind w:firstLine="1304"/>
        <w:spacing w:after="0" w:line="277" w:lineRule="auto"/>
        <w:tabs>
          <w:tab w:leader="none" w:pos="15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member of the Company Group has a permanent establishment (within the meaning of an applicable Tax treaty) or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firstLine="1304"/>
        <w:spacing w:after="0" w:line="277" w:lineRule="auto"/>
        <w:tabs>
          <w:tab w:leader="none" w:pos="16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estimated Taxes required to be paid by or with respect to any member of the Company Group have been paid to the proper Governmental Authority.</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1551"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member of the Company Group will be required to include any item of income in, or exclude any item of deduction from, taxable income for any period (or portion thereof) ending after the Closing Date as a result of any: (i) change in method of accounting for any period beginning on or prior to the Closing Date pursuant to Section 481 of the Code (or any similar provision of state, local or foreign Law); (ii) use of an improper method of accounting for a taxable period ending on or prior to the Closing Date; (iii) “closing agreement” as described in Section 7121 of the Code (or any similar provision of state, local or foreign Law) executed on or prior to the Closing Date; (iv) intercompany transactions or excess loss accounts described in Treasury Regulation Section 1.1502-13, or 1.1502-19; (v) installment sale or open transaction disposition made on or prior to the Closing Date; (vi) prepaid income received or accrued on or prior to the Closing Date; or (vii) method of accounting that defers the recognition of income to any period ending after the Closing Date, or modification or forgiveness of any indebtedness made on or prior to the Closing Date.</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member of the Company Group has disclosed on its federal, state and local income and franchise Tax Returns all positions taken therein that could give rise to a substantial understatement penalty within the meaning of Section 6662 of the Code or comparable provisions of applicable local, state, foreign or other Tax Laws.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1"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member of the Company Group (i) has ever been a member of an Affiliated Group, or (ii) has any liability for the Taxes of any Person under Treasury Regulations Section 1.1502-6 or any similar provision of state, local or foreign law, as transferee or successor or by Contract (but excluding any customary commercial agreement, such as a lease, the principal purpose of which does not relate to Taxes).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304"/>
        <w:spacing w:after="0" w:line="259" w:lineRule="auto"/>
        <w:tabs>
          <w:tab w:leader="none" w:pos="15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member of the Company Group has (A) deferred any amount of the employer’s share of any “applicable employment taxes” under Section 2302 of the CARES Act, (B) received (and does not intend to receive) any credits under Sections 7001 through 7005 of the FFCRA or Section 2301 of the CARES Act, or (C) deferred any payroll tax obligations (including those imposed by Section 3101(a) and 3201 of the Code) pursuant to or in connection with the Payroll Tax Executive Order.</w:t>
      </w:r>
    </w:p>
    <w:p>
      <w:pPr>
        <w:spacing w:after="0" w:line="186" w:lineRule="exact"/>
        <w:rPr>
          <w:rFonts w:ascii="Arial" w:cs="Arial" w:eastAsia="Arial" w:hAnsi="Arial"/>
          <w:sz w:val="18"/>
          <w:szCs w:val="18"/>
          <w:color w:val="auto"/>
        </w:rPr>
      </w:pPr>
    </w:p>
    <w:p>
      <w:pPr>
        <w:ind w:firstLine="1304"/>
        <w:spacing w:after="0" w:line="277" w:lineRule="auto"/>
        <w:tabs>
          <w:tab w:leader="none" w:pos="15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assets of the Company Group do not include any asset that is subject to the “anti-churning” rules of Section 197(f)(9) of the Code and Treasury Regulations issued thereunder in connection with the transactions contemplated by this Agreement.</w:t>
      </w:r>
    </w:p>
    <w:p>
      <w:pPr>
        <w:spacing w:after="0" w:line="170" w:lineRule="exact"/>
        <w:rPr>
          <w:rFonts w:ascii="Arial" w:cs="Arial" w:eastAsia="Arial" w:hAnsi="Arial"/>
          <w:sz w:val="18"/>
          <w:szCs w:val="18"/>
          <w:color w:val="auto"/>
        </w:rPr>
      </w:pPr>
    </w:p>
    <w:p>
      <w:pPr>
        <w:ind w:firstLine="1304"/>
        <w:spacing w:after="0" w:line="277" w:lineRule="auto"/>
        <w:tabs>
          <w:tab w:leader="none" w:pos="15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member of the Company Group is, and at all times since its formation has been, properly classified as a partnership or a disregarded entity for U.S. federal and all applicable state Tax purposes.</w:t>
      </w:r>
    </w:p>
    <w:p>
      <w:pPr>
        <w:spacing w:after="0" w:line="170" w:lineRule="exact"/>
        <w:rPr>
          <w:rFonts w:ascii="Arial" w:cs="Arial" w:eastAsia="Arial" w:hAnsi="Arial"/>
          <w:sz w:val="18"/>
          <w:szCs w:val="18"/>
          <w:color w:val="auto"/>
        </w:rPr>
      </w:pPr>
    </w:p>
    <w:p>
      <w:pPr>
        <w:ind w:firstLine="1304"/>
        <w:spacing w:after="0" w:line="277" w:lineRule="auto"/>
        <w:tabs>
          <w:tab w:leader="none" w:pos="15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member of the Company Group has complied with all cash payment reporting requirements, including all reporting in relation to Treasury Department Form 8300.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Warranties</w:t>
      </w:r>
      <w:r>
        <w:rPr>
          <w:rFonts w:ascii="Arial" w:cs="Arial" w:eastAsia="Arial" w:hAnsi="Arial"/>
          <w:sz w:val="18"/>
          <w:szCs w:val="18"/>
          <w:color w:val="auto"/>
        </w:rPr>
        <w:t>. The Company has provided to Buyer true, correct, and complete copies of each material written warranties or guarantees with respect to the quality or absence of defects of the products or services it has sold or performed that are currently in force.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301" w:lineRule="auto"/>
        <w:tabs>
          <w:tab w:leader="none" w:pos="155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Disclosure Schedule lists each of the following Contracts to which any member of the Company Group is a party, or is otherwise bound (all Contracts listed or otherwise required to be listed on </w:t>
      </w: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Disclosure Schedule, or otherwise disclosed in </w:t>
      </w: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Disclosure Schedule and all Contracts relating to Intellectual Property set forth in </w:t>
      </w:r>
      <w:r>
        <w:rPr>
          <w:rFonts w:ascii="Arial" w:cs="Arial" w:eastAsia="Arial" w:hAnsi="Arial"/>
          <w:sz w:val="16"/>
          <w:szCs w:val="16"/>
          <w:u w:val="single" w:color="auto"/>
          <w:color w:val="auto"/>
        </w:rPr>
        <w:t>Section 3.14(b)</w:t>
      </w:r>
      <w:r>
        <w:rPr>
          <w:rFonts w:ascii="Arial" w:cs="Arial" w:eastAsia="Arial" w:hAnsi="Arial"/>
          <w:sz w:val="16"/>
          <w:szCs w:val="16"/>
          <w:color w:val="auto"/>
        </w:rPr>
        <w:t xml:space="preserve"> of the Disclosure Schedule, and the Incidental Outbound Licenses, Incidental Inbound Licenses and Standard Employee Invention Agreements, collectively being “</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660" w:firstLine="1292"/>
        <w:spacing w:after="0" w:line="301" w:lineRule="auto"/>
        <w:tabs>
          <w:tab w:leader="none" w:pos="21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proposals or other agreements with any (A) customer or client that requires any Person to make payments to any member of the Company Group equal to more than Fifty Thousand Dollars ($50,000.00) (including all Contracts with Material Customers) in any twelve-month period, or (B) supplier or vendor that requires any member of the Company Group to make payments to any Person equal to more than Fifty Thousand Dollars ($50,000.00) in any twelve-month period (including all Contracts with Material Suppliers);</w:t>
      </w:r>
    </w:p>
    <w:p>
      <w:pPr>
        <w:spacing w:after="0" w:line="157" w:lineRule="exact"/>
        <w:rPr>
          <w:rFonts w:ascii="Arial" w:cs="Arial" w:eastAsia="Arial" w:hAnsi="Arial"/>
          <w:sz w:val="16"/>
          <w:szCs w:val="16"/>
          <w:color w:val="auto"/>
        </w:rPr>
      </w:pPr>
    </w:p>
    <w:p>
      <w:pPr>
        <w:ind w:left="660" w:firstLine="1292"/>
        <w:spacing w:after="0" w:line="277" w:lineRule="auto"/>
        <w:tabs>
          <w:tab w:leader="none" w:pos="22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partnership, joint venture or other agreements relating to the development, support or marketing of any Company Services and Products;</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27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Contracts for the sale of any property or assets of any member of the Company Group or for the grant to any Person of any option, right of first refusal or preferential or similar right to purchase any property or assets of any member of the Company Group (including such Contracts that relate to the acquisition or disposition of all or any portion of the Business or Equity Securities), in each case in respect of property or assets with a value as of the date hereof in excess of Fifty Thousand Dollars ($50,000.00);</w:t>
      </w:r>
    </w:p>
    <w:p>
      <w:pPr>
        <w:spacing w:after="0" w:line="171" w:lineRule="exact"/>
        <w:rPr>
          <w:rFonts w:ascii="Arial" w:cs="Arial" w:eastAsia="Arial" w:hAnsi="Arial"/>
          <w:sz w:val="17"/>
          <w:szCs w:val="17"/>
          <w:color w:val="auto"/>
        </w:rPr>
      </w:pPr>
    </w:p>
    <w:p>
      <w:pPr>
        <w:ind w:left="2260" w:hanging="308"/>
        <w:spacing w:after="0"/>
        <w:tabs>
          <w:tab w:leader="none" w:pos="22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broker, distributor, dealer, representative, franchise, agency, sales promotion, market research, marketing consulting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advertising Contracts;</w:t>
      </w:r>
    </w:p>
    <w:p>
      <w:pPr>
        <w:spacing w:after="0" w:line="210" w:lineRule="exact"/>
        <w:rPr>
          <w:rFonts w:ascii="Arial" w:cs="Arial" w:eastAsia="Arial" w:hAnsi="Arial"/>
          <w:sz w:val="16"/>
          <w:szCs w:val="16"/>
          <w:color w:val="auto"/>
        </w:rPr>
      </w:pPr>
    </w:p>
    <w:p>
      <w:pPr>
        <w:ind w:left="2200" w:hanging="248"/>
        <w:spacing w:after="0"/>
        <w:tabs>
          <w:tab w:leader="none" w:pos="2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Labor Agreements;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460" w:firstLine="1292"/>
        <w:spacing w:after="0" w:line="255" w:lineRule="auto"/>
        <w:tabs>
          <w:tab w:leader="none" w:pos="1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all Contracts with the Employees, directors, and officers of each member of the Company Group who receive a base annualized compensation equal to or greater than Fifty Thousand Dollars ($50,000.00), including but not limited to any offer letters, employment or other engagement agreements, severance agreements, retention agreements, change of control agreements, restrictive covenant agreements (including noncompetition or non-solicitation agreements) or similar agreements (other than Contracts listed in </w:t>
      </w: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Disclosure Schedule and other than offer letters, employment agreements and similar engagement agreements for “at will” services that do not provide for severance benefits);</w:t>
      </w:r>
    </w:p>
    <w:p>
      <w:pPr>
        <w:spacing w:after="0" w:line="192" w:lineRule="exact"/>
        <w:rPr>
          <w:rFonts w:ascii="Arial" w:cs="Arial" w:eastAsia="Arial" w:hAnsi="Arial"/>
          <w:sz w:val="18"/>
          <w:szCs w:val="18"/>
          <w:color w:val="auto"/>
        </w:rPr>
      </w:pPr>
    </w:p>
    <w:p>
      <w:pPr>
        <w:jc w:val="both"/>
        <w:ind w:left="-460" w:firstLine="1292"/>
        <w:spacing w:after="0" w:line="296" w:lineRule="auto"/>
        <w:tabs>
          <w:tab w:leader="none" w:pos="12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Contracts with independent contractors, advisors or consultants (or similar arrangements) or such Persons performing services principally for any member of the Company Group, which (A) either (x) provides for base annualized compensation equal to or greater than Fifty Thousand Dollars ($50,000.00) or (y) may not be terminated by the applicable member of the Company Group upon thirty (30) days or less advance notice and without payment of any penalty or severance, or (B) provides for any grant of any compensation or benefits, or any acceleration of any vesting period, following a change in control of the Company, whether alone or in conjunction with any other event;</w:t>
      </w:r>
    </w:p>
    <w:p>
      <w:pPr>
        <w:spacing w:after="0" w:line="161" w:lineRule="exact"/>
        <w:rPr>
          <w:rFonts w:ascii="Arial" w:cs="Arial" w:eastAsia="Arial" w:hAnsi="Arial"/>
          <w:sz w:val="16"/>
          <w:szCs w:val="16"/>
          <w:color w:val="auto"/>
        </w:rPr>
      </w:pPr>
    </w:p>
    <w:p>
      <w:pPr>
        <w:ind w:left="1240" w:hanging="408"/>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relating to Indebtedness (including guarantees);</w:t>
      </w:r>
    </w:p>
    <w:p>
      <w:pPr>
        <w:spacing w:after="0" w:line="225" w:lineRule="exact"/>
        <w:rPr>
          <w:rFonts w:ascii="Arial" w:cs="Arial" w:eastAsia="Arial" w:hAnsi="Arial"/>
          <w:sz w:val="18"/>
          <w:szCs w:val="18"/>
          <w:color w:val="auto"/>
        </w:rPr>
      </w:pPr>
    </w:p>
    <w:p>
      <w:pPr>
        <w:jc w:val="both"/>
        <w:ind w:left="-460" w:firstLine="1292"/>
        <w:spacing w:after="0" w:line="263" w:lineRule="auto"/>
        <w:tabs>
          <w:tab w:leader="none" w:pos="11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pursuant to which current Employees and former employees of any member of the Company Group assigned to the applicable Company Group member any ownership interest and right they may have had in the Owned IP or Intellectual Property Registrations (other than Standard Employee Invention Agreements);</w:t>
      </w:r>
    </w:p>
    <w:p>
      <w:pPr>
        <w:spacing w:after="0" w:line="183" w:lineRule="exact"/>
        <w:rPr>
          <w:rFonts w:ascii="Arial" w:cs="Arial" w:eastAsia="Arial" w:hAnsi="Arial"/>
          <w:sz w:val="18"/>
          <w:szCs w:val="18"/>
          <w:color w:val="auto"/>
        </w:rPr>
      </w:pPr>
    </w:p>
    <w:p>
      <w:pPr>
        <w:ind w:left="1080" w:hanging="24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with any Governmental Authority;</w:t>
      </w:r>
    </w:p>
    <w:p>
      <w:pPr>
        <w:spacing w:after="0" w:line="225" w:lineRule="exact"/>
        <w:rPr>
          <w:rFonts w:ascii="Arial" w:cs="Arial" w:eastAsia="Arial" w:hAnsi="Arial"/>
          <w:sz w:val="18"/>
          <w:szCs w:val="18"/>
          <w:color w:val="auto"/>
        </w:rPr>
      </w:pPr>
    </w:p>
    <w:p>
      <w:pPr>
        <w:jc w:val="both"/>
        <w:ind w:left="-460" w:firstLine="1292"/>
        <w:spacing w:after="0" w:line="259" w:lineRule="auto"/>
        <w:tabs>
          <w:tab w:leader="none" w:pos="11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that limit or purport to limit the ability of any member of the Company Group to compete in any line of business or with any Person or in any geographic area or during any period of time, including any Contracts which contain non-competition, non-solicitation, most-favored nations pricing, exclusivity, minimum volume requirement, guaranteed pricing or other similar restrictive provisions restricting the operations of any member of the Company Group in any way;</w:t>
      </w:r>
    </w:p>
    <w:p>
      <w:pPr>
        <w:spacing w:after="0" w:line="186" w:lineRule="exact"/>
        <w:rPr>
          <w:rFonts w:ascii="Arial" w:cs="Arial" w:eastAsia="Arial" w:hAnsi="Arial"/>
          <w:sz w:val="18"/>
          <w:szCs w:val="18"/>
          <w:color w:val="auto"/>
        </w:rPr>
      </w:pPr>
    </w:p>
    <w:p>
      <w:pPr>
        <w:ind w:left="1180" w:hanging="34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with any Material Customer or Material Supplier;</w:t>
      </w:r>
    </w:p>
    <w:p>
      <w:pPr>
        <w:spacing w:after="0" w:line="225" w:lineRule="exact"/>
        <w:rPr>
          <w:rFonts w:ascii="Arial" w:cs="Arial" w:eastAsia="Arial" w:hAnsi="Arial"/>
          <w:sz w:val="18"/>
          <w:szCs w:val="18"/>
          <w:color w:val="auto"/>
        </w:rPr>
      </w:pPr>
    </w:p>
    <w:p>
      <w:pPr>
        <w:jc w:val="both"/>
        <w:ind w:left="-460" w:right="20" w:firstLine="1292"/>
        <w:spacing w:after="0" w:line="263" w:lineRule="auto"/>
        <w:tabs>
          <w:tab w:leader="none" w:pos="12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contemplated by the proposed transaction, all Contracts relating to the acquisition of any business (whether by merger, sale of equity, sale of assets or otherwise) or Equity Securities of any other Person during the past three (3) years or pursuant to which any member of the Company Group has any material outstanding obligation or Liability;</w:t>
      </w:r>
    </w:p>
    <w:p>
      <w:pPr>
        <w:spacing w:after="0" w:line="183" w:lineRule="exact"/>
        <w:rPr>
          <w:rFonts w:ascii="Arial" w:cs="Arial" w:eastAsia="Arial" w:hAnsi="Arial"/>
          <w:sz w:val="18"/>
          <w:szCs w:val="18"/>
          <w:color w:val="auto"/>
        </w:rPr>
      </w:pPr>
    </w:p>
    <w:p>
      <w:pPr>
        <w:ind w:left="-460" w:firstLine="1292"/>
        <w:spacing w:after="0" w:line="277" w:lineRule="auto"/>
        <w:tabs>
          <w:tab w:leader="none" w:pos="1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under which any member of the Company Group is a lessor or lessee of any tangible personal property, in each case, involving annual rental payments in excess of Twenty-Five Thousand Dollars ($25,000);</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2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Contracts, including Contracts with any Governmental Authorities, that are settlements, conciliations, or similar agreements pursuant to which any member of the Company Group will have any outstanding obligations (other than customary confidentiality obligations) after the date of this Agreement; or</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2" w:name="page43"/>
    <w:bookmarkEnd w:id="42"/>
    <w:p>
      <w:pPr>
        <w:ind w:left="660" w:firstLine="1292"/>
        <w:spacing w:after="0" w:line="277" w:lineRule="auto"/>
        <w:tabs>
          <w:tab w:leader="none" w:pos="23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all Contracts with any current officer, director or manager of any member of the Company Group or any Affiliates of such Company Group member (other than as set forth on </w:t>
      </w:r>
      <w:r>
        <w:rPr>
          <w:rFonts w:ascii="Arial" w:cs="Arial" w:eastAsia="Arial" w:hAnsi="Arial"/>
          <w:sz w:val="18"/>
          <w:szCs w:val="18"/>
          <w:u w:val="single" w:color="auto"/>
          <w:color w:val="auto"/>
        </w:rPr>
        <w:t>Section 3.13(a)(vi)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15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heretofore made available to Buyer true and correct copies of all Material Contracts, together with all material amendments, exhibits, attachments and waivers thereto. Each Material Contract is valid and binding on the member of the Company Group that is a party to such Material Contract in accordance with its terms and (assuming due authorization, execution and delivery by the counterparty thereto) is in full force and effect. No member of the Company Group is, nor is, to the Company’s Knowledge, any other party thereto, in breach of or default under any Material Contract. No member of the Company Group has, nor has, to the Company’s Knowledge, any other party thereto, provided or received any written notice of any intention to terminate or not renew any Material Contract. To the Company’s Knowledge,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There are no disputes pending, or to the Company’s Knowledge, threatened under any Material Contract.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5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is a true and complete list of all (i) Intellectual Property Registrations, specifying as to each, as applicable, the title, mark, or design, the owner(s), the jurisdiction by or in which it has been issued, registered, or filed, the patent, registration, or application serial number, and the issue, registration, or filing date, and (ii) Owned IP that is not registered and that is material to the operation of the Business. All required filings and fees related to such Intellectual Property Registrations have been timely filed with and paid to the relevant Governmental Authorities and authorized registrars, all Intellectual Property Registrations and Owned IP are subsisting, in good standing, otherwise valid and enforceable. The Company Group (A) exclusively owns and possesses all right, title and interest in and to all Owned IP, and (B) has sufficient rights pursuant to an Intellectual Property License (together with the Incidental Outbound Licenses, Incidental Inbound Licenses or Standard Employee Invention Agreements) to all other Intellectual Property Assets, in each case of (A) and (B), that are used or held for use in or necessary for the conduct of the Business as currently conducted and as proposed to be conducted, and that are free and clear of all Encumbrances, other than Permitted Encumbrances.</w:t>
      </w:r>
    </w:p>
    <w:p>
      <w:pPr>
        <w:spacing w:after="0" w:line="166" w:lineRule="exact"/>
        <w:rPr>
          <w:rFonts w:ascii="Arial" w:cs="Arial" w:eastAsia="Arial" w:hAnsi="Arial"/>
          <w:sz w:val="16"/>
          <w:szCs w:val="16"/>
          <w:color w:val="auto"/>
        </w:rPr>
      </w:pPr>
    </w:p>
    <w:p>
      <w:pPr>
        <w:jc w:val="both"/>
        <w:ind w:firstLine="1304"/>
        <w:spacing w:after="0" w:line="271" w:lineRule="auto"/>
        <w:tabs>
          <w:tab w:leader="none" w:pos="157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Section 3.14(b)</w:t>
      </w:r>
      <w:r>
        <w:rPr>
          <w:rFonts w:ascii="Arial" w:cs="Arial" w:eastAsia="Arial" w:hAnsi="Arial"/>
          <w:sz w:val="17"/>
          <w:szCs w:val="17"/>
          <w:color w:val="auto"/>
        </w:rPr>
        <w:t xml:space="preserve"> of the Disclosure Schedule lists all Intellectual Property Licenses. The Company has provided Buyer true and complete copies of all such Intellectual Property Licenses, including all modifications, amendments, and supplements thereto and waivers thereunder. All such Intellectual Property Licenses, Incidental Outbound Licenses, Incidental Inbound Licenses, and Standard Employee Invention Agreements: (i) are valid, binding and enforceable between the applicable member of the Company Group and the other parties thereto, and neither the applicable Company Group member nor any other party thereto, has provided or received any notice of breach of, default under, or intention to terminate (including by non-renewal), any such Contract; and (ii) each applicable member of the Company Group and, to the Company’s Knowledge, such other parties to any such Contracts, are in compliance with the terms and conditions thereof and other terms applicable to the use of the associated Intellectual Property, including commercial licenses as well as Open Source Licenses, as applicable, in all respects.</w:t>
      </w:r>
    </w:p>
    <w:p>
      <w:pPr>
        <w:spacing w:after="0" w:line="178" w:lineRule="exact"/>
        <w:rPr>
          <w:rFonts w:ascii="Arial" w:cs="Arial" w:eastAsia="Arial" w:hAnsi="Arial"/>
          <w:sz w:val="17"/>
          <w:szCs w:val="17"/>
          <w:color w:val="auto"/>
        </w:rPr>
      </w:pPr>
    </w:p>
    <w:p>
      <w:pPr>
        <w:jc w:val="both"/>
        <w:ind w:firstLine="1304"/>
        <w:spacing w:after="0" w:line="286"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Except as set forth in Section 3.14(c) of the Disclosure Schedule, there are no, and there have not been, any Actions (including any oppositions, interferences, re-examinations, cancellation, revocation, review or other proceeding) settled, pending or, to the Company’s Knowledge, threatened (including in the form of offers to obtain a license or cease and desist letters): (i) alleging any infringement, misappropriation, dilution or violation of the Intellectual Property of any Person by any member of the Company Group, their Affiliates or in connection with the past or current conduct of the Business or the past or current ownership or use of the Intellectual Property Assets, or any indemnification claims in connection therewith; (ii) challenging the validity, enforceability, registrability, patentability or ownership of any Owned IP or the Company Group’s rights in and to any other Intellectual Property Assets or Intellectual Property Licenses; or (iii) by any member of the Company Group or any other Person alleging the infringement, misappropriation, dilution or violation by any Person of the Owned IP. Neither the Members nor the Company are aware of any facts or circumstances that could reasonably be expected to give rise to any such Action. Each member of the Company Group has complied with all terms and requirements of and are not in default under any Intellectual Property Licenses no other party or parties to any such Intellectual Property Licenses is in default thereunder. No Person has infringed, misappropriated or otherwise violated, and no Person is currently infringing, misappropriating or otherwise violating, any Owned IP. No Owned IP is bound by any Contract, order, judgment, writ, injunction, stipulation, award or decree restricting or otherwise limiting the use, validity, enforceability, scope, licensing or ownership thereof or any right, title or interest of any member of the Company Group with respect thereto.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1304"/>
        <w:spacing w:after="0" w:line="263" w:lineRule="auto"/>
        <w:tabs>
          <w:tab w:leader="none" w:pos="15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member of the Company Group, the conduct of the Business as currently conducted and previously as conducted, and the Company Services and Products, as applicable, have not infringed, misappropriated, diluted or otherwise violated, and do not infringe, dilute, misappropriate or otherwise violate the Intellectual Property of any Person.</w:t>
      </w:r>
    </w:p>
    <w:p>
      <w:pPr>
        <w:spacing w:after="0" w:line="183" w:lineRule="exact"/>
        <w:rPr>
          <w:rFonts w:ascii="Arial" w:cs="Arial" w:eastAsia="Arial" w:hAnsi="Arial"/>
          <w:sz w:val="18"/>
          <w:szCs w:val="18"/>
          <w:color w:val="auto"/>
        </w:rPr>
      </w:pPr>
    </w:p>
    <w:p>
      <w:pPr>
        <w:ind w:firstLine="1304"/>
        <w:spacing w:after="0" w:line="277" w:lineRule="auto"/>
        <w:tabs>
          <w:tab w:leader="none" w:pos="15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Company’s Knowledge, there has been no unauthorized disclosure by any member of the Company Group, their respective agents or representatives of any Trade Secrets.</w:t>
      </w:r>
    </w:p>
    <w:p>
      <w:pPr>
        <w:spacing w:after="0" w:line="170" w:lineRule="exact"/>
        <w:rPr>
          <w:rFonts w:ascii="Arial" w:cs="Arial" w:eastAsia="Arial" w:hAnsi="Arial"/>
          <w:sz w:val="18"/>
          <w:szCs w:val="18"/>
          <w:color w:val="auto"/>
        </w:rPr>
      </w:pPr>
    </w:p>
    <w:p>
      <w:pPr>
        <w:jc w:val="both"/>
        <w:ind w:firstLine="1304"/>
        <w:spacing w:after="0" w:line="289" w:lineRule="auto"/>
        <w:tabs>
          <w:tab w:leader="none" w:pos="15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Each member of the Company Group has taken commercially reasonable steps under the circumstances to protect, preserve and maintain the Owned IP and all material Trade Secrets. Each Person that has had or currently has access to any Trade Secrets included in the Owned IP (including any part of any Source Code) is subject to written obligations regarding the confidentiality and non-disclosure thereof. Each Person who has participated in the authorship, conception, creation, reduction to practice, or development of any Intellectual Property for, on behalf of or under the direction or supervision of the applicable member of the Company Group, has executed and delivered to such member of the Company Group a valid and enforceable written Contract providing for (i) the confidentiality and non-disclosure by such Person of all Trade Secrets and (ii) the assignment by such Person (by way of a present grant of assignment or otherwise by operation of law) to the applicable member of the Company Group of all right, title and interest in and to all Intellectual Property arising out of such Person’s employment by, engagement by, or Contract with such member of the Company Group. To the Company’s Knowledge, no Person is in breach of any Contract or obligation referenced in this </w:t>
      </w:r>
      <w:r>
        <w:rPr>
          <w:rFonts w:ascii="Arial" w:cs="Arial" w:eastAsia="Arial" w:hAnsi="Arial"/>
          <w:sz w:val="16"/>
          <w:szCs w:val="16"/>
          <w:u w:val="single" w:color="auto"/>
          <w:color w:val="auto"/>
        </w:rPr>
        <w:t>Section</w:t>
      </w:r>
      <w:r>
        <w:rPr>
          <w:rFonts w:ascii="Arial" w:cs="Arial" w:eastAsia="Arial" w:hAnsi="Arial"/>
          <w:sz w:val="16"/>
          <w:szCs w:val="16"/>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Software and Information Technology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8" w:lineRule="auto"/>
        <w:tabs>
          <w:tab w:leader="none" w:pos="1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Software that is owned or currently used or held by each member of the Company Group is either: (i) owned by such member of the Company Group (under copyright and/or other intellectual property law including, to the extent not publicly registered, as a Trade Secret); (ii) currently in the public domain or otherwise available to such member of the Company Group without the license, lease or consent of any Person; or (iii) used under rights granted to such member of the Company Group pursuant to an agreement or license that are sufficient in all material respects. Each member of the Company Group possesses or controls the Source Code for all Software owned by such member of the Company Group. Other than any Source Code described in </w:t>
      </w:r>
      <w:r>
        <w:rPr>
          <w:rFonts w:ascii="Arial" w:cs="Arial" w:eastAsia="Arial" w:hAnsi="Arial"/>
          <w:sz w:val="17"/>
          <w:szCs w:val="17"/>
          <w:u w:val="single" w:color="auto"/>
          <w:color w:val="auto"/>
        </w:rPr>
        <w:t>Section 3.15(a)</w:t>
      </w:r>
      <w:r>
        <w:rPr>
          <w:rFonts w:ascii="Arial" w:cs="Arial" w:eastAsia="Arial" w:hAnsi="Arial"/>
          <w:sz w:val="17"/>
          <w:szCs w:val="17"/>
          <w:color w:val="auto"/>
        </w:rPr>
        <w:t xml:space="preserve"> of the Disclosure Schedule as having been disclosed in a public copyright registration, no member of the Company Group has disclosed the Source Code to any Software owned by any member of the Company Group to any Person who is not an authorized employee or independent contractor of any member of the Company Group that is obligated to confidentiality and non-disclosure as set forth herein or who is not a third party Software development service provider with whom such member of the Company Group has a written agreement containing such obligations. No Software owned by any member of the Company Group is subject to any Copyleft License, or any other obligation that would require such member of the Company Group to divulge to any Person any Source Code of any Software owned by such member of the Company Group.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to or for, or any other grant of any right be made with respect thereto, any other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1304"/>
        <w:spacing w:after="0" w:line="272" w:lineRule="auto"/>
        <w:tabs>
          <w:tab w:leader="none" w:pos="15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member of the Company Group uses commercially reasonable practices that are designed to: (i) identify Open Source Materials used by such member of the Company Group, internally or as part of any Software included in the Company Services and Products (including the manner of use(s) of such software by such member of the Company Group, whether such software has been modified, and the applicable Open Source License for each such item of software); and (ii) avoid the unintended release or required release of Source Code for any Software included in the Company Services and Products to third parties (as a result of inadequate security measures, Open Source License terms, or otherwise). All use and distribution of the Company Services and Products or use and distribution of any Open Source Materials by or through any member of the Company Group, is and has been in compliance in all material respects with the Open Source Licenses applicable thereto.</w:t>
      </w:r>
    </w:p>
    <w:p>
      <w:pPr>
        <w:spacing w:after="0" w:line="177" w:lineRule="exact"/>
        <w:rPr>
          <w:rFonts w:ascii="Arial" w:cs="Arial" w:eastAsia="Arial" w:hAnsi="Arial"/>
          <w:sz w:val="17"/>
          <w:szCs w:val="17"/>
          <w:color w:val="auto"/>
        </w:rPr>
      </w:pPr>
    </w:p>
    <w:p>
      <w:pPr>
        <w:jc w:val="both"/>
        <w:ind w:firstLine="1304"/>
        <w:spacing w:after="0" w:line="275" w:lineRule="auto"/>
        <w:tabs>
          <w:tab w:leader="none" w:pos="15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Company’s Knowledge, there are no (i) disabling codes nor instructions nor any “back door,” “time bomb,” “Trojan horse,” “worm,” “drop dead device,” “virus” in any of the Company Services and Product, or (ii) other software routines or hardware components in any of the Company Services and Products that permit unauthorized access or the unauthorized disruption, impairment, disablement or erasure of any such Company Services and Products (or all parts thereof) or the data or other software of users thereof ((i) and (ii), collectively, “</w:t>
      </w:r>
      <w:r>
        <w:rPr>
          <w:rFonts w:ascii="Arial" w:cs="Arial" w:eastAsia="Arial" w:hAnsi="Arial"/>
          <w:sz w:val="17"/>
          <w:szCs w:val="17"/>
          <w:b w:val="1"/>
          <w:bCs w:val="1"/>
          <w:i w:val="1"/>
          <w:iCs w:val="1"/>
          <w:color w:val="auto"/>
        </w:rPr>
        <w:t>Contaminants</w:t>
      </w:r>
      <w:r>
        <w:rPr>
          <w:rFonts w:ascii="Arial" w:cs="Arial" w:eastAsia="Arial" w:hAnsi="Arial"/>
          <w:sz w:val="17"/>
          <w:szCs w:val="17"/>
          <w:color w:val="auto"/>
        </w:rPr>
        <w:t>”) that have not been completely eradicated from such Company Services and Products prior to the date hereof.</w:t>
      </w:r>
    </w:p>
    <w:p>
      <w:pPr>
        <w:spacing w:after="0" w:line="176" w:lineRule="exact"/>
        <w:rPr>
          <w:rFonts w:ascii="Arial" w:cs="Arial" w:eastAsia="Arial" w:hAnsi="Arial"/>
          <w:sz w:val="17"/>
          <w:szCs w:val="17"/>
          <w:color w:val="auto"/>
        </w:rPr>
      </w:pPr>
    </w:p>
    <w:p>
      <w:pPr>
        <w:jc w:val="both"/>
        <w:ind w:firstLine="1304"/>
        <w:spacing w:after="0" w:line="268" w:lineRule="auto"/>
        <w:tabs>
          <w:tab w:leader="none" w:pos="15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Group has taken commercially reasonable steps to (i) protect the confidentiality, integrity and security of the Business Systems and all information stored or contained therein or transmitted thereby from any theft, corruption, loss or unauthorized use, access, interruption or modification by any Person and (ii) ensure that Business Systems used in connection with the Business are (A) in satisfactory working order and run in a reasonable and efficient manner in all material respects, and (B) free from Contaminants. Except as set forth in Section 3.15(d) of the Disclosure Schedule, the Company Group has implemented, tested and maintain commercially reasonable data recovery, information and information systems security, disaster recovery, and business continuity plans, has regularly tested and fully encrypted backup systems, procedures and facilities in place for the Company Group, and has taken commercially reasonable steps to safeguard the Business Systems utilized in the operation of the Business. To the Company’s Knowledge, there have been no breaches or unauthorized intrusions of the security of the Business Systems of any member of the Company Group that have resulted in any actual or reasonably likely potential compromise of any Personal Data or the ongoing security of such Business Systems or any Security Incidents. The Company Group has implemented all security patches and upgrades that are made available to the Company Group for its Business Systems where such patches or upgrades are necessary, appropriate, or required to safeguard the security of such Business Systems. The Business Systems are sufficient in all material respects for the conduct of the Business. In the last two (2) years, there have been no failures, breakdowns or continued substandard performance of any Business Systems which have caused the material disruption or material interruption in or to the use of the Business Systems or the operation of the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304"/>
        <w:spacing w:after="0" w:line="291" w:lineRule="auto"/>
        <w:tabs>
          <w:tab w:leader="none" w:pos="1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Where any member of the Company Group (or any Person on behalf of any member of the Company Group) has authored, conceived, created, reduced to practice, or developed any Intellectual Property for a customer (each, a “</w:t>
      </w:r>
      <w:r>
        <w:rPr>
          <w:rFonts w:ascii="Arial" w:cs="Arial" w:eastAsia="Arial" w:hAnsi="Arial"/>
          <w:sz w:val="16"/>
          <w:szCs w:val="16"/>
          <w:b w:val="1"/>
          <w:bCs w:val="1"/>
          <w:i w:val="1"/>
          <w:iCs w:val="1"/>
          <w:color w:val="auto"/>
        </w:rPr>
        <w:t>Customization</w:t>
      </w:r>
      <w:r>
        <w:rPr>
          <w:rFonts w:ascii="Arial" w:cs="Arial" w:eastAsia="Arial" w:hAnsi="Arial"/>
          <w:sz w:val="16"/>
          <w:szCs w:val="16"/>
          <w:color w:val="auto"/>
        </w:rPr>
        <w:t>”), and either ownership of such Customization does not vest in the applicable Company Group member or such Company Group member is not licensed such Customization without material restriction, such Customization: (i) has not been provided to any other licensees or customers of any member of the Company Group and (ii) is not necessary for the ongoing operation of the Business. Each member of the Company Group has not licensed, disclosed, distributed, transferred, assigned, or otherwise made available to any of their respective customers, as applicable, any Customization constituting or containing Software that is governed by a Copyleft License or any other obligation that would require any such customer to divulge to any Person any Source Code, without the consent of such customer.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Inventory</w:t>
      </w:r>
      <w:r>
        <w:rPr>
          <w:rFonts w:ascii="Arial" w:cs="Arial" w:eastAsia="Arial" w:hAnsi="Arial"/>
          <w:sz w:val="18"/>
          <w:szCs w:val="18"/>
          <w:color w:val="auto"/>
        </w:rPr>
        <w:t>. All inventory of each member of the Company Group, whether or not reflected in the Latest Balance Sheet, consists of a quality and quantity usable and salable in the Ordinary Course of Business consistent with past practice, except for obsolete, damaged, defective or slow-moving items that have been written off or written down to fair market value or for which reserves have been established. All such inventory is owned by the applicable member of the Company Group free and clear of all Encumbrances, and no inventory is held on a consignment basis. The quantities of each item of inventory (whether raw materials, work-in-process or finished goods) are not excessive, but are reasonable in the present circumstances of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member of the Company Group owns or has ever owned any Real Property.</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5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Disclosure Schedule sets forth each parcel of Real Property in which any member of the Company Group has a leasehold, subleasehold, license, concession or other real property right or interest (collectively, the “</w:t>
      </w:r>
      <w:r>
        <w:rPr>
          <w:rFonts w:ascii="Arial" w:cs="Arial" w:eastAsia="Arial" w:hAnsi="Arial"/>
          <w:sz w:val="16"/>
          <w:szCs w:val="16"/>
          <w:b w:val="1"/>
          <w:bCs w:val="1"/>
          <w:i w:val="1"/>
          <w:iCs w:val="1"/>
          <w:color w:val="auto"/>
        </w:rPr>
        <w:t>Leased Real Property</w:t>
      </w:r>
      <w:r>
        <w:rPr>
          <w:rFonts w:ascii="Arial" w:cs="Arial" w:eastAsia="Arial" w:hAnsi="Arial"/>
          <w:sz w:val="16"/>
          <w:szCs w:val="16"/>
          <w:color w:val="auto"/>
        </w:rPr>
        <w:t>”), and a true, correct and complete list of all leases, subleases, licenses, concessions and other agreements (whether written or oral), including all amendments, extensions renewals, guaranties, subordination agreements and other agreements with respect thereto, pursuant to which any member of the Company Group holds any Leased Real Property (each a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The Leased Real Property comprises all of the Real Property (owned or leased) used or intended to be used in, held for use in or otherwise necessary for the conduct of the Business. With respect to each Lease:</w:t>
      </w:r>
    </w:p>
    <w:p>
      <w:pPr>
        <w:spacing w:after="0" w:line="164" w:lineRule="exact"/>
        <w:rPr>
          <w:rFonts w:ascii="Arial" w:cs="Arial" w:eastAsia="Arial" w:hAnsi="Arial"/>
          <w:sz w:val="16"/>
          <w:szCs w:val="16"/>
          <w:color w:val="auto"/>
        </w:rPr>
      </w:pPr>
    </w:p>
    <w:p>
      <w:pPr>
        <w:ind w:left="2160" w:hanging="208"/>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such Lease is valid, binding, enforceable in accordance with its terms and in full force and effect;</w:t>
      </w:r>
    </w:p>
    <w:p>
      <w:pPr>
        <w:spacing w:after="0" w:line="225" w:lineRule="exact"/>
        <w:rPr>
          <w:rFonts w:ascii="Arial" w:cs="Arial" w:eastAsia="Arial" w:hAnsi="Arial"/>
          <w:sz w:val="18"/>
          <w:szCs w:val="18"/>
          <w:color w:val="auto"/>
        </w:rPr>
      </w:pPr>
    </w:p>
    <w:p>
      <w:pPr>
        <w:ind w:left="660" w:firstLine="1292"/>
        <w:spacing w:after="0" w:line="277" w:lineRule="auto"/>
        <w:tabs>
          <w:tab w:leader="none" w:pos="22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applicable member of the Company Group is not, as applicable, nor, to the Company’s Knowledge, any other Person under any of the Leases in breach or default under such Lease;</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2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applicable member of the Company Group has not assigned, transferred, sublet, or granted any Person the right to use or occupy such Leased Real Property or granted any other security interest in such Lease or any interest therein, except as expressly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 xml:space="preserve"> of the Disclosure Schedule;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304"/>
        <w:spacing w:after="0" w:line="268" w:lineRule="auto"/>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applicable members of the Company Group have a good and valid leasehold interest in the Leased Real Property free and clear of all Encumbrances, other than Permitted Encumbrances. No amounts are owed and no obligations remain unsatisfied by any member of the Company Group under any Lease for buildout, tenant improvements, capital expenditures, allowances, brokerage commissions, finder’s fees or rent abatement, and no such amounts will be owed by Buyer or any member of the Company Group after assignment of any Lease or the consummation of the transactions contemplated hereunder. There is no condemnation, expropriation, or other proceeding in eminent domain pending or, to the Company’s Knowledge, threatened or affecting any Leased Real Property or any portion thereof or interest therein. There is no injunction, decree, order, writ, or judgment outstanding, nor any claims, litigation, administrative actions, or similar proceedings pending or, to the Company’s Knowledge, threatened, relating to the ownership, lease, use, or occupancy of the Leased Real Property or any portion thereof, or the operation of the Business thereon. All public utilities currently serving the Leased Real Property and public and quasi-public improvements upon or adjacent to the Leased Real Property, as applicable (including, all applicable electric lines, water lines, gas lines and telephone lines): (A) are adequate to service the requirements of the Leased Real Property and the Business, and all payments for the same have been made, (B) enter the Leased Real Property directly through adjoining public streets and do not pass through adjoining private land and (C) are installed and operating, and all installation and connection charges have been paid for in full. Each of the Leased Real Properties consists of a single zoning lot and no other property is within such zoning lot. The Leased Real Property is not encumbered by a declaration or other agreement transferring any development rights or air rights appurtenant to the Leased Real Property to any other property. The Leased Real Property is in compliance with all applicable zoning ordinances</w:t>
      </w:r>
    </w:p>
    <w:p>
      <w:pPr>
        <w:spacing w:after="0" w:line="181" w:lineRule="exact"/>
        <w:rPr>
          <w:rFonts w:ascii="Arial" w:cs="Arial" w:eastAsia="Arial" w:hAnsi="Arial"/>
          <w:sz w:val="17"/>
          <w:szCs w:val="17"/>
          <w:color w:val="auto"/>
        </w:rPr>
      </w:pPr>
    </w:p>
    <w:p>
      <w:pPr>
        <w:jc w:val="both"/>
        <w:ind w:firstLine="1304"/>
        <w:spacing w:after="0" w:line="289" w:lineRule="auto"/>
        <w:tabs>
          <w:tab w:leader="none" w:pos="156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Section 3.17(d)</w:t>
      </w:r>
      <w:r>
        <w:rPr>
          <w:rFonts w:ascii="Arial" w:cs="Arial" w:eastAsia="Arial" w:hAnsi="Arial"/>
          <w:sz w:val="16"/>
          <w:szCs w:val="16"/>
          <w:color w:val="auto"/>
        </w:rPr>
        <w:t xml:space="preserve"> of the Disclosure Schedule sets forth a description of all material Leasehold Improvements for each Leased Real Property. Each applicable member of the Company Group has good and marketable title to the Leasehold Improvements, free and clear of all liens, and there are no outstanding options, rights of first offer or rights of first refusal to purchase any such Leasehold Improvements or any portion thereof or interest therein. There are no structural deficiencies or latent defects affecting any of the Leasehold Improvements and there are no facts or conditions affecting any of the Leasehold Improvements which would, individually or in the aggregate, interfere in any material respect with the use or occupancy of the Leasehold Improvements or any portion thereof in the operation of the Business. The Leasehold Improvements are in good condition and repair and the systems located therein are in good working order and adequate to operate such facilities as currently used and do not require material repair or replacement in order to serve their intended purposes, except for scheduled maintenance, repairs and replacements conducted or required in the Ordinary Course of Business with respect to the operation of the Leased Real Property that are not material in nature or cost.</w:t>
      </w:r>
    </w:p>
    <w:p>
      <w:pPr>
        <w:spacing w:after="0" w:line="166" w:lineRule="exact"/>
        <w:rPr>
          <w:rFonts w:ascii="Arial" w:cs="Arial" w:eastAsia="Arial" w:hAnsi="Arial"/>
          <w:sz w:val="16"/>
          <w:szCs w:val="16"/>
          <w:color w:val="auto"/>
        </w:rPr>
      </w:pPr>
    </w:p>
    <w:p>
      <w:pPr>
        <w:jc w:val="both"/>
        <w:ind w:firstLine="1304"/>
        <w:spacing w:after="0" w:line="271" w:lineRule="auto"/>
        <w:tabs>
          <w:tab w:leader="none" w:pos="1554"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buildings, fixtures, tangible personal property and leasehold improvements used in the Business are located on the Leased Real Property and none of the Leasehold Improvements encroach on (i) any adjoining property owned by others or public rights of way, or (ii) any part of the Leased Real Property which is subject to or encumbered by a right-of-way, easement or similar Contract. Each parcel of Leased Real Property abuts on at least one side a public street or road in a manner so as to permit reasonable, customary, adequate and legal commercial and non-commercial vehicular and pedestrian ingress, egress and access to such parcel, or has adequate easements across intervening property to permit reasonable, customary, adequate and legal commercial and non-commercial vehicular and pedestrian ingress, egress and access to such parcel from a public street or road. There are no restrictions on entrance to or exit from the Leased Real Property to adjacent public streets and no conditions which will result in the termination of the present access from the Leased Real Property to existing highways or roads.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firstLine="1304"/>
        <w:spacing w:after="0" w:line="277" w:lineRule="auto"/>
        <w:tabs>
          <w:tab w:leader="none" w:pos="15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has not been in the past twelve (12) months, and there is not now, any casualty affecting the Leased Real Property, and there is not now any disrepair or damage that remains unrepaired, due to any prior casualty, if any, affecting the Leased Real Property.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of the Disclosure Schedule sets forth the names of each of the Material Customers and Material Suppliers of the Business (and the applicable revenue or expenditure for each such Material Customer and Material Supplier for the periods contemplated hereby). No Material Customer has indicated in writing or, to the Company’s Knowledge, orally to any member of the Company Group that it intends to terminate its business relationship with the Company Group or that it intends to limit or adversely alter its business relationship with the Company Group in any material respect (including with respect to pricing, volume or other terms of purchase). To the Company’s Knowledge, there is no basis for any Material Customer to terminate, limit, or otherwise adversely alter its business relationship with any member of the Company Group. No Material Supplier has indicated in writing or, to the Company’s Knowledge, orally to any member of the Company Group that it intends to terminate its business relationship with the Company Group or to limit or adversely alter its business relationship with the Company Group in any material respect. To the Company’s Knowledge, there is no basis for any Material Supplier to terminate, limit, or otherwise adversely alter its business relationship with any member of the Company Group. For purposes of this Agreement:</w:t>
      </w:r>
    </w:p>
    <w:p>
      <w:pPr>
        <w:spacing w:after="0" w:line="185" w:lineRule="exact"/>
        <w:rPr>
          <w:sz w:val="20"/>
          <w:szCs w:val="20"/>
          <w:color w:val="auto"/>
        </w:rPr>
      </w:pPr>
    </w:p>
    <w:p>
      <w:pPr>
        <w:ind w:right="20" w:firstLine="1304"/>
        <w:spacing w:after="0" w:line="308" w:lineRule="auto"/>
        <w:tabs>
          <w:tab w:leader="none" w:pos="1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reference to a “</w:t>
      </w:r>
      <w:r>
        <w:rPr>
          <w:rFonts w:ascii="Arial" w:cs="Arial" w:eastAsia="Arial" w:hAnsi="Arial"/>
          <w:sz w:val="17"/>
          <w:szCs w:val="17"/>
          <w:b w:val="1"/>
          <w:bCs w:val="1"/>
          <w:i w:val="1"/>
          <w:iCs w:val="1"/>
          <w:color w:val="auto"/>
        </w:rPr>
        <w:t>Material Customer</w:t>
      </w:r>
      <w:r>
        <w:rPr>
          <w:rFonts w:ascii="Arial" w:cs="Arial" w:eastAsia="Arial" w:hAnsi="Arial"/>
          <w:sz w:val="17"/>
          <w:szCs w:val="17"/>
          <w:color w:val="auto"/>
        </w:rPr>
        <w:t>” shall mean the top twenty (20) customers of the Business (based on sales during the eleven month period ended November 30, 2021, after deducting all applicable discounts, allowances, rebates, credits and Taxes); and</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reference to a “</w:t>
      </w:r>
      <w:r>
        <w:rPr>
          <w:rFonts w:ascii="Arial" w:cs="Arial" w:eastAsia="Arial" w:hAnsi="Arial"/>
          <w:sz w:val="18"/>
          <w:szCs w:val="18"/>
          <w:b w:val="1"/>
          <w:bCs w:val="1"/>
          <w:i w:val="1"/>
          <w:iCs w:val="1"/>
          <w:color w:val="auto"/>
        </w:rPr>
        <w:t>Material Supplier</w:t>
      </w:r>
      <w:r>
        <w:rPr>
          <w:rFonts w:ascii="Arial" w:cs="Arial" w:eastAsia="Arial" w:hAnsi="Arial"/>
          <w:sz w:val="18"/>
          <w:szCs w:val="18"/>
          <w:color w:val="auto"/>
        </w:rPr>
        <w:t>” shall mean any supplier or trade vendor of the Business from which the Company Group purchased Fifty-Thousand Dollars ($50,000) or more of goods or supplies (after deducting all applicable returns, discounts, allowances, rebates, credits and Taxes) during the eleven (11) month period ended November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Disclosure Schedule contains a complete and accurate list of each material Benefit Plan (other than offer letters, employment agreements and similar engagement agreements for “at will” services that do not provide for severance benefits) and identifies each Benefit Plan that is intended to meet the requirements of Section 401(a) of the Code (a “</w:t>
      </w:r>
      <w:r>
        <w:rPr>
          <w:rFonts w:ascii="Arial" w:cs="Arial" w:eastAsia="Arial" w:hAnsi="Arial"/>
          <w:sz w:val="18"/>
          <w:szCs w:val="18"/>
          <w:b w:val="1"/>
          <w:bCs w:val="1"/>
          <w:i w:val="1"/>
          <w:iCs w:val="1"/>
          <w:color w:val="auto"/>
        </w:rPr>
        <w:t>Qualified Benefit Plan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each Benefit Plan, the Company has made available to Buyer true, correct and complete copies of the following (to the extent applicable to such Benefit Plan): (i) the current plan document and all amendments thereto (and for any unwritten plan, a summary of the material terms); (ii) the most recent summary plan description and all summaries of material modification thereto; (iii) the most recent determination, opinion or advisory letter received from the Internal Revenue Service with respect to each Qualified Benefit Plan that is intended to be qualified under Code Section 401(a); (iv) the three (3) most recently filed Form 5500 annual report (with all schedules and attachments thereto); (v) all related trust agreements, insurance Contracts, and other funding arrangements; (vi) any material non-routine correspondence with any Governmental Authority related to a Benefit Plan during the prior three (3) years; and (vii) if the Company Group has more than fifty (50) full-time employees, the three (3) most recently filed Forms 1095-C and 1094-C.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304"/>
        <w:spacing w:after="0" w:line="254"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Benefit Plan has been established, maintained, funded and administered, both in form and operation, in all material respects in accordance with its terms and with all applicable provisions of the Code, ERISA, the Patient Protection and Affordable Care Act, and other applicable Laws, and nothing has occurred and, to the Company’s Knowledge, no condition exists with respect to any Benefit Plan that would reasonably be expected to subject any member of the Company Group to a material excise Tax or penalty under ERISA or the Code, including, but not limited to Tax under sections 4980H, and/or 6652 of the Code. Except as would not reasonably be expected to result in a material Liability to any member of the Company Group, all reporting, disclosure, and notice requirements of ERISA, the Code and other applicable laws have been satisfied with respect to each Benefit Plan.</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15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Benefit Plan that is intended to meet the requirements of a “qualified plan” under Code Section 401(a) has received a favorable determination letter from the Internal Revenue Service or may rely upon a current opinion or advisory letter from the Internal Revenue Service, and nothing has occurred that would reasonably be expected to adversely affect the qualification of such Benefit Plan; nor has any such Plan been partially terminated under applicable Law during the three-year period immediately preceding the Closing Date under circumstances which would require accelerated vesting as of such partial termination.</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Nothing has occurred with respect to any Benefit Plan that has subjected or would reasonably be expected to subject any member of the Company Group, any Benefit Plan or Buyer or any of their respective Affiliates to a material penalty under Section 502 of ERISA, any Liability under Title IV of ERISA or to a material excise Tax under the Code. All benefits, contributions and premiums relating to each Benefit Plan have been timely paid in accordance with the terms of such Benefit Plan and in compliance in all material respects with all applicable Laws, and all benefits, contributions, distributions and premiums for any period ending on or before the Closing Date have been made or properly accrued. With respect to any Benefit Plan, no event has occurred or is reasonably expected by the Company to occur that has resulted in or would subject any member of the Company Group, any Benefit Plan or Buyer or any of their respective Affiliates to an excise Tax under Section 4971 of the Code or the assets of any of the foregoing Persons to a lien under Section 430(k) of the Code.</w:t>
      </w:r>
    </w:p>
    <w:p>
      <w:pPr>
        <w:spacing w:after="0" w:line="191" w:lineRule="exact"/>
        <w:rPr>
          <w:rFonts w:ascii="Arial" w:cs="Arial" w:eastAsia="Arial" w:hAnsi="Arial"/>
          <w:sz w:val="18"/>
          <w:szCs w:val="18"/>
          <w:color w:val="auto"/>
        </w:rPr>
      </w:pPr>
    </w:p>
    <w:p>
      <w:pPr>
        <w:jc w:val="both"/>
        <w:ind w:firstLine="1304"/>
        <w:spacing w:after="0" w:line="293" w:lineRule="auto"/>
        <w:tabs>
          <w:tab w:leader="none" w:pos="15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Benefit Plan is, and neither the Company Group nor any ERISA Affiliate sponsors, maintains or contributes to, or has ever sponsored, maintained or contributed to, or otherwise has any Liability with respect to: (i) an “employee pension benefit plan” (as defined in Section 3(2) of ERISA) that is or was subject to Section 302 or Title IV of ERISA or Section 412 or 430 of the Code; (ii) a “multiemployer plan” (as defined in Section 3(37) of ERISA); (iii) a “multiple employer plan” (as defined in Section 413(c) of the Code and Section 210 of ERISA); or (iv) a “multiple employer welfare arrangement” (as defined in Section 3(40) of ERISA). No member of the Company Group has any current or contingent Liability or obligation with respect to any “employee benefit plan” (as defined in Section 3(3) of ERISA) solely on account of an ERISA Affiliate other than the Company.</w:t>
      </w:r>
    </w:p>
    <w:p>
      <w:pPr>
        <w:spacing w:after="0" w:line="164" w:lineRule="exact"/>
        <w:rPr>
          <w:rFonts w:ascii="Arial" w:cs="Arial" w:eastAsia="Arial" w:hAnsi="Arial"/>
          <w:sz w:val="16"/>
          <w:szCs w:val="16"/>
          <w:color w:val="auto"/>
        </w:rPr>
      </w:pPr>
    </w:p>
    <w:p>
      <w:pPr>
        <w:jc w:val="both"/>
        <w:ind w:firstLine="1304"/>
        <w:spacing w:after="0" w:line="255" w:lineRule="auto"/>
        <w:tabs>
          <w:tab w:leader="none" w:pos="15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Benefit Plan would prohibit the transactions contemplated by this Agreement. Except as required by applicable Law or the terms of this Agreement, the consummation of the transactions contemplated by this Agreement, whether alone or in combination with any other event, (i) could not result in the payment, funding or acceleration of any payment, benefit or vesting to any current or former Employee, director, officer or service provider of any member of the Company Group under any Benefit Plan or otherwise, (ii) increase the amount of compensation or benefits due to any current or former Employee, director, officer or service provider of any member of the Company Group, or (iii) entitle any individual or their beneficiaries to any payment or benefit under any Benefit Plan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304"/>
        <w:spacing w:after="0" w:line="259" w:lineRule="auto"/>
        <w:tabs>
          <w:tab w:leader="none" w:pos="15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as a result of the transactions contemplated by this Agreement (whether contingent or otherwise) by any individual pursuant to any Benefit Plan or otherwise could, individually or in combination with any other such payment, be an “excess parachute payment” within the meaning of Section 280G of the Code or would be subject to an excise tax under Section 4999 of the Code.</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each Benefit Plan, no non-exempt “prohibited transaction” (within the meaning of Section 4975 of the Code or Section 406 of ERISA) or breach of any fiduciary duty described in ERISA has occurred that would result in any material Liability for any member of the Company Group, Buyer or any Benefit Plan.</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538"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than as required by applicable Law, no Benefit Plan provides, and no member of the Company Group has any current or potential obligation to provide, post-termination or post-employment benefits or coverage in the nature of health, life or disability insurance to any current or former director, officer or Employee, or their respective survivors, dependents or beneficiaries or other Person (other than (i) as required by applicable Law, including Section 4980B of the Code and similar provisions of state Law, (ii) coverage through the end of the month of termination of employment or service, (iii) disability benefits attributable to disabilities occurring at or prior to termination of employment or service, (iv) death benefits when termination occurs upon death, and (v) conversion rights at the sole expense of the converting individual).</w:t>
      </w:r>
    </w:p>
    <w:p>
      <w:pPr>
        <w:spacing w:after="0" w:line="177" w:lineRule="exact"/>
        <w:rPr>
          <w:rFonts w:ascii="Arial" w:cs="Arial" w:eastAsia="Arial" w:hAnsi="Arial"/>
          <w:sz w:val="17"/>
          <w:szCs w:val="17"/>
          <w:color w:val="auto"/>
        </w:rPr>
      </w:pPr>
    </w:p>
    <w:p>
      <w:pPr>
        <w:jc w:val="both"/>
        <w:ind w:firstLine="1304"/>
        <w:spacing w:after="0" w:line="293" w:lineRule="auto"/>
        <w:tabs>
          <w:tab w:leader="none" w:pos="15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There are no pending or, to the Company’s Knowledge, threatened, Actions relating to a Benefit Plan, nor, to the Company’s Knowledge, any facts or circumstances that would reasonably be expected to give rise to any such Actions, and no Benefit Plan is the subject of an on-going examination or audit by a Governmental Authority. No member of the Company Group has, nor has any fiduciary of any Benefit Plan, received any communication or correspondence from the Department of Labor or the IRS in respect of the failure to comply with the Form 5500 filing requirements, including, but not limited to, any notification in writing of any failure to file a timely and complete annual report under Title I of ERISA or any Department of Labor Notice of Intent to Assess a Penalty, other than any such communication or correspondence the subject of which has been fully resolved.</w:t>
      </w:r>
    </w:p>
    <w:p>
      <w:pPr>
        <w:spacing w:after="0" w:line="164" w:lineRule="exact"/>
        <w:rPr>
          <w:rFonts w:ascii="Arial" w:cs="Arial" w:eastAsia="Arial" w:hAnsi="Arial"/>
          <w:sz w:val="16"/>
          <w:szCs w:val="16"/>
          <w:color w:val="auto"/>
        </w:rPr>
      </w:pPr>
    </w:p>
    <w:p>
      <w:pPr>
        <w:jc w:val="both"/>
        <w:ind w:firstLine="1304"/>
        <w:spacing w:after="0" w:line="263" w:lineRule="auto"/>
        <w:tabs>
          <w:tab w:leader="none" w:pos="15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member of the Company Group has, nor do any of its Affiliates have, any commitment or obligation or has made any representations to any Employee, whether or not legally binding, to adopt, amend or modify any Benefit Plan or any Labor Agreement (except for amendment and modifications required by Law).</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6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Benefit Plan, and any award thereunder, that is or forms part of a “nonqualified deferred compensation plan” within the meaning of Section 409A of the Code has at all relevant times been operated in compliance with, and each member of the Company Group has complied in practice and operations with, all applicable requirements of Section 409A of the Code. No member of the Company Group has any obligation to gross-up, indemnify or otherwise reimburse any individual with respect to any Tax, including Section 409A or 4999 of the Code.</w:t>
      </w:r>
    </w:p>
    <w:p>
      <w:pPr>
        <w:spacing w:after="0" w:line="171" w:lineRule="exact"/>
        <w:rPr>
          <w:rFonts w:ascii="Arial" w:cs="Arial" w:eastAsia="Arial" w:hAnsi="Arial"/>
          <w:sz w:val="17"/>
          <w:szCs w:val="17"/>
          <w:color w:val="auto"/>
        </w:rPr>
      </w:pPr>
    </w:p>
    <w:p>
      <w:pPr>
        <w:ind w:right="20" w:firstLine="1304"/>
        <w:spacing w:after="0" w:line="277" w:lineRule="auto"/>
        <w:tabs>
          <w:tab w:leader="none" w:pos="15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except as set forth on </w:t>
      </w:r>
      <w:r>
        <w:rPr>
          <w:rFonts w:ascii="Arial" w:cs="Arial" w:eastAsia="Arial" w:hAnsi="Arial"/>
          <w:sz w:val="18"/>
          <w:szCs w:val="18"/>
          <w:u w:val="single" w:color="auto"/>
          <w:color w:val="auto"/>
        </w:rPr>
        <w:t>Section 3.19(n)</w:t>
      </w:r>
      <w:r>
        <w:rPr>
          <w:rFonts w:ascii="Arial" w:cs="Arial" w:eastAsia="Arial" w:hAnsi="Arial"/>
          <w:sz w:val="18"/>
          <w:szCs w:val="18"/>
          <w:color w:val="auto"/>
        </w:rPr>
        <w:t xml:space="preserve"> of the Disclosure Schedule, the Company shall terminate the Company’s 401(k) plan effective as of the day before the Closing, conditioned on the Closing.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Employment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has provided to Buyer a true, complete and accurate list of all Employees of each member of the Company Group as of the date hereof, including any employee who is on a leave of absence of any nature, paid or unpaid, authorized or unauthorized, and such list sets forth for each individual, the following: (i) name; (ii) job title or position, (iii) full-, part-time, or temporary status; (iv) date of hire; (v) work location; (vi) annual salary or hourly wage rate (as applicable); (vii) current commission, bonus or any other incentive-based compensation entitlements; (viii) accrued vacation days or other paid time off, (ix) Fair Labor Standards Act exempt or non-exempt classification, (x) leave status, and (xi) employing entity. The Company has provided to Buyer a list of all persons who are consultants or independent contractors (“independent contractors”) engaged by each member of the Company Group as of the date hereof, whether doing business as an entity or not, and sets forth for each the following: (i) name of the independent contractor; (ii) date of engagement or commencement of a contract; (iii) duration of the engagement or contract; and (iv) a copy of the current contract or description of all material terms of the contract.</w:t>
      </w:r>
    </w:p>
    <w:p>
      <w:pPr>
        <w:spacing w:after="0" w:line="180" w:lineRule="exact"/>
        <w:rPr>
          <w:rFonts w:ascii="Arial" w:cs="Arial" w:eastAsia="Arial" w:hAnsi="Arial"/>
          <w:sz w:val="17"/>
          <w:szCs w:val="17"/>
          <w:color w:val="auto"/>
        </w:rPr>
      </w:pPr>
    </w:p>
    <w:p>
      <w:pPr>
        <w:jc w:val="both"/>
        <w:ind w:firstLine="1304"/>
        <w:spacing w:after="0" w:line="287" w:lineRule="auto"/>
        <w:tabs>
          <w:tab w:leader="none" w:pos="1551"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Employee is legally authorized to work in the jurisdiction in which such Employee provides services to the applicable member of the Company Group. To the Company’s Knowledge, no current or former employee or independent contractor of any member of the Company Group has breached or violated in any material respect any term of any employment agreement, nondisclosure agreement, noncompetition agreement, non-solicitation agreement, restrictive covenant, trade secret, Intellectual Property ownership, or any other similar obligation that he or she owes (in each case, subject to applicable Law), to any member of the Company Group, or to any third party. In all material respects, all earned compensation, including wages, salaries, wage premiums, commissions, bonuses, incentive compensation, severance and termination payments, fees and other compensation that has come due and payable to all current and former employees and independent contractors of the members of the Company Group under applicable Law, Contract, or company policy has been paid in full. Neither any member of the Company Group, nor to the Company’s Knowledge, any employee or agent thereof, have made, directly or indirectly, any written or oral representations to any current or former employee promising or guaranteeing, or otherwise concerning, any employment, offer of employment, or terms and conditions of employment (including salary, wages, employee benefits, or visa sponsorship or renewal) to take effect, be implemented, or commence upon or after the Closing Date.</w:t>
      </w:r>
    </w:p>
    <w:p>
      <w:pPr>
        <w:spacing w:after="0" w:line="171" w:lineRule="exact"/>
        <w:rPr>
          <w:rFonts w:ascii="Arial" w:cs="Arial" w:eastAsia="Arial" w:hAnsi="Arial"/>
          <w:sz w:val="16"/>
          <w:szCs w:val="16"/>
          <w:color w:val="auto"/>
        </w:rPr>
      </w:pPr>
    </w:p>
    <w:p>
      <w:pPr>
        <w:jc w:val="both"/>
        <w:ind w:firstLine="1304"/>
        <w:spacing w:after="0" w:line="289" w:lineRule="auto"/>
        <w:tabs>
          <w:tab w:leader="none" w:pos="1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no member of the Company Group has been, party to, or is bound by, any collective bargaining or other Contract or understanding with any labor organization, works council or labor union (each, a “</w:t>
      </w:r>
      <w:r>
        <w:rPr>
          <w:rFonts w:ascii="Arial" w:cs="Arial" w:eastAsia="Arial" w:hAnsi="Arial"/>
          <w:sz w:val="16"/>
          <w:szCs w:val="16"/>
          <w:b w:val="1"/>
          <w:bCs w:val="1"/>
          <w:i w:val="1"/>
          <w:iCs w:val="1"/>
          <w:color w:val="auto"/>
        </w:rPr>
        <w:t>Labor Agreement</w:t>
      </w:r>
      <w:r>
        <w:rPr>
          <w:rFonts w:ascii="Arial" w:cs="Arial" w:eastAsia="Arial" w:hAnsi="Arial"/>
          <w:sz w:val="16"/>
          <w:szCs w:val="16"/>
          <w:color w:val="auto"/>
        </w:rPr>
        <w:t>”), (ii) no employees of any member of the Company Group have been represented by any labor union, works council, or other labor organization with respect to their employment with such member of the Company Group, and (iii) there have been no actual or, to the Company’s Knowledge, threatened unfair labor practice charges, material labor grievances, material labor arbitrations, strikes, lockouts, work stoppages, slowdowns, picketing, hand-billing or other material labor disputes against or affecting any member of the Company Group. No labor union, works council, other labor organization, or group of employees of any member of the Company Group has made a demand for recognition or certification, and there are no representation or certification proceedings presently pending or, to the Company’s Knowledge, threatened to be brought or filed with the National Labor Relations Board or any other labor relations tribunal or authority. To the Company’s Knowledge, there have been no labor organizing activities with respect to any employees of any member of the Company Group or its Subsidiaries.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1304"/>
        <w:spacing w:after="0" w:line="263" w:lineRule="auto"/>
        <w:tabs>
          <w:tab w:leader="none" w:pos="15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the transactions contemplated by this Agreement, each member of the Company Group has satisfied in all material respects any notice, consultation or bargaining obligations owed to their employees or their employees’ representatives under applicable Law, Labor Agreement or other Contract.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554"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member of the Company Group is, and has been, in compliance in all material respects with all applicable Laws respecting labor, employment and employment practices, including all Laws respecting terms and conditions of employment, health and safety, wages and hours (including the classification of independent contractors and exempt and non-exempt employees), immigration (including the completion of Forms I-9 for all employees and the proper confirmation of employee visas), employment harassment, discrimination or retaliation, whistleblowing, disability rights or benefits, equal opportunity, plant closures and layoffs (including the Worker Adjustment and Retraining Notification Act of 1988, as amended, or any similar Laws (“</w:t>
      </w:r>
      <w:r>
        <w:rPr>
          <w:rFonts w:ascii="Arial" w:cs="Arial" w:eastAsia="Arial" w:hAnsi="Arial"/>
          <w:sz w:val="17"/>
          <w:szCs w:val="17"/>
          <w:b w:val="1"/>
          <w:bCs w:val="1"/>
          <w:i w:val="1"/>
          <w:iCs w:val="1"/>
          <w:color w:val="auto"/>
        </w:rPr>
        <w:t>WARN Act</w:t>
      </w:r>
      <w:r>
        <w:rPr>
          <w:rFonts w:ascii="Arial" w:cs="Arial" w:eastAsia="Arial" w:hAnsi="Arial"/>
          <w:sz w:val="17"/>
          <w:szCs w:val="17"/>
          <w:color w:val="auto"/>
        </w:rPr>
        <w:t>”)), state or federal, employee trainings and notices, workers' compensation, labor relations, employee leave issues, COVID-19, affirmative action, reasonable accommodations, overtime compensation, unemployment insurance, or other employment related matters and there are no pending or threatened proceedings, charges, filings, audits or investigations against any member of the Company Group by any entity or individual or by or with any Governmental Authority relating to or in connection with the same. No member of the Company Group has failed to properly classify or treat any person as an employee under all applicable Laws. Each member of the Company Group has fully complied with all material terms of any contract it has with any independent contractors.</w:t>
      </w:r>
    </w:p>
    <w:p>
      <w:pPr>
        <w:spacing w:after="0" w:line="181" w:lineRule="exact"/>
        <w:rPr>
          <w:rFonts w:ascii="Arial" w:cs="Arial" w:eastAsia="Arial" w:hAnsi="Arial"/>
          <w:sz w:val="17"/>
          <w:szCs w:val="17"/>
          <w:color w:val="auto"/>
        </w:rPr>
      </w:pPr>
    </w:p>
    <w:p>
      <w:pPr>
        <w:ind w:firstLine="1304"/>
        <w:spacing w:after="0" w:line="277" w:lineRule="auto"/>
        <w:tabs>
          <w:tab w:leader="none" w:pos="15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Company’s Knowledge, no executive officer, management Employee or group of Employees intends to terminate his, her or their employment with the applicable member of the Company Group.</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1551"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person who currently provides services to any member of the Company Group as a consultant, independent contractor, leased employee, or other non-employee service provider, or who has previously provided such services is and has been properly classified and treated as such for all applicable purposes, and the applicable member of the Company Group has fully and accurately reported their compensation on IRS Forms 1099 (or other applicable forms) when required to do so. No member of the Company Group has any Liability, including any obligations under any Benefit Plan, with respect to any misclassification of an individual performing services for such member of the Company Group as an independent contractor, consultant, leased employee, or other non-employee service provider rather than as an employee.</w:t>
      </w:r>
    </w:p>
    <w:p>
      <w:pPr>
        <w:spacing w:after="0" w:line="177" w:lineRule="exact"/>
        <w:rPr>
          <w:rFonts w:ascii="Arial" w:cs="Arial" w:eastAsia="Arial" w:hAnsi="Arial"/>
          <w:sz w:val="17"/>
          <w:szCs w:val="17"/>
          <w:color w:val="auto"/>
        </w:rPr>
      </w:pPr>
    </w:p>
    <w:p>
      <w:pPr>
        <w:jc w:val="both"/>
        <w:ind w:firstLine="1304"/>
        <w:spacing w:after="0" w:line="311" w:lineRule="auto"/>
        <w:tabs>
          <w:tab w:leader="none" w:pos="15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3.20(h)</w:t>
      </w:r>
      <w:r>
        <w:rPr>
          <w:rFonts w:ascii="Arial" w:cs="Arial" w:eastAsia="Arial" w:hAnsi="Arial"/>
          <w:sz w:val="16"/>
          <w:szCs w:val="16"/>
          <w:color w:val="auto"/>
        </w:rPr>
        <w:t xml:space="preserve"> of the Disclosure Schedule, no individuals are currently providing, or have provided during the last three (3) years, services to any member of the Company Group pursuant to an employee leasing agreement, staffing or other similar arrangement with any third party employee leasing or staffing agency, nor has any member of the Company Group entered into any arrangement related to such services.</w:t>
      </w:r>
    </w:p>
    <w:p>
      <w:pPr>
        <w:spacing w:after="0" w:line="148" w:lineRule="exact"/>
        <w:rPr>
          <w:rFonts w:ascii="Arial" w:cs="Arial" w:eastAsia="Arial" w:hAnsi="Arial"/>
          <w:sz w:val="16"/>
          <w:szCs w:val="16"/>
          <w:color w:val="auto"/>
        </w:rPr>
      </w:pPr>
    </w:p>
    <w:p>
      <w:pPr>
        <w:jc w:val="both"/>
        <w:ind w:firstLine="1304"/>
        <w:spacing w:after="0" w:line="255" w:lineRule="auto"/>
        <w:tabs>
          <w:tab w:leader="none" w:pos="15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allegation of sexual harassment, discrimination, or retaliation for which the Company has Knowledge, that the Company has determined to have potential merit, the Company has conducted thorough and impartial investigations and taken appropriate corrective action that is reasonably calculated to address such conduct and to prevent further improper action. The Company does not reasonably expect any material Liabilities with respect to any such allegations and does not have Knowledge of any allegations relating to officers, directors, independent contractors or employees of any member of the Company Group, that, if known to the public, would or would reasonably be expected to bring any member of the Company Group into material disrepute.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55" w:lineRule="auto"/>
        <w:tabs>
          <w:tab w:leader="none" w:pos="15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set forth in Section 3.20(j) of the Disclosure Schedule, no employee layoff, facility closure or shutdown, reduction-in-force, furlough, temporary layoff, material work schedule change or reduction in hours, or material reduction in salary or wages affecting employees of any member of the Company Group has occurred for any reason since March 1, 2020 or is currently contemplated, planned or announced, including, but not limited to, factors such as any relating to COVID-19 or any Law directive, guidelines or recommendations by any Governmental Authority in connection with or in response to COVID-19. The Company Group has not otherwise experienced any material employment-related Liability with respect to COVID-19.</w:t>
      </w:r>
    </w:p>
    <w:p>
      <w:pPr>
        <w:spacing w:after="0" w:line="192" w:lineRule="exact"/>
        <w:rPr>
          <w:rFonts w:ascii="Arial" w:cs="Arial" w:eastAsia="Arial" w:hAnsi="Arial"/>
          <w:sz w:val="18"/>
          <w:szCs w:val="18"/>
          <w:color w:val="auto"/>
        </w:rPr>
      </w:pPr>
    </w:p>
    <w:p>
      <w:pPr>
        <w:jc w:val="both"/>
        <w:ind w:firstLine="1304"/>
        <w:spacing w:after="0" w:line="293" w:lineRule="auto"/>
        <w:tabs>
          <w:tab w:leader="none" w:pos="155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Group maintains, and has at all relevant times maintained, adequate insurance coverage , including employer’s liability coverage and umbrella coverage, as necessary to pay the costs to defend and satisfy any reasonable settlement, demand, judgment, or any other Liability that may be entered in or arise out of any proceedings or claims related to or brought by any employee or independent contractor of any member of the Company Group, and each member of the Company Group has complied with all applicable terms of any such insurance policy for such coverage related to notification, cooperation, and payment of any premiums or applicable deductible such that coverage for any such proceedings or claims would not reasonably be expected to be denied for failure of any member of the Company Group to comply with the terms of any such insurance policies.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Privacy and Personal Data</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8" w:lineRule="auto"/>
        <w:tabs>
          <w:tab w:leader="none" w:pos="15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member of the Company Group has at all times followed, in all material respects, generally accepted industry practices for the protection of Personal Data and Confidential Information within such Company Group member’s possession, custody, or control against loss, damage, and unauthorized access, use, modification or disclosure. Each of the third parties that have performed services for any member of the Company Group and have had access to Personal Data comply, and have at all times complied, with all (i) applicable Laws (including, as applicable, the General Data Protection Regulation (GDPR) (EU) (2016/679), and any other laws relating to data privacy (including Personal Data), security, or protection); (ii) terms of any applicable Contracts to which any member of the Company Group is bound; (iii) applicable self-regulatory requirements and applicable industry standards, and PCI-DSS, and (iv) the terms of any applicable privacy policies or other written representations concerning the security and the collection, storage, use, transfer and/or other processing of any Personal Data as well as appropriate recovery measures in the event of a security incident with respect thereto ((i) through (iv), collectively, the “</w:t>
      </w:r>
      <w:r>
        <w:rPr>
          <w:rFonts w:ascii="Arial" w:cs="Arial" w:eastAsia="Arial" w:hAnsi="Arial"/>
          <w:sz w:val="17"/>
          <w:szCs w:val="17"/>
          <w:b w:val="1"/>
          <w:bCs w:val="1"/>
          <w:i w:val="1"/>
          <w:iCs w:val="1"/>
          <w:color w:val="auto"/>
        </w:rPr>
        <w:t>Personal Data Requirements</w:t>
      </w:r>
      <w:r>
        <w:rPr>
          <w:rFonts w:ascii="Arial" w:cs="Arial" w:eastAsia="Arial" w:hAnsi="Arial"/>
          <w:sz w:val="17"/>
          <w:szCs w:val="17"/>
          <w:color w:val="auto"/>
        </w:rPr>
        <w:t>”). Each of the third parties that have performed services for any member of the Company Group and have had access to Confidential Information comply, and have at all times complied, with all terms of any applicable Contracts to which any member of the Company Group is bound. Each member of the Company Group has at all times taken commercially reasonable measures to protect Personal Data or Confidential Information against loss, theft, material unplanned unavailability or alteration, corruption, or unauthorized modification, use, deletion, disclosure, or other Processing activity.</w:t>
      </w:r>
    </w:p>
    <w:p>
      <w:pPr>
        <w:spacing w:after="0" w:line="186" w:lineRule="exact"/>
        <w:rPr>
          <w:rFonts w:ascii="Arial" w:cs="Arial" w:eastAsia="Arial" w:hAnsi="Arial"/>
          <w:sz w:val="17"/>
          <w:szCs w:val="17"/>
          <w:color w:val="auto"/>
        </w:rPr>
      </w:pPr>
    </w:p>
    <w:p>
      <w:pPr>
        <w:jc w:val="both"/>
        <w:ind w:firstLine="1304"/>
        <w:spacing w:after="0" w:line="283" w:lineRule="auto"/>
        <w:tabs>
          <w:tab w:leader="none" w:pos="15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There has been no, and no Company Group member been required by applicable Law or Contract to or voluntarily elected to give, notice to any customer, supplier, Governmental Authority, employee, or other person of, any actual or alleged, loss or unauthorized use, acquisition, or access, or other processing, or impairment of access, or other Security Incidents, with respect to any Business System, Personal Data in the possession, custody, or control of, or Processed by or on behalf of any member of the Company Group (including in the possession or custody of any third party or affiliate providing services for any member of the Company Group), or Intellectual Property Assets, or that is otherwise material to the Business. The execution, delivery, and performance of this Agreement and the transactions contemplated hereby will not result in a breach or violation of any Personal Data Requirements. There is not and has not been any written complaint to, or any audit, proceeding, inquiry, investigation (formal or informal) or claim against, any member of the Company Group or any of their customers, affiliates, or service providers (in the case of customers, affiliates, or service providers, to the extent relating to the Business) by any private party, data protection authority, or any other Governmental Authority, foreign or domestic,</w:t>
      </w:r>
    </w:p>
    <w:p>
      <w:pPr>
        <w:spacing w:after="0" w:line="5" w:lineRule="exact"/>
        <w:rPr>
          <w:rFonts w:ascii="Arial" w:cs="Arial" w:eastAsia="Arial" w:hAnsi="Arial"/>
          <w:sz w:val="16"/>
          <w:szCs w:val="16"/>
          <w:color w:val="auto"/>
        </w:rPr>
      </w:pPr>
    </w:p>
    <w:p>
      <w:pPr>
        <w:ind w:firstLine="8"/>
        <w:spacing w:after="0" w:line="260" w:lineRule="auto"/>
        <w:tabs>
          <w:tab w:leader="none" w:pos="2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alleging any violation by any member of the Company Group of any Personal Data Requirement or (ii) regarding the collection, Processing, storage, transfer, and/or use of Personal Data or any Security Incident.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89"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has provided to Buyer true, correct and complete copies of, and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Disclosure Schedule sets forth a list of, all current policies or binders of insurance, including fire, liability, product liability, umbrella liability, real and personal property, workers’ compensation, employment practices liability, directors and officers liability, errors and omissions liability, vehicular, fiduciary liability and other casualty and property insurance maintained by the Company Group (collectively, the “</w:t>
      </w:r>
      <w:r>
        <w:rPr>
          <w:rFonts w:ascii="Arial" w:cs="Arial" w:eastAsia="Arial" w:hAnsi="Arial"/>
          <w:sz w:val="16"/>
          <w:szCs w:val="16"/>
          <w:b w:val="1"/>
          <w:bCs w:val="1"/>
          <w:i w:val="1"/>
          <w:iCs w:val="1"/>
          <w:color w:val="auto"/>
        </w:rPr>
        <w:t>Insurance Policies</w:t>
      </w:r>
      <w:r>
        <w:rPr>
          <w:rFonts w:ascii="Arial" w:cs="Arial" w:eastAsia="Arial" w:hAnsi="Arial"/>
          <w:sz w:val="16"/>
          <w:szCs w:val="16"/>
          <w:color w:val="auto"/>
        </w:rPr>
        <w:t>”) and a list of all pending claims and the claims history for Company Group since January 1, 2020. There are no claims related to any member of the Company Group pending under any such Insurance Policies as to which coverage has been questioned, denied or disputed or in respect of which there is an outstanding reservation of rights. No member of the Company Group has, nor have any of their Affiliates, received any written or, to the Company’s Knowledge, oral notice of cancellation of, premium increase with respect to, or alteration of coverage under, any of such Insurance Policies. No member of the Company Group is in material breach or default of any such Insurance Policy. The Company Group does not have any self-insurance or co-insurance programs.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Product Liability</w:t>
      </w:r>
      <w:r>
        <w:rPr>
          <w:rFonts w:ascii="Arial" w:cs="Arial" w:eastAsia="Arial" w:hAnsi="Arial"/>
          <w:sz w:val="17"/>
          <w:szCs w:val="17"/>
          <w:color w:val="auto"/>
        </w:rPr>
        <w:t>. No member of the Company Group has any liability arising out of any injury to individuals or property as a result of the ownership, possession or use of any products manufactured, sold or delivered by any member of the Company Group or with respect to any services rendered by any member of the Company Group. Each product sold or delivered and each service rendered by any member of the Company Group has been in conformity in all respects with contractual commitments and express and implied warranties and no member of the Company Group has any liability or obligation for replacement thereof. There have been and there are no product recalls or withdrawals or requests for product recalls or withdrawals by any Governmental Authority or by any customer of the Company Group.</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COVID-19 and COVID-19 Measures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Group is not subject to (or has received an exclusion from the applicable Governmental Authority) COVID-19 Measures, such that the Company Group may continue to operate in the Ordinary Course of Business as of the date hereof and the reasonably foreseeable future.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of the Disclosure Schedule, no member of the Company Group has applied for or received any loan or other financial grant pursuant to any COVID-19 Measure, including any “Paycheck Protection Program” loan, “Economic Stabilization Fund” loan, or other U.S. Small Business Administration loan. Any such loan that is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has been paid off, forgiven or otherwise discharged in full, and no member of the Company Group owes any further amounts pursuant to such loans.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of the Disclosure Schedule, no officer, director (or equivalent), Affiliate or Member of any member of the Company Group: (a) owns, directly or indirectly, any interest in or is an officer, director consultant of any Person which is a competitor, lessor, lessee, customer or supplier of any member of the Company Group; (b) owns, directly or indirectly, in whole or in part, any interest in Owned IP; (c) has any loan outstanding to or cause of action or other claim whatsoever against any member of the Company Group; (d) has made, on behalf of any member of the Company Group, any payment or commitment or pay any commission, fee or other amount to, or purchase or obtain or otherwise contract to purchase or obtain any goods or services from, any corporation or other Person of which any officer or director of any member of the Company Group or relative of any of the foregoing, holds more than two (2%) of the outstanding Equity Securities of such corporation or other Person, or (e) is a party to any Contract with any member of the Company Group (excluding (i) this Agreement and the Transaction Documents (ii) any employment agreements or other compensation arrangements or (iii) the organizational documents of any member of the Company Group or standard confidentiality agreements).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59"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of the Disclosure Schedule, no broker, finder, investment banker or other agent is entitled to any brokerage, finder’s or other fee or commission in connection with the transactions contemplated by this Agreement or any Transaction Document based upon arrangements made by or on behalf of the Company or the Members (in the latter case to the extent any member of the Company Group would be liable following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member of the Company Group is currently and has been in compliance with all Environmental Laws and has not, and the Members have not, received from any Person any: (i) Environmental Notice or Environmental Claim; or (ii) written request for information pursuant to Environmental Law, which, in each case, either remains pending or unresolved, or is the source of ongoing obligations or requirements as of the Closing Date.</w:t>
      </w:r>
    </w:p>
    <w:p>
      <w:pPr>
        <w:spacing w:after="0" w:line="186" w:lineRule="exact"/>
        <w:rPr>
          <w:rFonts w:ascii="Arial" w:cs="Arial" w:eastAsia="Arial" w:hAnsi="Arial"/>
          <w:sz w:val="18"/>
          <w:szCs w:val="18"/>
          <w:color w:val="auto"/>
        </w:rPr>
      </w:pPr>
    </w:p>
    <w:p>
      <w:pPr>
        <w:jc w:val="both"/>
        <w:ind w:firstLine="1304"/>
        <w:spacing w:after="0" w:line="289" w:lineRule="auto"/>
        <w:tabs>
          <w:tab w:leader="none" w:pos="15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Each member of the Company Group has obtained and is in material compliance with all Environmental Permits (each of which is disclosed in </w:t>
      </w:r>
      <w:r>
        <w:rPr>
          <w:rFonts w:ascii="Arial" w:cs="Arial" w:eastAsia="Arial" w:hAnsi="Arial"/>
          <w:sz w:val="16"/>
          <w:szCs w:val="16"/>
          <w:u w:val="single" w:color="auto"/>
          <w:color w:val="auto"/>
        </w:rPr>
        <w:t>Section 3.27(b)</w:t>
      </w:r>
      <w:r>
        <w:rPr>
          <w:rFonts w:ascii="Arial" w:cs="Arial" w:eastAsia="Arial" w:hAnsi="Arial"/>
          <w:sz w:val="16"/>
          <w:szCs w:val="16"/>
          <w:color w:val="auto"/>
        </w:rPr>
        <w:t xml:space="preserve"> of the Disclosure Schedule) necessary for the ownership, lease, operation or use of the Business or assets of the Company Group, and all such Environmental Permits are in full force and effect and shall be maintained in full force and effect by the applicable member of the Company Group through the Closing Date in accordance with Environmental Laws, and neither Members nor the Company is aware of any condition, event or circumstance that might prevent or impede, after the Closing Date, the ownership, lease, operation or use of the Business or assets of the Company Group as currently carried out. With respect to any such Environmental Permits, each applicable member of the Company Group has undertaken, or will undertake prior to the Closing Date, all measures necessary to facilitate transferability of the same, and neither any member of the Company Group nor any of the Members is aware of any condition, event or circumstance that might prevent or impede the transferability of the same, nor have they received any Environmental Notice or written communication regarding any material adverse change in the status or terms and conditions of the same.</w:t>
      </w:r>
    </w:p>
    <w:p>
      <w:pPr>
        <w:spacing w:after="0" w:line="166" w:lineRule="exact"/>
        <w:rPr>
          <w:rFonts w:ascii="Arial" w:cs="Arial" w:eastAsia="Arial" w:hAnsi="Arial"/>
          <w:sz w:val="16"/>
          <w:szCs w:val="16"/>
          <w:color w:val="auto"/>
        </w:rPr>
      </w:pPr>
    </w:p>
    <w:p>
      <w:pPr>
        <w:ind w:firstLine="1304"/>
        <w:spacing w:after="0" w:line="277" w:lineRule="auto"/>
        <w:tabs>
          <w:tab w:leader="none" w:pos="15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real property currently or formerly owned, operated or leased by the Company is listed on, or has been proposed for listing on, the National Priorities List (or CERCLIS) under CERCLA, or any similar state list.</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156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There has been no Release of Hazardous Materials in contravention of Environmental Law with respect to the Business or assets of the Company Group or any real property currently or formerly owned, operated or leased by any member of the Company Group, and neither any member of the Company Group nor the Members have received an Environmental Notice that any real property currently or formerly owned, operated or leased in connection with the Business (including soils, groundwater, surface water, buildings and other structure located on any such real property) has been contaminated with any Hazardous Material which could reasonably be expected to result in an Environmental Claim against, or a violation of Environmental Law or term of any Environmental Permit by, the Members or any member of the Company Group.</w:t>
      </w:r>
    </w:p>
    <w:p>
      <w:pPr>
        <w:spacing w:after="0" w:line="177" w:lineRule="exact"/>
        <w:rPr>
          <w:rFonts w:ascii="Arial" w:cs="Arial" w:eastAsia="Arial" w:hAnsi="Arial"/>
          <w:sz w:val="17"/>
          <w:szCs w:val="17"/>
          <w:color w:val="auto"/>
        </w:rPr>
      </w:pPr>
    </w:p>
    <w:p>
      <w:pPr>
        <w:ind w:firstLine="1304"/>
        <w:spacing w:after="0" w:line="277" w:lineRule="auto"/>
        <w:tabs>
          <w:tab w:leader="none" w:pos="15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active or abandoned aboveground or underground storage tanks on or under real property currently or formerly owned, operated or leased by any member of the Company Group.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jc w:val="both"/>
        <w:ind w:firstLine="1304"/>
        <w:spacing w:after="0" w:line="255"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Section 3.27(f)</w:t>
      </w:r>
      <w:r>
        <w:rPr>
          <w:rFonts w:ascii="Arial" w:cs="Arial" w:eastAsia="Arial" w:hAnsi="Arial"/>
          <w:sz w:val="18"/>
          <w:szCs w:val="18"/>
          <w:color w:val="auto"/>
        </w:rPr>
        <w:t xml:space="preserve"> of the Disclosure Schedule contains a complete and accurate list of all off-site Hazardous Materials treatment, storage, or disposal facilities or locations used by any member of the Company Group and any predecessors as to which any member of the Company Group or the Members may retain liability, and none of these facilities or locations has been placed or proposed for placement on the National Priorities List (or CERCLIS) under CERCLA, or any similar state list, and neither the Members nor any member of the Company Group has received any Environmental Notice regarding potential liabilities with respect to such off-site Hazardous Materials treatment, storage, or disposal facilities or locations used by such member of the Company Group.</w:t>
      </w:r>
    </w:p>
    <w:p>
      <w:pPr>
        <w:spacing w:after="0" w:line="192" w:lineRule="exact"/>
        <w:rPr>
          <w:rFonts w:ascii="Arial" w:cs="Arial" w:eastAsia="Arial" w:hAnsi="Arial"/>
          <w:sz w:val="18"/>
          <w:szCs w:val="18"/>
          <w:color w:val="auto"/>
        </w:rPr>
      </w:pPr>
    </w:p>
    <w:p>
      <w:pPr>
        <w:ind w:firstLine="1304"/>
        <w:spacing w:after="0" w:line="277" w:lineRule="auto"/>
        <w:tabs>
          <w:tab w:leader="none" w:pos="158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the Members nor any member of the Company Group have retained or assumed, by contract or operation of Law, any liabilities or obligations of third parties under Environmental Law.</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Members have provided or otherwise made available to Buyer: (i) any and all environmental reports, studies, audits, records, sampling data, site assessments, risk assessments, economic models and other similar documents with respect to the business or assets of the Company Group or any currently or formerly owned, operated or leased real property which are in the possession or control of the Members or the Company Group related to compliance with Environmental Laws, Environmental Claims or an Environmental Notice or the Release of Hazardous Materials; and (ii) any and all material documents concerning planned or anticipated capital expenditures required to reduce, offset, limit or otherwise control pollution and/or emissions, manage waste or otherwise ensure compliance with current or future Environmental Laws (including, without limitation, costs of remediation, pollution control equipment and operational changes).</w:t>
      </w:r>
    </w:p>
    <w:p>
      <w:pPr>
        <w:spacing w:after="0" w:line="194" w:lineRule="exact"/>
        <w:rPr>
          <w:rFonts w:ascii="Arial" w:cs="Arial" w:eastAsia="Arial" w:hAnsi="Arial"/>
          <w:sz w:val="18"/>
          <w:szCs w:val="18"/>
          <w:color w:val="auto"/>
        </w:rPr>
      </w:pPr>
    </w:p>
    <w:p>
      <w:pPr>
        <w:jc w:val="both"/>
        <w:ind w:firstLine="1304"/>
        <w:spacing w:after="0" w:line="311" w:lineRule="auto"/>
        <w:tabs>
          <w:tab w:leader="none" w:pos="1548"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Members nor the Company is aware of or reasonably anticipates, as of the Closing Date, any condition, event or circumstance concerning the Release or regulation of Hazardous Materials that might, after the Closing Date, prevent, impede or materially increase the costs associated with the ownership, lease, operation, performance or use of the business or assets of the Company Group as currently carried out.</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3.28</w:t>
      </w:r>
      <w:r>
        <w:rPr>
          <w:rFonts w:ascii="Arial" w:cs="Arial" w:eastAsia="Arial" w:hAnsi="Arial"/>
          <w:sz w:val="18"/>
          <w:szCs w:val="18"/>
          <w:color w:val="auto"/>
        </w:rPr>
        <w:t xml:space="preserve"> of the Disclosure Schedule sets forth a list of all of the bank accounts of each member of the Company Group (designating each authorized signatory and the level of each signatory’s authorization).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3.29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minute books of each member of the Company Group have been made available to Buyer, are complete and correct, and have been maintained in accordance with sound business practices. The minute books of each member of the Company Group contain accurate and complete records of all meetings, and actions taken by written consent of, the members and the managers, and no meeting, or action taken by written consent, of any such members or managers has been held for which minutes have not been prepared and are not contained in such minute books. At the Closing, all of those books and records will be in the possession of the Company.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3.30 </w:t>
      </w:r>
      <w:r>
        <w:rPr>
          <w:rFonts w:ascii="Arial" w:cs="Arial" w:eastAsia="Arial" w:hAnsi="Arial"/>
          <w:sz w:val="18"/>
          <w:szCs w:val="18"/>
          <w:u w:val="single" w:color="auto"/>
          <w:color w:val="auto"/>
        </w:rPr>
        <w:t>Full Disclosure</w:t>
      </w:r>
      <w:r>
        <w:rPr>
          <w:rFonts w:ascii="Arial" w:cs="Arial" w:eastAsia="Arial" w:hAnsi="Arial"/>
          <w:sz w:val="18"/>
          <w:szCs w:val="18"/>
          <w:color w:val="auto"/>
        </w:rPr>
        <w:t>. No representation or warranty by the Members in this Agreement and no statement contained in the Disclosure Schedule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REGARDING THE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 a material inducement to Buyer to enter into this Agreement and consummate the transactions contemplated hereby, each Member represents and warrants to Buyer, individually only with respect to such Member and on a several (but not joint) basis, that the statements with respect to such Member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and correct as of the Closing (except, in each case, as to any representations and warranties that specifically relate to an earlier date, and then as of such date), except as set forth in the Disclosure Schedule, the following: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As of immediately prior to the Closing, such Member owns exclusively, beneficially and of record, and has good and valid title to, the Equity Securities of the Company as set forth opposite such Member’s name on </w:t>
      </w:r>
      <w:r>
        <w:rPr>
          <w:rFonts w:ascii="Arial" w:cs="Arial" w:eastAsia="Arial" w:hAnsi="Arial"/>
          <w:sz w:val="17"/>
          <w:szCs w:val="17"/>
          <w:u w:val="single" w:color="auto"/>
          <w:color w:val="auto"/>
        </w:rPr>
        <w:t>Section 3.5(a)</w:t>
      </w:r>
      <w:r>
        <w:rPr>
          <w:rFonts w:ascii="Arial" w:cs="Arial" w:eastAsia="Arial" w:hAnsi="Arial"/>
          <w:sz w:val="17"/>
          <w:szCs w:val="17"/>
          <w:color w:val="auto"/>
        </w:rPr>
        <w:t xml:space="preserve"> of the Disclosure Schedule, free and clear of any Encumbrance (other than restrictions pursuant to applicable securities Laws and the Company’s Organizational Documents), and such Member does not own, directly or indirectly, any other Equity Securities of the Company. Upon the consummation of the transactions contemplated by this Agreement and in accordance with the terms hereof, at the Closing, Buyer will acquire good and valid title to the Company Interests owned by such Member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free and clear of all Encumbrances on such Company Interests, other than Encumbrances created by Buyer and restrictions pursuant to applicable securities Laws and the Company’s Organizational Documents.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Authority and Enforceability; No Conflicts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Such Member has full power, capacity, and authority to execute this Agreement and the Transaction Documents to which such Member is (or will be) a party and to perform such Member’s obligations hereunder and thereunder. This Agreement has been duly executed and delivered by such Member and, assuming the due authorization, execution and delivery by each of the other parties hereto other than such Member, this Agreement is the valid and binding obligation of such Member, enforceable against such Member in accordance with its terms, and each of the other Transaction Documents to which such Member is (or will be) a party, when executed by such Member, and assuming the due authorization, execution and delivery by each of the other parties thereto other than such Member, will be the valid and binding obligation of such Member, enforceable against such Member in accordance with its terms except to the extent such enforceability is limited by the Enforceability Exceptions. No other proceeding, consent, approval, vote or other action on the part of such Member is necessary to approve the execution and delivery by such Member of this Agreement or the other Transaction Documents to which such Member is (or will be) a party and consummate the transactions contemplated hereby and thereby.</w:t>
      </w:r>
    </w:p>
    <w:p>
      <w:pPr>
        <w:spacing w:after="0" w:line="166" w:lineRule="exact"/>
        <w:rPr>
          <w:rFonts w:ascii="Arial" w:cs="Arial" w:eastAsia="Arial" w:hAnsi="Arial"/>
          <w:sz w:val="16"/>
          <w:szCs w:val="16"/>
          <w:color w:val="auto"/>
        </w:rPr>
      </w:pPr>
    </w:p>
    <w:p>
      <w:pPr>
        <w:jc w:val="both"/>
        <w:ind w:firstLine="1304"/>
        <w:spacing w:after="0" w:line="254" w:lineRule="auto"/>
        <w:tabs>
          <w:tab w:leader="none" w:pos="15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execution, delivery and performance by such Member of this Agreement and the other Transaction Documents to which he, she or it is (or will be) a party and the consummation by such Member of the transactions contemplated hereby and thereby do not and will not as of immediately following the Closing (i) violate (with or without the giving of notice or lapse of time, or both) any Law applicable to such Member, any Organizational Documents applicable to such Member or contracts to which such Member is a party, (ii) require any consent, approval or authorization of, declaration, filing, registration or qualification with, exemption or other action by, or notice to, any Person, or (iii) result in the creation of any Encumbrance on any Equity Securities of the Company held by such Member, in each case, except as would not materially and adversely affect the consummation of the transactions contemplated by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Brokers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of the Disclosure Schedule, such Member does not and will not as of immediately following the Closing have, directly or indirectly, any Liability for brokers’ or finders’ fees or any similar charges in connection with this Agreement or any transaction contemplated hereby that would reasonably be expected to become payable by any member of the Company Group.</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Legal Actions; Governmental Orders</w:t>
      </w:r>
      <w:r>
        <w:rPr>
          <w:rFonts w:ascii="Arial" w:cs="Arial" w:eastAsia="Arial" w:hAnsi="Arial"/>
          <w:sz w:val="17"/>
          <w:szCs w:val="17"/>
          <w:color w:val="auto"/>
        </w:rPr>
        <w:t>. There is not pending, or, to the knowledge of such Member, threatened any Action: (i) by or against such Member that relates to, or would reasonably be expected to cause a Material Adverse Effect with respect to, the Company Interests, the Business, or any assets owned or used by any member of the Company Group; or (ii) that challenges, or that would reasonably be expected to have the effect of preventing, delaying, making illegal, imposing limitations or conditions on, or otherwise interfering with, in each case, in any material respect, the transactions contemplated by this Agreement. There is no Governmental Order to which such Member is bound or subject relating to the Company Interests and such Member is not subject to any Governmental Order that relates to the business of or any assets owned or used by any member of the Company Group. Such Member is in compliance in all material respects with each Governmental Order to which it is bound relating to the Company Interests, the Company Group’s assets, or to the Business of, or any assets owned or used by, the Company Group.</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Investor Representations</w:t>
      </w:r>
      <w:r>
        <w:rPr>
          <w:rFonts w:ascii="Arial" w:cs="Arial" w:eastAsia="Arial" w:hAnsi="Arial"/>
          <w:sz w:val="18"/>
          <w:szCs w:val="18"/>
          <w:color w:val="auto"/>
        </w:rPr>
        <w:t>. In connection with the issuance by Buyer of the Buyer Shares to the Members, each Member represents only with respect to such Member:</w:t>
      </w:r>
    </w:p>
    <w:p>
      <w:pPr>
        <w:spacing w:after="0" w:line="170" w:lineRule="exact"/>
        <w:rPr>
          <w:sz w:val="20"/>
          <w:szCs w:val="20"/>
          <w:color w:val="auto"/>
        </w:rPr>
      </w:pPr>
    </w:p>
    <w:p>
      <w:pPr>
        <w:ind w:firstLine="1304"/>
        <w:spacing w:after="0" w:line="277" w:lineRule="auto"/>
        <w:tabs>
          <w:tab w:leader="none" w:pos="15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acquiring the Buyer Shares for its own account, not as nominee or agent, and not with a view to, or for resale in connection with, any distribution or public offering thereof within the meaning of the Securities Act;</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15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understands that (i) Buyer Shares have not been registered under the Securities Act; (ii) the Buyer Shares are being issued pursuant to an exemption from registration, based in part upon the Buyer’s reliance upon the statements and representations made by the Members in this Agreement, and that the Buyer Shares must be held by such Member indefinitely, and that the Member must, therefore, bear the economic risk of such investment indefinitely, unless a subsequent disposition thereof is registered under the Securities Act or is exempt from such registration; (iii) each certificate or book entry representing the Buyer Shares will be endorsed with the following legend until the earlier of (1) the Buyer Shares have been registered for resale by such Member or (2) the date the Buyer Shares are eligible for sale under Rule 144 under the Securities Act:</w:t>
      </w:r>
    </w:p>
    <w:p>
      <w:pPr>
        <w:spacing w:after="0" w:line="178"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OR UNDER THE SECURITIES LAWS OF ANY STATES. THESE SECURITIES ARE SUBJECT TO RESTRICTIONS ON TRANSFERABILITY AND RESALE AND MAY NOT BE TRANSFERRED OR RESOLD EXCEPT AS PERMITTED UNDER THE SECURITIES ACT AND THE APPLICABLE STATE SECURITIES LAWS, PURSUANT TO REGISTRATION OR EXEMPTION THEREFROM. UNLESS SOLD PURSUANT TO AN EFFECTIVE REGISTRATION STATEMENT UNDER THE SECURITIES ACT,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660" w:firstLine="1292"/>
        <w:spacing w:after="0" w:line="263" w:lineRule="auto"/>
        <w:tabs>
          <w:tab w:leader="none" w:pos="227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Buyer will instruct any transfer agent not to register the transfer of the Buyer Shares (or any portion thereof) until the applicable date set forth in clause (iii) above unless the conditions specified in the foregoing legends are satisfied, or other satisfactory assurances of such nature are given to the Buyer;</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73" w:val="left"/>
        </w:tabs>
        <w:numPr>
          <w:ilvl w:val="0"/>
          <w:numId w:val="59"/>
        </w:numPr>
        <w:rPr>
          <w:rFonts w:ascii="Arial" w:cs="Arial" w:eastAsia="Arial" w:hAnsi="Arial"/>
          <w:sz w:val="17"/>
          <w:szCs w:val="17"/>
          <w:color w:val="auto"/>
        </w:rPr>
      </w:pPr>
      <w:r>
        <w:rPr>
          <w:rFonts w:ascii="Arial" w:cs="Arial" w:eastAsia="Arial" w:hAnsi="Arial"/>
          <w:sz w:val="17"/>
          <w:szCs w:val="17"/>
          <w:color w:val="auto"/>
        </w:rPr>
        <w:t>has such knowledge and experience in financial or business matters that it is capable of evaluating the merits and risks of the investment in connection with the transactions contemplated in this Agreement. Such Member has, in connection with its decision to acquire the Buyer Shares, relied only upon the Buyer SEC Documents and the representations and warranties contained herein. Further, such Member has had such opportunity to obtain additional information and to ask questions of, and receive answers from, the Buyer, concerning the terms and conditions of the investment and the business and affairs of the Buyer, as such Member considers necessary in order to form an investment decision;</w:t>
      </w:r>
    </w:p>
    <w:p>
      <w:pPr>
        <w:spacing w:after="0" w:line="176" w:lineRule="exact"/>
        <w:rPr>
          <w:rFonts w:ascii="Arial" w:cs="Arial" w:eastAsia="Arial" w:hAnsi="Arial"/>
          <w:sz w:val="17"/>
          <w:szCs w:val="17"/>
          <w:color w:val="auto"/>
        </w:rPr>
      </w:pPr>
    </w:p>
    <w:p>
      <w:pPr>
        <w:ind w:firstLine="1304"/>
        <w:spacing w:after="0" w:line="277" w:lineRule="auto"/>
        <w:tabs>
          <w:tab w:leader="none" w:pos="15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for the Non-Accredited Investors, is an “accredited investor” as such term is defined in Rule 501(a) of the rules and regulations promulgated under the Securities Act;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not acquiring the Buyer Shares as a result of any advertisement, article, notice or other communication regarding the Buyer Shares published in any newspaper, magazine or similar media or broadcast over the television or radio or presented at any seminar or any other general solicitation or general advertisement.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Investment, Tax or Legal Advice</w:t>
      </w:r>
      <w:r>
        <w:rPr>
          <w:rFonts w:ascii="Arial" w:cs="Arial" w:eastAsia="Arial" w:hAnsi="Arial"/>
          <w:sz w:val="18"/>
          <w:szCs w:val="18"/>
          <w:color w:val="auto"/>
        </w:rPr>
        <w:t>. Each Member understands that nothing in the Buyer SEC Documents, this Agreement, or any other materials presented to such Member in connection with its acquisition of the Buyer Shares constitutes legal, tax or investment advice. Each Member has consulted such legal, tax and investment advisors as it, in its sole discretion, has deemed necessary or appropriate in connection with its acquisition of Buyer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Additional Acknowledgment</w:t>
      </w:r>
      <w:r>
        <w:rPr>
          <w:rFonts w:ascii="Arial" w:cs="Arial" w:eastAsia="Arial" w:hAnsi="Arial"/>
          <w:sz w:val="18"/>
          <w:szCs w:val="18"/>
          <w:color w:val="auto"/>
        </w:rPr>
        <w:t>. Each Member acknowledges that it has independently evaluated the merits of the transactions contemplated by this Agreement, that it has independently determined to enter into the transactions contemplated hereby, that it is not relying on any advice from or evaluation by any other person. Each Member acknowledges that it has not taken any actions that would deem the Members to be members of a “group” for purposes of Section 13(d) of the Exchange Act.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Limited Ownership</w:t>
      </w:r>
      <w:r>
        <w:rPr>
          <w:rFonts w:ascii="Arial" w:cs="Arial" w:eastAsia="Arial" w:hAnsi="Arial"/>
          <w:sz w:val="17"/>
          <w:szCs w:val="17"/>
          <w:color w:val="auto"/>
        </w:rPr>
        <w:t>. Such Member does not presently intend to, along or together with others, make a public filing with the SEC to disclose that it has (or that it together with such other persons or entities have) acquired, or obtained the right to acquire, as a result of the Closing (when added to any other securities of the Buyer that it or they then own or have the right to acquire), in excess of 19.999% of the outstanding shares of common stock or the voting power of the Buyer on a post-transaction basis that assumes that the Closing shall have occurred.</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No Short Position</w:t>
      </w:r>
      <w:r>
        <w:rPr>
          <w:rFonts w:ascii="Arial" w:cs="Arial" w:eastAsia="Arial" w:hAnsi="Arial"/>
          <w:sz w:val="17"/>
          <w:szCs w:val="17"/>
          <w:color w:val="auto"/>
        </w:rPr>
        <w:t>. As of the date hereof, and as of the Closing Date, each Member acknowledges and agrees that it does not and will not (between the date hereof and the Closing Date) engage in any short sale of the Buyer’s voting stock or any other type of hedging transaction involving the Buyer’s securities (including, without limitation, depositing shares of the Buyer’s securities with a brokerage firm where such securities are made available by the broker to other customers of the firm for purposes of hedging or short selling the Buyer’s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Buyer represents and warrants to the Members that the statements contained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as of the Closing (except as to any representations and warranties that specifically relate to an earlier date, and then as of such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Buyer is duly organized, validly existing, and in good standing under the laws of its jurisdiction of formation and has the full corporate power and authority to own, operate or lease its properties and assets and to carry on its business on and after the Closing, except where the failure to be so qualified or to be in good standing would not have a material adverse effect on Buyer, or on the consummation of the transactions contemplated by this Agreement.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Authority of Buyer</w:t>
      </w:r>
      <w:r>
        <w:rPr>
          <w:rFonts w:ascii="Arial" w:cs="Arial" w:eastAsia="Arial" w:hAnsi="Arial"/>
          <w:sz w:val="17"/>
          <w:szCs w:val="17"/>
          <w:color w:val="auto"/>
        </w:rPr>
        <w:t>. Buyer has full corporate power and authority to enter into this Agreement and the Transaction Documents to which Buyer is a party, to carry out its obligations hereunder and thereunder and to consummate the transactions contemplated hereby and thereby. The execution and delivery by Buyer of this Agreement and any Transaction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the Members and the Company) this Agreement constitutes a legal, valid and binding obligation of Buyer enforceable against Buyer in accordance with its terms, except as limited by the Enforceability Exceptions. When each Transaction Document to which Buyer is or will be a party has been duly executed and delivered by Buyer (assuming due authorization, execution and delivery by each other party thereto), such Transaction Document will constitute a legal and binding obligation of Buyer enforceable against it in accordance with its terms except as enforceability is limited by the Enforceability Exceptions.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Consents of Third Parties</w:t>
      </w:r>
      <w:r>
        <w:rPr>
          <w:rFonts w:ascii="Arial" w:cs="Arial" w:eastAsia="Arial" w:hAnsi="Arial"/>
          <w:sz w:val="17"/>
          <w:szCs w:val="17"/>
          <w:color w:val="auto"/>
        </w:rPr>
        <w:t>. The execution, delivery and performance by Buyer of this Agreement and the Transaction Documents to which it is a party, and the consummation of the transactions contemplated hereby and thereby, do not and will not as of immediately following the Closing: (a) conflict with or result in a violation or breach of, or default under any provision of the certificate of incorporation, bylaws or other organizational documents of Buyer; (b) conflict with or result in a violation or breach of any provision of Law or Governmental Order applicable to Buyer; or (c) except for such filings as may be required under the HSR Act,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material Contract or material Permit to which Buyer is a party or by which Buyer is bound, in each case, except in the case of subclauses (b) and (c) as would not materially and adversely affect the consummation of the transactions contemplated by this Agreement.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in connection with the transactions contemplated by this Agreement or any Transaction Document based upon arrangements made by or on behalf of Buyer that would reasonably be expected to become payable by any of the Members.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Litigation and Proceedings; Compliance with Laws</w:t>
      </w:r>
      <w:r>
        <w:rPr>
          <w:rFonts w:ascii="Arial" w:cs="Arial" w:eastAsia="Arial" w:hAnsi="Arial"/>
          <w:sz w:val="16"/>
          <w:szCs w:val="16"/>
          <w:color w:val="auto"/>
        </w:rPr>
        <w:t>. There are no Actions, or, to the knowledge of Buyer, investigations, pending before or by any Governmental Authority or, to the knowledge of Buyer, threatened, against Buyer which would reasonably be expected to be material to Buyer or which, if determined adversely to Buyer, would adversely effect in any material respect the ability of Buyer to enter into and perform its obligations under this Agreement. There is no unsatisfied judgment or any open injunction binding upon Buyer which would reasonably be expected to be material to Buyer or which, if determined adversely to Buyer, would adverse effect in any material respect the ability of Buyer to enter into and perform its obligations under this Agreement. Buyer is and, at all times in the past three (3) years, has been in compliance in all material respects with any and all applicable Laws, Governmental Orders, and agreements with any Governmental Authority to which Buyer or any of its assets or activities are subject.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Valid Issuance</w:t>
      </w:r>
      <w:r>
        <w:rPr>
          <w:rFonts w:ascii="Arial" w:cs="Arial" w:eastAsia="Arial" w:hAnsi="Arial"/>
          <w:sz w:val="18"/>
          <w:szCs w:val="18"/>
          <w:color w:val="auto"/>
        </w:rPr>
        <w:t>. The Buyer Shares to be issued to the Members pursuant to this Agreement, when issued, will be duly authorized and validly issued, fully paid and nonassessable free and clear of all Encumbrances other than restrictions under applicable securities Laws or Buyer’s Organizational Documents.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Investment Purpose</w:t>
      </w:r>
      <w:r>
        <w:rPr>
          <w:rFonts w:ascii="Arial" w:cs="Arial" w:eastAsia="Arial" w:hAnsi="Arial"/>
          <w:sz w:val="18"/>
          <w:szCs w:val="18"/>
          <w:color w:val="auto"/>
        </w:rPr>
        <w:t>. Buyer is acquiring the Company Interests solely for its own account for investment purposes and not with a view to, or for offer or sale in connection with, any distribution thereof. Buyer acknowledges that the Company Interests are not registered under the Securities Act of 1933, as amended, or any state securities laws, and that the Company Interests may not be transferred or sold except pursuant to the registration provisions of the Securities Act of 1933, as amended or pursuant to an applicable exemption therefrom and subject to state securities laws and regulations, as applicable.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Buyer SEC Documents</w:t>
      </w:r>
      <w:r>
        <w:rPr>
          <w:rFonts w:ascii="Arial" w:cs="Arial" w:eastAsia="Arial" w:hAnsi="Arial"/>
          <w:sz w:val="18"/>
          <w:szCs w:val="18"/>
          <w:color w:val="auto"/>
        </w:rPr>
        <w:t>. Buyer has timely filed with or furnished to, as applicable, the SEC all registration statements, prospectuses, reports, schedules, forms, statements and other documents (including exhibits and all other information incorporated by reference) required to be filed or furnished by it with the SEC since January 1, 2020 through the date hereof (the “</w:t>
      </w:r>
      <w:r>
        <w:rPr>
          <w:rFonts w:ascii="Arial" w:cs="Arial" w:eastAsia="Arial" w:hAnsi="Arial"/>
          <w:sz w:val="18"/>
          <w:szCs w:val="18"/>
          <w:b w:val="1"/>
          <w:bCs w:val="1"/>
          <w:i w:val="1"/>
          <w:iCs w:val="1"/>
          <w:color w:val="auto"/>
        </w:rPr>
        <w:t>Buyer SEC Documents</w:t>
      </w:r>
      <w:r>
        <w:rPr>
          <w:rFonts w:ascii="Arial" w:cs="Arial" w:eastAsia="Arial" w:hAnsi="Arial"/>
          <w:sz w:val="18"/>
          <w:szCs w:val="18"/>
          <w:color w:val="auto"/>
        </w:rPr>
        <w:t>”). None of the Buyer SEC Documents, including any financial statements, schedules or exhibits included or incorporated by reference therein at the time they were filed (or, if amended or superseded by a subsequent filing, as of the date of the last such amendment or superseding filing prior to the date hereof),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Since the date of Buyer’s most recent Quarterly Report on Form 10-Q filed with the SEC, and except as disclosed in any such publicly available filings filed or furnished with the SEC by Buyer since the end of the period covered by such Quarterly Report on Form 10-Q, Buyer has conducted its business only in the Ordinary Course of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OTHER AGREEMENTS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Following the Closing, each Party shall, from time to time, at the reasonable request of any other Party (at the sole cost or expense of the requesting Party), do and perform, or cause to be done and performed, all further acts and things and shall execute and deliver all further agreements, certificates, instruments and documents as may be reasonably necessary in order to carry out the intent and accomplish the purpose of this Agreement or any of the other Transaction Documents and the consummation of the transactions contemplated hereby or thereby, including, only with respect to the Key Members and without limiting the generality of the foregoing, the actions set forth on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the Disclosure Schedule. Each Key Member hereby covenants and agrees to promptly provide Buyer and its representatives with any assistance or cooperation as may be reasonably requested by Buyer in connection with its preparation of audited historical financial statements of the Company Group and unaudited pro forma combined financial statements of the Company Group and Buyer, to the preparation and/or filing of such financial statements are required by applicable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8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Waiver and Release</w:t>
      </w:r>
      <w:r>
        <w:rPr>
          <w:rFonts w:ascii="Arial" w:cs="Arial" w:eastAsia="Arial" w:hAnsi="Arial"/>
          <w:sz w:val="16"/>
          <w:szCs w:val="16"/>
          <w:color w:val="auto"/>
        </w:rPr>
        <w:t>. Effective as of the Closing, each Member, on behalf of such Member and such Member’s Affiliates, successors and assigns (collectively, the “</w:t>
      </w:r>
      <w:r>
        <w:rPr>
          <w:rFonts w:ascii="Arial" w:cs="Arial" w:eastAsia="Arial" w:hAnsi="Arial"/>
          <w:sz w:val="16"/>
          <w:szCs w:val="16"/>
          <w:b w:val="1"/>
          <w:bCs w:val="1"/>
          <w:i w:val="1"/>
          <w:iCs w:val="1"/>
          <w:color w:val="auto"/>
        </w:rPr>
        <w:t>Related Parties</w:t>
      </w:r>
      <w:r>
        <w:rPr>
          <w:rFonts w:ascii="Arial" w:cs="Arial" w:eastAsia="Arial" w:hAnsi="Arial"/>
          <w:sz w:val="16"/>
          <w:szCs w:val="16"/>
          <w:color w:val="auto"/>
        </w:rPr>
        <w:t>”), irrevocably and unconditionally waives and releases any and all rights with respect to, and releases, forever acquits and discharges each member of the Company Group and their respective Affiliates, owners, directors, managers, officers, employees, agents and other representatives, and their respective heirs, executors, administrators, successors and assigns (collectively, the “</w:t>
      </w:r>
      <w:r>
        <w:rPr>
          <w:rFonts w:ascii="Arial" w:cs="Arial" w:eastAsia="Arial" w:hAnsi="Arial"/>
          <w:sz w:val="16"/>
          <w:szCs w:val="16"/>
          <w:b w:val="1"/>
          <w:bCs w:val="1"/>
          <w:i w:val="1"/>
          <w:iCs w:val="1"/>
          <w:color w:val="auto"/>
        </w:rPr>
        <w:t>Released Persons</w:t>
      </w:r>
      <w:r>
        <w:rPr>
          <w:rFonts w:ascii="Arial" w:cs="Arial" w:eastAsia="Arial" w:hAnsi="Arial"/>
          <w:sz w:val="16"/>
          <w:szCs w:val="16"/>
          <w:color w:val="auto"/>
        </w:rPr>
        <w:t>”), with respect to, each and all Actions, Liabilities, indebtedness, sums of money, covenants, Contracts (express or implied), controversies, promises, fees, expenses (including attorneys’ fees, costs and expenses), damages and judgments, at law or in equity, in contract or tort, in the United States, state, foreign or other judicial, administrative, arbitration or other proceedings, of any nature whatsoever, known or unknown, suspected or unsuspected, previously, then existing, in each case which arise out of, are based upon, relate to or are connected with facts or events occurring or in existence on or prior to the Closing Date relating to or in connection with (x) any Member’s ownership, directly or indirectly, of any equity interests in any member of the Company Group or (y) any Member’s management, officer and/or employment position(s) with any member of the Company Group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xml:space="preserve">”). Each Member further represents and warrants that such Member has not assigned or otherwise transferred any right or interest in or to any of the Released Claims. Each Member further acknowledges that such Member is aware that statutes exist that render null and void releases and discharges of any claims, rights, demands, liabilities, action and causes of action which are unknown to the releasing or discharging party at the time of execution of the release and discharge. Each Member hereby expressly waives, surrenders and agrees to forego any protection to which such Member would otherwise be entitled by virtue of the existence of any such statute in any jurisdiction. Each Member further acknowledges and agrees that this release and discharge provided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will be governed by and enforced and interpreted in accordance with the Laws of the Commonwealth of Massachusetts, that if any portion of this release is held invalid by the final judgment of any Governmental Authority, the remaining provisions of this release will remain in full force and effect as if such invalid provision had not been included in this release.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Thus, and for the purpose of implementing a full and complete release and discharge with respect to the Released Claims, each Member expressly acknowledges that this release is intended to include in its effect all Actions and Liabilities in respect of a Released Claim which each Member does not know of or suspect to exist in their favor at the time of signing this release, and that this release contemplates the release of any such Actions or Liabilities. In no event shall any member of the Company Group, Buyer or their Affiliates have any Liability whatsoever to any Member for any breaches of the representations, warranties, agreements or covenants of any Member or the Company hereunder, and in no event may any Member seek contribution or indemnification from any member of the Company Group, Buyer or their Affiliates in respect of any such breach.</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foregoing, no Member or any Related Party releases any claim of such Member or any other Related Party with respect to (i) any obligation of any Released Person (including, but not limited to the Company after the Closing) pursuant to this Agreement or any other Transaction Document; (ii) any rights of such Member (or any other Related Party) under this Agreement and any other Transaction Document; (iii) any rights of such Member (or any Related Party) as a director, employee or officer of any member of the Company Group for any unpaid compensation or benefits earned in the Ordinary Course of Business of the Company Group, any rights to reimbursement for Ordinary Course of Business expenses or the rights to continue to participate in the Company Group’s benefits, if applicable; (iv) in connection with any Fraud by any Released Person, and (v) any claim that cannot be waived as a matter of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Confidentiality, Non-Competition and Non-Solicitation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43"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From and after the Closing, each Member shall, and shall cause its Affiliates to, hold, and shall use its reasonable best efforts to cause its or their respective representatives to hold, in confidence any and all information, whether written or oral, concerning the Company Group, except to the extent that such Member can show that such information (a) is generally available to and known by the public through no fault of Members, any of their Affiliates or their respective representatives; or (b) is lawfully acquired by such Member, any of its Affiliates or their respective representatives from and after the Closing from sources which are not prohibited from disclosing such information by a legal, contractual or fiduciary obligation. If any Member or any of its Affiliates or their respective representatives are compelled to disclose any information by judicial or administrative process or by other requirements of Law, such Member shall promptly notify Buyer in writing and shall disclose only that portion of such information which such Member is advised by its counsel in writing is legally required to be disclosed,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Member shall use reasonable best efforts to obtain an appropriate protective order or other reasonable assurance that confidential treatment will be accorded such information.</w:t>
      </w:r>
    </w:p>
    <w:p>
      <w:pPr>
        <w:spacing w:after="0" w:line="166" w:lineRule="exact"/>
        <w:rPr>
          <w:rFonts w:ascii="Arial" w:cs="Arial" w:eastAsia="Arial" w:hAnsi="Arial"/>
          <w:sz w:val="16"/>
          <w:szCs w:val="16"/>
          <w:color w:val="auto"/>
        </w:rPr>
      </w:pPr>
    </w:p>
    <w:p>
      <w:pPr>
        <w:jc w:val="both"/>
        <w:ind w:firstLine="1304"/>
        <w:spacing w:after="0" w:line="271" w:lineRule="auto"/>
        <w:tabs>
          <w:tab w:leader="none" w:pos="1559"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Except as set forth in Section 6.3(b) of the Disclosure Schedule, for a period of five (5) years commencing on the Closing Date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each Key Member shall not, and shall not permit any of its Affiliates to, directly or indirectly, (i) engage in or assist others in engaging in the Business in the Territory; (ii) have an interest in any Person that engages directly or indirectly in the Business in the Territory in any capacity, including as a partner, shareholder, member, employee, principal, agent, trustee or consultant; or (iii) intentionally interfere in any material respect with the business relationships (whether formed prior to or after the date of this Agreement) between any member of the Company Group and customers or suppliers of any member of the Company Group. Notwithstanding the foregoing, any Key Member may own, directly or indirectly, solely as an investment, securities of any Person traded on any national securities exchange if such Key Member is not a controlling Person of, or a member of a group which controls, such Person and does not, directly or indirectly, own 5% or more of any class of securities of such Person.</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15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During the Restricted Period, each Key Member shall not, and shall not permit any of its Affiliates to, directly or indirectly, hire or solicit any employee of any member of the Company Group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shall prevent any Key Member or any of its Affiliates from hiring (i) any employee whose employment has been terminated by any member of the Company Group or Buyer or (ii) after 180 days from the date of termination of employment, any employee whose employment has been terminated by the employee.</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5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During the Restricted Period, each Key Member shall not, and shall not permit any of its Affiliates to, directly or indirectly, solicit or entice, or attempt to solicit or entice, any clients or customers of any member of the Company Group or potential clients or customers of any member of the Company Group for purposes of diverting their business or services from any member of the Company Group.</w:t>
      </w:r>
    </w:p>
    <w:p>
      <w:pPr>
        <w:spacing w:after="0" w:line="165" w:lineRule="exact"/>
        <w:rPr>
          <w:rFonts w:ascii="Arial" w:cs="Arial" w:eastAsia="Arial" w:hAnsi="Arial"/>
          <w:sz w:val="17"/>
          <w:szCs w:val="17"/>
          <w:color w:val="auto"/>
        </w:rPr>
      </w:pPr>
    </w:p>
    <w:p>
      <w:pPr>
        <w:jc w:val="both"/>
        <w:ind w:firstLine="1304"/>
        <w:spacing w:after="0" w:line="257" w:lineRule="auto"/>
        <w:tabs>
          <w:tab w:leader="none" w:pos="15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Each Member acknowledges that a breach or threatened breach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would give rise to irreparable harm to Buyer, for which monetary damages would not be an adequate remedy, and hereby agrees that in the event of a breach or a threatened breach by such Member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304"/>
        <w:spacing w:after="0" w:line="290" w:lineRule="auto"/>
        <w:tabs>
          <w:tab w:leader="none" w:pos="153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Each Member acknowledges that the restrictions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Consents</w:t>
      </w:r>
      <w:r>
        <w:rPr>
          <w:rFonts w:ascii="Arial" w:cs="Arial" w:eastAsia="Arial" w:hAnsi="Arial"/>
          <w:sz w:val="18"/>
          <w:szCs w:val="18"/>
          <w:color w:val="auto"/>
        </w:rPr>
        <w:t>. For a period of six (6) months after the Closing, if any consent, approval or authorization necessary to preserve any right or benefit under any Contract to which any member of the Company Group is a party is not obtained prior to the Closing, the Members shall, subsequent to the Closing, reasonably cooperate with Buyer and the Company Group in attempting to obtain such consent, approval or authorization as promptly thereafter as practicable.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Legend Removal</w:t>
      </w:r>
      <w:r>
        <w:rPr>
          <w:rFonts w:ascii="Arial" w:cs="Arial" w:eastAsia="Arial" w:hAnsi="Arial"/>
          <w:sz w:val="18"/>
          <w:szCs w:val="18"/>
          <w:color w:val="auto"/>
        </w:rPr>
        <w:t>. Buyer shall have no obligation to register any of the Buyer Shares for resale, but shall use its commercially reasonably efforts to assist with any removal of restrictive legends with respect to the Buyer Shares to the extent permitted by, and subject to, applicable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1" w:lineRule="auto"/>
        <w:tabs>
          <w:tab w:leader="none" w:pos="15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Buyer shall prepare and file all Tax Returns of each member of the Company Group for Pre-Closing Tax Periods and Straddle Periods which are filed after the Closing Date. To the extent necessary, the Members shall cooperate with the Company in timely filing each Tax Return prepared pursuant to this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All such Tax Returns shall be prepared in accordance with applicable Law and in a manner consistent with the prior practice of the Company Group to the extent in compliance with applicable Law. Buyer shall deliver or cause to be delivered drafts of all such Tax Returns to the Member Representative for its review at least thirty (30) days prior to the Due Date of any such Tax Return, and shall consider in good faith all reasonable comments provided by the Member Representative with respect thereto. No later than five (5) Business Days prior to the due date (including extensions) for filing any Tax Returns pursuant to this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the Members shall pay, or cause to be paid, to Buyer all Taxes of the Company Group shown as due and payable on such Tax Returns, subject to application of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Straddle Periods</w:t>
      </w:r>
      <w:r>
        <w:rPr>
          <w:rFonts w:ascii="Arial" w:cs="Arial" w:eastAsia="Arial" w:hAnsi="Arial"/>
          <w:sz w:val="18"/>
          <w:szCs w:val="18"/>
          <w:color w:val="auto"/>
        </w:rPr>
        <w:t>. Whenever it is necessary to determine the liability for Taxes for a Straddle Period relating to:</w:t>
      </w:r>
    </w:p>
    <w:p>
      <w:pPr>
        <w:spacing w:after="0" w:line="225" w:lineRule="exact"/>
        <w:rPr>
          <w:sz w:val="20"/>
          <w:szCs w:val="20"/>
          <w:color w:val="auto"/>
        </w:rPr>
      </w:pPr>
    </w:p>
    <w:p>
      <w:pPr>
        <w:jc w:val="both"/>
        <w:ind w:firstLine="1304"/>
        <w:spacing w:after="0" w:line="279" w:lineRule="auto"/>
        <w:tabs>
          <w:tab w:leader="none" w:pos="15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Periodic Taxes of the Company Group, the determination of the Taxes of the Company Group for the portion of the Straddle Period ending on and including, and the portion of the Straddle Period beginning and ending after, the Closing Date shall be calculated by allocating to the periods before and after the Closing Date pro rata, based on the number of days of the Straddle Period in the period before and ending on the Closing Date, on the one hand, and the number of days in the Straddle Period in the period after the Closing Date, on the other hand;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89" w:lineRule="auto"/>
        <w:tabs>
          <w:tab w:leader="none" w:pos="15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Taxes of the Company Group not described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(such as (A) Taxes based on the income or receipts of the Members for a Straddle Period, (B) Taxes imposed in connection with any sale or other transfer or assignment of property (including all sales and use Taxes) for a Straddle Period, other than Transfer Taxes described in </w:t>
      </w:r>
      <w:r>
        <w:rPr>
          <w:rFonts w:ascii="Arial" w:cs="Arial" w:eastAsia="Arial" w:hAnsi="Arial"/>
          <w:sz w:val="16"/>
          <w:szCs w:val="16"/>
          <w:u w:val="single" w:color="auto"/>
          <w:color w:val="auto"/>
        </w:rPr>
        <w:t>Section 7.5</w:t>
      </w:r>
      <w:r>
        <w:rPr>
          <w:rFonts w:ascii="Arial" w:cs="Arial" w:eastAsia="Arial" w:hAnsi="Arial"/>
          <w:sz w:val="16"/>
          <w:szCs w:val="16"/>
          <w:color w:val="auto"/>
        </w:rPr>
        <w:t>, and (C) withholding and employment Taxes relating to a Straddle Period), the determination of the Taxes of the Members for the portion of the Straddle Period ending on and including, and the portion of the Straddle Period beginning and ending after, the Closing Date shall be calculated by assuming that the Straddle Period consisted of two (2) taxable periods, one which ended at the close of the Closing Date and the other which began at the beginning of the day following the Closing Date and items of income, gain, deduction, loss or credit of the Company Group for the Straddle Period shall be allocated between such two taxable years or periods on a “closing of the books basis” by assuming that the books of the Company Group were closed at the close of the Closing Date (and for such purpose, the taxable period of any partnership or other pass-through entity in which the Company Group holds a beneficial interest shall be deemed to terminate at such time).</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Cooperation; Procedures Relating to Tax Claims</w:t>
      </w:r>
      <w:r>
        <w:rPr>
          <w:rFonts w:ascii="Arial" w:cs="Arial" w:eastAsia="Arial" w:hAnsi="Arial"/>
          <w:sz w:val="16"/>
          <w:szCs w:val="16"/>
          <w:color w:val="auto"/>
        </w:rPr>
        <w:t xml:space="preserve">. Subject to the other provisions of this </w:t>
      </w:r>
      <w:r>
        <w:rPr>
          <w:rFonts w:ascii="Arial" w:cs="Arial" w:eastAsia="Arial" w:hAnsi="Arial"/>
          <w:sz w:val="16"/>
          <w:szCs w:val="16"/>
          <w:u w:val="single" w:color="auto"/>
          <w:color w:val="auto"/>
        </w:rPr>
        <w:t>Section 7.3</w:t>
      </w:r>
      <w:r>
        <w:rPr>
          <w:rFonts w:ascii="Arial" w:cs="Arial" w:eastAsia="Arial" w:hAnsi="Arial"/>
          <w:sz w:val="16"/>
          <w:szCs w:val="16"/>
          <w:color w:val="auto"/>
        </w:rPr>
        <w:t>, Buyer and the Members shall cooperate fully, as and to the extent reasonably requested by the other, in connection with (a) the filing of Tax Returns, (b) any Action with respect to Taxes and Tax Returns and (c) the preparation of any financial statements to the extent related to Taxes. Such cooperation shall include the retention, and (upon the other party’s request) the provision, of records and information which are reasonably relevant to any such Action and making employees available on a mutually convenient basis to provide additional information and explanation of any material provided hereunder; provided, that the party requesting assistance shall pay the reasonable out-of-pocket fees and expenses incurred by the party providing such assistance; provided, further, no party shall be required to provide assistance at times or in amounts that would interfere unreasonably with the business and operations of such party.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Tax Contests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5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Buyer shall deliver a notice to the Member Representative in writing promptly following any Action with respect to any income Tax Return of any member of the Company Group related to any Pre-Closing Tax Period or Straddle Period or Taxes of any member of the Company Group related to any Pre-Closing Tax Period and Straddle Period for which the Members may reasonably expect to be liable (“</w:t>
      </w:r>
      <w:r>
        <w:rPr>
          <w:rFonts w:ascii="Arial" w:cs="Arial" w:eastAsia="Arial" w:hAnsi="Arial"/>
          <w:sz w:val="18"/>
          <w:szCs w:val="18"/>
          <w:b w:val="1"/>
          <w:bCs w:val="1"/>
          <w:i w:val="1"/>
          <w:iCs w:val="1"/>
          <w:color w:val="auto"/>
        </w:rPr>
        <w:t>Tax Contest</w:t>
      </w:r>
      <w:r>
        <w:rPr>
          <w:rFonts w:ascii="Arial" w:cs="Arial" w:eastAsia="Arial" w:hAnsi="Arial"/>
          <w:sz w:val="18"/>
          <w:szCs w:val="18"/>
          <w:color w:val="auto"/>
        </w:rPr>
        <w:t>”) and shall describe in reasonable detail (to the extent known by Buyer) the facts constituting the basis for such Tax Contest and the nature of the relief sought, if any (the “</w:t>
      </w:r>
      <w:r>
        <w:rPr>
          <w:rFonts w:ascii="Arial" w:cs="Arial" w:eastAsia="Arial" w:hAnsi="Arial"/>
          <w:sz w:val="18"/>
          <w:szCs w:val="18"/>
          <w:b w:val="1"/>
          <w:bCs w:val="1"/>
          <w:i w:val="1"/>
          <w:i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or delay to so notify the Member Representative shall not relieve the Members of any obligation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that the Members may have to Buyer, except to the extent that the Member Representative demonstrates that the Members are materially and adversely prejudiced thereby.</w:t>
      </w:r>
    </w:p>
    <w:p>
      <w:pPr>
        <w:spacing w:after="0" w:line="194" w:lineRule="exact"/>
        <w:rPr>
          <w:rFonts w:ascii="Arial" w:cs="Arial" w:eastAsia="Arial" w:hAnsi="Arial"/>
          <w:sz w:val="18"/>
          <w:szCs w:val="18"/>
          <w:color w:val="auto"/>
        </w:rPr>
      </w:pPr>
    </w:p>
    <w:p>
      <w:pPr>
        <w:jc w:val="both"/>
        <w:ind w:firstLine="1304"/>
        <w:spacing w:after="0" w:line="293" w:lineRule="auto"/>
        <w:tabs>
          <w:tab w:leader="none" w:pos="15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Buyer shall control any Tax Contest;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Member Representative, at the Members’ sole cost and expense, shall have the right to participate in any such Tax Contest to the extent it relates to a Pre-Closing Tax Period or Straddle Period; (ii) Buyer shall not allow the Company Group to settle or otherwise resolve any Tax Contest if such settlement or other resolution relates solely to Taxes for a Pre-Closing Tax Period without the consent of the Member Representative (which shall not be unreasonably withheld, delayed or conditioned) and (iii) Buyer shall not amend any filed Tax Return for any Pre-Closing Tax Period or file or caused to be filed any amended Tax Return for any Pre-Closing Tax Period without the consent of the Member Representative (which shall not be unreasonably withheld, delayed or conditioned) unless otherwise required by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documentary, sales, use, gains, stamp, registration, value added and other similar Taxes and all conveyance fees, recording charges and other fees and charges (including any penalties, interest and additions to Tax) incurred in connection with or as a result of the transactions contemplated by this Agreement (including the purchase and sale of the Company and any deemed transfers of the members of the Company Group or the assets of any member of the Company Group)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shall be borne by the Members. Buyer shall, and the Members shall cooperate with Buyer to, timely file or cause to be filed all necessary documentation and Tax Returns with respect to such Transfer Taxes required by applicable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Purchase Price Allocation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62" w:val="left"/>
        </w:tabs>
        <w:numPr>
          <w:ilvl w:val="0"/>
          <w:numId w:val="66"/>
        </w:numPr>
        <w:rPr>
          <w:rFonts w:ascii="Arial" w:cs="Arial" w:eastAsia="Arial" w:hAnsi="Arial"/>
          <w:sz w:val="17"/>
          <w:szCs w:val="17"/>
          <w:color w:val="auto"/>
        </w:rPr>
      </w:pPr>
      <w:r>
        <w:rPr>
          <w:rFonts w:ascii="Arial" w:cs="Arial" w:eastAsia="Arial" w:hAnsi="Arial"/>
          <w:sz w:val="17"/>
          <w:szCs w:val="17"/>
          <w:color w:val="auto"/>
        </w:rPr>
        <w:t>Buyer and the Members intend for the purchase of the Company Interests contemplated by this Agreement to be treated for U.S. federal, state and local income Tax purposes as a transaction governed by Rev. Rul. 99-6, 1999 1 C.B. 434 (Situation 2), with the Members being treated as having sold the Company Interests, and Buyer being treated as acquiring all of the assets of the Company Group, in exchange for the Purchase Price (as adjusted pursuant to the terms of this Agreement). Buyer and the Members agree to allocate the final Closing Cash Payment and the Closing Buyer Shares (together with any Aggregate True-Up Payment and other amounts required to be taken into account under Section 1060 of the Code) (“</w:t>
      </w:r>
      <w:r>
        <w:rPr>
          <w:rFonts w:ascii="Arial" w:cs="Arial" w:eastAsia="Arial" w:hAnsi="Arial"/>
          <w:sz w:val="17"/>
          <w:szCs w:val="17"/>
          <w:b w:val="1"/>
          <w:bCs w:val="1"/>
          <w:i w:val="1"/>
          <w:iCs w:val="1"/>
          <w:color w:val="auto"/>
        </w:rPr>
        <w:t>Allocable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i w:val="1"/>
          <w:iCs w:val="1"/>
          <w:color w:val="auto"/>
        </w:rPr>
        <w:t>”</w:t>
      </w:r>
      <w:r>
        <w:rPr>
          <w:rFonts w:ascii="Arial" w:cs="Arial" w:eastAsia="Arial" w:hAnsi="Arial"/>
          <w:sz w:val="17"/>
          <w:szCs w:val="17"/>
          <w:color w:val="auto"/>
        </w:rPr>
        <w:t>) consistent with the allocation methodology as provided on</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7.6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Disclosure Schedule (the “</w:t>
      </w:r>
      <w:r>
        <w:rPr>
          <w:rFonts w:ascii="Arial" w:cs="Arial" w:eastAsia="Arial" w:hAnsi="Arial"/>
          <w:sz w:val="17"/>
          <w:szCs w:val="17"/>
          <w:b w:val="1"/>
          <w:bCs w:val="1"/>
          <w:i w:val="1"/>
          <w:iCs w:val="1"/>
          <w:color w:val="auto"/>
        </w:rPr>
        <w:t>Allocation Methodology</w:t>
      </w:r>
      <w:r>
        <w:rPr>
          <w:rFonts w:ascii="Arial" w:cs="Arial" w:eastAsia="Arial" w:hAnsi="Arial"/>
          <w:sz w:val="17"/>
          <w:szCs w:val="17"/>
          <w:color w:val="auto"/>
        </w:rPr>
        <w:t>”). Within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hundred eighty (180) days after the Closing Date, Buyer shall prepare a schedule of its proposed allocations of the Allocable Amount among the assets of the Company Group consistent with the Allocation Methodology (the “</w:t>
      </w:r>
      <w:r>
        <w:rPr>
          <w:rFonts w:ascii="Arial" w:cs="Arial" w:eastAsia="Arial" w:hAnsi="Arial"/>
          <w:sz w:val="17"/>
          <w:szCs w:val="17"/>
          <w:b w:val="1"/>
          <w:bCs w:val="1"/>
          <w:i w:val="1"/>
          <w:iCs w:val="1"/>
          <w:color w:val="auto"/>
        </w:rPr>
        <w:t>Allocation Schedule</w:t>
      </w:r>
      <w:r>
        <w:rPr>
          <w:rFonts w:ascii="Arial" w:cs="Arial" w:eastAsia="Arial" w:hAnsi="Arial"/>
          <w:sz w:val="17"/>
          <w:szCs w:val="17"/>
          <w:color w:val="auto"/>
        </w:rPr>
        <w:t>”) and shall deliver such Allocation Schedule to Member Representative for its review and approval. Buyer shall consider all reasonable comments provided by Member Representative in good faith, and shall negotiate to resolve any disputes</w:t>
      </w:r>
    </w:p>
    <w:p>
      <w:pPr>
        <w:spacing w:after="0" w:line="185" w:lineRule="exact"/>
        <w:rPr>
          <w:rFonts w:ascii="Arial" w:cs="Arial" w:eastAsia="Arial" w:hAnsi="Arial"/>
          <w:sz w:val="17"/>
          <w:szCs w:val="17"/>
          <w:color w:val="auto"/>
        </w:rPr>
      </w:pPr>
    </w:p>
    <w:p>
      <w:pPr>
        <w:jc w:val="both"/>
        <w:ind w:firstLine="1304"/>
        <w:spacing w:after="0" w:line="286" w:lineRule="auto"/>
        <w:tabs>
          <w:tab w:leader="none" w:pos="15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Within thirty (30) days after delivery to the Member Representative of the Allocation Schedule (the “</w:t>
      </w:r>
      <w:r>
        <w:rPr>
          <w:rFonts w:ascii="Arial" w:cs="Arial" w:eastAsia="Arial" w:hAnsi="Arial"/>
          <w:sz w:val="16"/>
          <w:szCs w:val="16"/>
          <w:b w:val="1"/>
          <w:bCs w:val="1"/>
          <w:i w:val="1"/>
          <w:iCs w:val="1"/>
          <w:color w:val="auto"/>
        </w:rPr>
        <w:t>Allocation Dispute Period</w:t>
      </w:r>
      <w:r>
        <w:rPr>
          <w:rFonts w:ascii="Arial" w:cs="Arial" w:eastAsia="Arial" w:hAnsi="Arial"/>
          <w:sz w:val="16"/>
          <w:szCs w:val="16"/>
          <w:color w:val="auto"/>
        </w:rPr>
        <w:t>”), the Member Representative shall be required to notify Buyer in writing and with reasonable specificity (the “</w:t>
      </w:r>
      <w:r>
        <w:rPr>
          <w:rFonts w:ascii="Arial" w:cs="Arial" w:eastAsia="Arial" w:hAnsi="Arial"/>
          <w:sz w:val="16"/>
          <w:szCs w:val="16"/>
          <w:b w:val="1"/>
          <w:bCs w:val="1"/>
          <w:i w:val="1"/>
          <w:iCs w:val="1"/>
          <w:color w:val="auto"/>
        </w:rPr>
        <w:t>Allocation Dispute Notice</w:t>
      </w:r>
      <w:r>
        <w:rPr>
          <w:rFonts w:ascii="Arial" w:cs="Arial" w:eastAsia="Arial" w:hAnsi="Arial"/>
          <w:sz w:val="16"/>
          <w:szCs w:val="16"/>
          <w:color w:val="auto"/>
        </w:rPr>
        <w:t>”) of any disputed items with respect to the Allocation Schedule. Upon receipt of the Allocation Dispute Notice and for a period of thirty (30) days following receipt of the Allocation Dispute Notice by Buyer, or such longer period as mutually agreed upon by Buyer and the Member Representative (the “</w:t>
      </w:r>
      <w:r>
        <w:rPr>
          <w:rFonts w:ascii="Arial" w:cs="Arial" w:eastAsia="Arial" w:hAnsi="Arial"/>
          <w:sz w:val="16"/>
          <w:szCs w:val="16"/>
          <w:b w:val="1"/>
          <w:bCs w:val="1"/>
          <w:i w:val="1"/>
          <w:iCs w:val="1"/>
          <w:color w:val="auto"/>
        </w:rPr>
        <w:t>Allocation Resolution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Buyer shall negotiate with the Member Representative in good faith to resolve such disputed items;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Buyer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Member Representative are unable to resolve any such disputed items within the Allocation Resolution Period, the determination of any such unresolved disputed items with respect to the Allocation Schedule shall be made by a mutually acceptable independent accounting firm of regional or national standing (the “</w:t>
      </w:r>
      <w:r>
        <w:rPr>
          <w:rFonts w:ascii="Arial" w:cs="Arial" w:eastAsia="Arial" w:hAnsi="Arial"/>
          <w:sz w:val="16"/>
          <w:szCs w:val="16"/>
          <w:b w:val="1"/>
          <w:bCs w:val="1"/>
          <w:i w:val="1"/>
          <w:iCs w:val="1"/>
          <w:color w:val="auto"/>
        </w:rPr>
        <w:t>Tax Arbitrator</w:t>
      </w:r>
      <w:r>
        <w:rPr>
          <w:rFonts w:ascii="Arial" w:cs="Arial" w:eastAsia="Arial" w:hAnsi="Arial"/>
          <w:sz w:val="16"/>
          <w:szCs w:val="16"/>
          <w:color w:val="auto"/>
        </w:rPr>
        <w:t>”). The Tax Arbitrator shall act as an independent arbitrator to determine within thirty (30) days of its engagement, based solely on the presentations by the Member Representative and Buyer and not by independent review, only those issues that remain in dispute from the Allocation Dispute Notice. The basis of the Tax Arbitrator’s determination must be based solely on the Allocation Methodology and other applicable provisions of this Agreement. Upon final determination of all disputed items, the Tax Arbitrator shall issue a report showing such final determination with respect to any disputed items. Absent fraud or manifest error, the determination of the Tax Arbitrator shall be final, binding and conclusive on the parties. The fees and expenses of the Tax Arbitrator shall be borne equally by the Members (on the one hand) and Buyer (on the other hand). The agreed-upon Allocation Schedule, taking into account any items finally determined by the Tax Arbitrator, shall become the “</w:t>
      </w:r>
      <w:r>
        <w:rPr>
          <w:rFonts w:ascii="Arial" w:cs="Arial" w:eastAsia="Arial" w:hAnsi="Arial"/>
          <w:sz w:val="16"/>
          <w:szCs w:val="16"/>
          <w:b w:val="1"/>
          <w:bCs w:val="1"/>
          <w:i w:val="1"/>
          <w:iCs w:val="1"/>
          <w:color w:val="auto"/>
        </w:rPr>
        <w:t>Allocation</w:t>
      </w:r>
      <w:r>
        <w:rPr>
          <w:rFonts w:ascii="Arial" w:cs="Arial" w:eastAsia="Arial" w:hAnsi="Arial"/>
          <w:sz w:val="16"/>
          <w:szCs w:val="16"/>
          <w:color w:val="auto"/>
        </w:rPr>
        <w:t>” for purposes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304"/>
        <w:spacing w:after="0" w:line="290" w:lineRule="auto"/>
        <w:tabs>
          <w:tab w:leader="none" w:pos="1565" w:val="left"/>
        </w:tabs>
        <w:numPr>
          <w:ilvl w:val="0"/>
          <w:numId w:val="67"/>
        </w:numPr>
        <w:rPr>
          <w:rFonts w:ascii="Arial" w:cs="Arial" w:eastAsia="Arial" w:hAnsi="Arial"/>
          <w:sz w:val="16"/>
          <w:szCs w:val="16"/>
          <w:color w:val="auto"/>
        </w:rPr>
      </w:pPr>
      <w:r>
        <w:rPr>
          <w:rFonts w:ascii="Arial" w:cs="Arial" w:eastAsia="Arial" w:hAnsi="Arial"/>
          <w:sz w:val="16"/>
          <w:szCs w:val="16"/>
          <w:color w:val="auto"/>
        </w:rPr>
        <w:t>Buyer and Members each agree that: (i) they shall file (or shall cause to be filed) all Tax Returns and forms consistent with the Allocation and each shall provide copies to the other party of its Internal Revenue Form 8594; (ii) in the event that any Governmental Authority disputes the Allocation, Members or Buyer, as the case may be, shall promptly notify the other party of the nature of such dispute, and shall cooperate in good faith to preserve the effectiveness of the Allocation, to the extent consistent with the law and final decisions of such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herein shall require a party to contest the decision of a Governmental Authority in court proceedings or to appeal a court ruling to a</w:t>
      </w:r>
      <w:r>
        <w:rPr>
          <w:rFonts w:ascii="Arial" w:cs="Arial" w:eastAsia="Arial" w:hAnsi="Arial"/>
          <w:sz w:val="16"/>
          <w:szCs w:val="16"/>
          <w:i w:val="1"/>
          <w:iCs w:val="1"/>
          <w:color w:val="auto"/>
        </w:rPr>
        <w:t xml:space="preserve"> </w:t>
      </w:r>
      <w:r>
        <w:rPr>
          <w:rFonts w:ascii="Arial" w:cs="Arial" w:eastAsia="Arial" w:hAnsi="Arial"/>
          <w:sz w:val="16"/>
          <w:szCs w:val="16"/>
          <w:color w:val="auto"/>
        </w:rPr>
        <w:t>court of higher instance); (iii) any subsequent adjustments to the Closing Cash Payment shall be treated in a manner consistent with the Allocation (and the parties shall notify each other and cooperate in reflecting such adjustment) and (iv) Buyer and Members and their respective representatives and Affiliates shall cooperate with each other in preparing any Tax filings or other forms required to be filed in connection with the transactions hereunder.</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Certain Actions</w:t>
      </w:r>
      <w:r>
        <w:rPr>
          <w:rFonts w:ascii="Arial" w:cs="Arial" w:eastAsia="Arial" w:hAnsi="Arial"/>
          <w:sz w:val="18"/>
          <w:szCs w:val="18"/>
          <w:color w:val="auto"/>
        </w:rPr>
        <w:t>. Except as otherwise provided in this Article VII, without the prior written consent of the Member Representative (with such consent not to be unreasonably withheld, conditioned or delayed), Buyer shall not, and shall not permit any Person to, (a) amend any Tax Return of any member of the Company Group for any Pre-Closing Tax Period, (b) voluntarily approach any Governmental Authority regarding any Tax Return of any member of the Company Group for any Pre-Closing Tax Period, or (c) make any Tax election for any member of the Company Group with an effect to any Pre-Closing Tax Period, in each case, to the extent such action would result in the imposition of additional Taxes on the Members or result in any indemnification obligations of the Members 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Subject to the limitations and other provisions of this Agreement, indemnification claims for breaches of the representations and warranties contained herein shall survive the Closing and shall remain in full force and effect until the date that is twelve (12) months from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that indemnification claims for breaches of the Fundamental Representations shall survive the Closing and shall remain in full force and effect for the duration of any applicable statute of limitations plus sixty (60) days. The covenants and obligations of the Parties shall survive the Closing in accordance with their terms and, if no term is specified herein, shall survive indefinitely. Notwithstanding the foregoing, if an Indemnified Party delivers written notice to an Indemnifying Party of a bona fide indemnification claim on or before the expiration date of the applicable survival period, any such claim, and the representations and warranties, or covenants or obligations, as applicable, on which such claim is based, shall survive (solely for purposes of such claim) until such claim is finally resolved or judicially determined in accordance with the terms hereof. Notwithstanding any other provision of this Agreement, it is the intention of the Parties that the foregoing survival periods and termination dates supersede any statute of limitations applicable to such matter.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8" w:lineRule="auto"/>
        <w:tabs>
          <w:tab w:leader="none" w:pos="15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Key Members shall, on a joint and several basis, and the Members other than the Key Members shall, on a several but not joint basis in accordance with their respective Pro Rata Portions, indemnify and hold harmless Buyer and each of its Affiliates (including, following the Closing, each member of the Company Group) and their respective directors, officers, employees, owners, equity holders, representatives, employees, managers and agents and each of their respective successors and assigns (collectively, the “</w:t>
      </w:r>
      <w:r>
        <w:rPr>
          <w:rFonts w:ascii="Arial" w:cs="Arial" w:eastAsia="Arial" w:hAnsi="Arial"/>
          <w:sz w:val="16"/>
          <w:szCs w:val="16"/>
          <w:b w:val="1"/>
          <w:bCs w:val="1"/>
          <w:i w:val="1"/>
          <w:iCs w:val="1"/>
          <w:color w:val="auto"/>
        </w:rPr>
        <w:t>Buyer Indemnified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against and will pay, compensate or reimburse the Buyer Indemnified Parties for (regardless of whether or not relating to a third party claim),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all Losses any of the Buyer Indemnified Parties may suffer, sustain or become subject to as a result of or arising out of: (i) any breach or misrepresentation of any representation or warranty of the Company or the Members contained in this Agreement or in any certificate delivered in connection herewith; (ii) any breach of any covenant, agreement, or obligation of any Member or, to the extent required to be performed at or prior to the Closing, the Company, in each case in this Agreement; (iii) any Transaction Expenses or Indebtedness of the Company Group outstanding as of the Closing to the extent not deducted from the Closing Cash Payment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and (iv) any and all Pre-Closing Taxes.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1304"/>
        <w:spacing w:after="0" w:line="257" w:lineRule="auto"/>
        <w:tabs>
          <w:tab w:leader="none" w:pos="15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Buyer shall indemnify and hold harmless the Members and their Affiliates and their respective directors, managers, officers, employees, owners, partners, and representatives (the “</w:t>
      </w:r>
      <w:r>
        <w:rPr>
          <w:rFonts w:ascii="Arial" w:cs="Arial" w:eastAsia="Arial" w:hAnsi="Arial"/>
          <w:sz w:val="18"/>
          <w:szCs w:val="18"/>
          <w:b w:val="1"/>
          <w:bCs w:val="1"/>
          <w:i w:val="1"/>
          <w:iCs w:val="1"/>
          <w:color w:val="auto"/>
        </w:rPr>
        <w:t>Member Indemnified Parties</w:t>
      </w:r>
      <w:r>
        <w:rPr>
          <w:rFonts w:ascii="Arial" w:cs="Arial" w:eastAsia="Arial" w:hAnsi="Arial"/>
          <w:sz w:val="18"/>
          <w:szCs w:val="18"/>
          <w:color w:val="auto"/>
        </w:rPr>
        <w:t>”) against all Losses any of such Member Indemnified Parties may suffer, sustain or become subject to as a result of or arising out of: (i) any breach or misrepresentation of any representation or warranty of Buyer contained in this Agreement: or (ii) any breach of any covenant, agreement, or obligation of Buyer contained in this Agreement.</w:t>
      </w:r>
    </w:p>
    <w:p>
      <w:pPr>
        <w:spacing w:after="0" w:line="187" w:lineRule="exact"/>
        <w:rPr>
          <w:rFonts w:ascii="Arial" w:cs="Arial" w:eastAsia="Arial" w:hAnsi="Arial"/>
          <w:sz w:val="18"/>
          <w:szCs w:val="18"/>
          <w:color w:val="auto"/>
        </w:rPr>
      </w:pPr>
    </w:p>
    <w:p>
      <w:pPr>
        <w:ind w:left="1580" w:hanging="276"/>
        <w:spacing w:after="0"/>
        <w:tabs>
          <w:tab w:leader="none" w:pos="15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this Agreement, the Liability of the Parties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limited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10" w:lineRule="exact"/>
        <w:rPr>
          <w:rFonts w:ascii="Arial" w:cs="Arial" w:eastAsia="Arial" w:hAnsi="Arial"/>
          <w:sz w:val="17"/>
          <w:szCs w:val="17"/>
          <w:color w:val="auto"/>
        </w:rPr>
      </w:pPr>
    </w:p>
    <w:p>
      <w:pPr>
        <w:jc w:val="both"/>
        <w:ind w:left="660" w:firstLine="1292"/>
        <w:spacing w:after="0" w:line="296" w:lineRule="auto"/>
        <w:tabs>
          <w:tab w:leader="none" w:pos="2181"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The Members shall have no liability with respect to claims under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until the aggregate of all Losses suffered by the Buyer Indemnified Parties with respect to such claims exceed $90,000.00 (the “</w:t>
      </w:r>
      <w:r>
        <w:rPr>
          <w:rFonts w:ascii="Arial" w:cs="Arial" w:eastAsia="Arial" w:hAnsi="Arial"/>
          <w:sz w:val="16"/>
          <w:szCs w:val="16"/>
          <w:b w:val="1"/>
          <w:bCs w:val="1"/>
          <w:i w:val="1"/>
          <w:iCs w:val="1"/>
          <w:color w:val="auto"/>
        </w:rPr>
        <w:t>Basket</w:t>
      </w:r>
      <w:r>
        <w:rPr>
          <w:rFonts w:ascii="Arial" w:cs="Arial" w:eastAsia="Arial" w:hAnsi="Arial"/>
          <w:sz w:val="16"/>
          <w:szCs w:val="16"/>
          <w:color w:val="auto"/>
        </w:rPr>
        <w:t xml:space="preserve">”) at which point the Members will be obligated to indemnify the Buyer Indemnified Parties from the first dollar;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Basket shall not apply to (x) any breach or inaccuracy of any Fundamental Representations, or (y) in the event of Fraud of a specific Member or Fraud committed by any member of the Company Group where such Member was acting on behalf of such member of the Company Group in the commission of such Fraud (the “</w:t>
      </w:r>
      <w:r>
        <w:rPr>
          <w:rFonts w:ascii="Arial" w:cs="Arial" w:eastAsia="Arial" w:hAnsi="Arial"/>
          <w:sz w:val="16"/>
          <w:szCs w:val="16"/>
          <w:b w:val="1"/>
          <w:bCs w:val="1"/>
          <w:i w:val="1"/>
          <w:iCs w:val="1"/>
          <w:color w:val="auto"/>
        </w:rPr>
        <w:t>Fraud Carveout</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660" w:firstLine="1292"/>
        <w:spacing w:after="0" w:line="263" w:lineRule="auto"/>
        <w:tabs>
          <w:tab w:leader="none" w:pos="22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aggregate amount of Losses for which the Members shall be required to indemnify and hold harmless the Buyer Indemnified Parties arising solely under </w:t>
      </w:r>
      <w:r>
        <w:rPr>
          <w:rFonts w:ascii="Arial" w:cs="Arial" w:eastAsia="Arial" w:hAnsi="Arial"/>
          <w:sz w:val="18"/>
          <w:szCs w:val="18"/>
          <w:u w:val="single" w:color="auto"/>
          <w:color w:val="auto"/>
        </w:rPr>
        <w:t>Section 8.2(a)(i)</w:t>
      </w:r>
      <w:r>
        <w:rPr>
          <w:rFonts w:ascii="Arial" w:cs="Arial" w:eastAsia="Arial" w:hAnsi="Arial"/>
          <w:sz w:val="18"/>
          <w:szCs w:val="18"/>
          <w:color w:val="auto"/>
        </w:rPr>
        <w:t xml:space="preserve"> shall not exceed $1,350,000.00 (the “</w:t>
      </w:r>
      <w:r>
        <w:rPr>
          <w:rFonts w:ascii="Arial" w:cs="Arial" w:eastAsia="Arial" w:hAnsi="Arial"/>
          <w:sz w:val="18"/>
          <w:szCs w:val="18"/>
          <w:b w:val="1"/>
          <w:bCs w:val="1"/>
          <w:i w:val="1"/>
          <w:iCs w:val="1"/>
          <w:color w:val="auto"/>
        </w:rPr>
        <w:t>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Cap shall not apply to (x) any breach or inaccuracy of any of the Fundamental Representations, or (y) the Fraud Carveout.</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27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Buyer shall have no liability with respect to claims under </w:t>
      </w:r>
      <w:r>
        <w:rPr>
          <w:rFonts w:ascii="Arial" w:cs="Arial" w:eastAsia="Arial" w:hAnsi="Arial"/>
          <w:sz w:val="18"/>
          <w:szCs w:val="18"/>
          <w:u w:val="single" w:color="auto"/>
          <w:color w:val="auto"/>
        </w:rPr>
        <w:t>Section 8.2(b)(i)</w:t>
      </w:r>
      <w:r>
        <w:rPr>
          <w:rFonts w:ascii="Arial" w:cs="Arial" w:eastAsia="Arial" w:hAnsi="Arial"/>
          <w:sz w:val="18"/>
          <w:szCs w:val="18"/>
          <w:color w:val="auto"/>
        </w:rPr>
        <w:t xml:space="preserve"> until the aggregate of all Losses suffered by the Member Indemnified Parties with respect to such claims exceed the Basket, at which point Buyer will be obligated to indemnify the Member Indemnified Parties from the first dollar;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Basket shall not apply to (x) any breach or inaccuracy of any Fundamental Representations, or (y) in the event of Fraud of the Buyer.</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261"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aggregate amount of Losses for which Buyer shall be required to indemnify and hold harmless the Member Indemnified Parties arising solely under </w:t>
      </w:r>
      <w:r>
        <w:rPr>
          <w:rFonts w:ascii="Arial" w:cs="Arial" w:eastAsia="Arial" w:hAnsi="Arial"/>
          <w:sz w:val="18"/>
          <w:szCs w:val="18"/>
          <w:u w:val="single" w:color="auto"/>
          <w:color w:val="auto"/>
        </w:rPr>
        <w:t>Section 8.2(b)(i)</w:t>
      </w:r>
      <w:r>
        <w:rPr>
          <w:rFonts w:ascii="Arial" w:cs="Arial" w:eastAsia="Arial" w:hAnsi="Arial"/>
          <w:sz w:val="18"/>
          <w:szCs w:val="18"/>
          <w:color w:val="auto"/>
        </w:rPr>
        <w:t xml:space="preserve"> shall not exceed the Cap;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Cap shall not apply to (x) any breach or inaccuracy of any of the Fundamental Representations, or (y) in the event of Fraud of the Buyer.</w:t>
      </w:r>
    </w:p>
    <w:p>
      <w:pPr>
        <w:spacing w:after="0" w:line="183" w:lineRule="exact"/>
        <w:rPr>
          <w:rFonts w:ascii="Arial" w:cs="Arial" w:eastAsia="Arial" w:hAnsi="Arial"/>
          <w:sz w:val="18"/>
          <w:szCs w:val="18"/>
          <w:color w:val="auto"/>
        </w:rPr>
      </w:pPr>
    </w:p>
    <w:p>
      <w:pPr>
        <w:jc w:val="both"/>
        <w:ind w:left="660" w:firstLine="1292"/>
        <w:spacing w:after="0" w:line="271" w:lineRule="auto"/>
        <w:tabs>
          <w:tab w:leader="none" w:pos="2234"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Losses shall be calculated net of actual recoveries received by or on behalf of a Buyer Indemnified Party under insurance policies, indemnification payments and other third-party recoveries to which a Buyer Indemnified Party is entitled (net of any actual costs of recovery or collection, deductibles, retroactive premium adjustments, reimbursement obligations or other costs directly related thereto), and the Buyer Indemnified Parties shall promptly refund any amount they actually receive (net of costs and expenses incurred in connection with the collection of such amount) pursuant to this clause and from insurance, indemnification payments or other third-party recoveries to the extent that they actually receive such amount after recovery hereunder. Notwithstanding the foregoing, no Buyer Indemnified Party shall have any obligation to obtain coverage by, or seek recovery under, any such insurance policy or indemnification, contribution or similar provision.</w:t>
      </w:r>
    </w:p>
    <w:p>
      <w:pPr>
        <w:spacing w:after="0" w:line="178" w:lineRule="exact"/>
        <w:rPr>
          <w:rFonts w:ascii="Arial" w:cs="Arial" w:eastAsia="Arial" w:hAnsi="Arial"/>
          <w:sz w:val="17"/>
          <w:szCs w:val="17"/>
          <w:color w:val="auto"/>
        </w:rPr>
      </w:pPr>
    </w:p>
    <w:p>
      <w:pPr>
        <w:jc w:val="both"/>
        <w:ind w:left="660" w:firstLine="1292"/>
        <w:spacing w:after="0" w:line="255" w:lineRule="auto"/>
        <w:tabs>
          <w:tab w:leader="none" w:pos="2266"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Each Buyer Indemnified Party shall use their respective commercially reasonable efforts to mitigate all Losses in respect of which such Persons may be entitled to indemnification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anything herein to the contrary, and except to the extent required by applicable Law, (i) such efforts shall not require such Buyer Indemnified Party to (A) incur any out-of-pocket fees or expenses or (B) commence or initiate any Actions, in each case, against any customer, supplier, insurer, or other material business relationship, and (ii) failure to take such commercially reasonable steps shall not preclude a claim or recovery hereunder or affect the amount of Losses a Buyer Indemnified Party is entitled to.</w:t>
      </w:r>
    </w:p>
    <w:p>
      <w:pPr>
        <w:spacing w:after="0" w:line="192" w:lineRule="exact"/>
        <w:rPr>
          <w:rFonts w:ascii="Arial" w:cs="Arial" w:eastAsia="Arial" w:hAnsi="Arial"/>
          <w:sz w:val="18"/>
          <w:szCs w:val="18"/>
          <w:color w:val="auto"/>
        </w:rPr>
      </w:pPr>
    </w:p>
    <w:p>
      <w:pPr>
        <w:jc w:val="both"/>
        <w:ind w:left="660" w:firstLine="1292"/>
        <w:spacing w:after="0" w:line="268" w:lineRule="auto"/>
        <w:tabs>
          <w:tab w:leader="none" w:pos="2326"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Agreement and subject to the other limitations set forth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 with respect to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each Member shall only be obligated to indemnify and hold harmless the Buyer Indemnified Parties with respect to breaches of representations and warranties made specifically by such Member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shall not have any obligation to indemnify or hold harmless any Buyer Indemnified Party with respect to representations or warranties made by other Members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 each Member shall only be liable for such Member’s breaches of its obligations under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not for any breach of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by any other Member; (C) the sole source of satisfaction for any Losses for which any Member other than a Key Member shall be required to indemnify and hold harmless the Buyer Indemnified Parties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(other than a breach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by such Member) shall be the right to deduct Holdback Buyer Shares from the Key Members equal to the Loss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 in no event shall indemnification obligations of any Member that is not a Key Member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exceed the aggregate Purchase Price actually received by such Member; and (D) the aggregate amount of Losses for which the Members shall collectively be required to indemnify and hold harmless the Buyer Indemnified Parties pursuant to </w:t>
      </w:r>
      <w:r>
        <w:rPr>
          <w:rFonts w:ascii="Arial" w:cs="Arial" w:eastAsia="Arial" w:hAnsi="Arial"/>
          <w:sz w:val="17"/>
          <w:szCs w:val="17"/>
          <w:u w:val="single" w:color="auto"/>
          <w:color w:val="auto"/>
        </w:rPr>
        <w:t>Section 8.2(a)(i)</w:t>
      </w:r>
      <w:r>
        <w:rPr>
          <w:rFonts w:ascii="Arial" w:cs="Arial" w:eastAsia="Arial" w:hAnsi="Arial"/>
          <w:sz w:val="17"/>
          <w:szCs w:val="17"/>
          <w:color w:val="auto"/>
        </w:rPr>
        <w:t xml:space="preserve"> (including Losses arising from breaches of Fundamental Representations) shall not exceed the aggregate Purchase Price actually received by the Members;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limitation set forth in clauses (C) and (D) shall not apply with respect to any Fraud of such Member.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right="20"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The Party making a claim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referred to as the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and the Party against whom such claims are asserted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referred to as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83" w:lineRule="auto"/>
        <w:tabs>
          <w:tab w:leader="none" w:pos="1541"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any Indemnified Party receives notice of the assertion or commencement of any Action made or brought by any Person who is not a Party to this Agreement or an Affiliate of a Party to this Agreement or a representative of the foregoing (a “</w:t>
      </w:r>
      <w:r>
        <w:rPr>
          <w:rFonts w:ascii="Arial" w:cs="Arial" w:eastAsia="Arial" w:hAnsi="Arial"/>
          <w:sz w:val="16"/>
          <w:szCs w:val="16"/>
          <w:b w:val="1"/>
          <w:bCs w:val="1"/>
          <w:i w:val="1"/>
          <w:iCs w:val="1"/>
          <w:color w:val="auto"/>
        </w:rPr>
        <w:t>Third Party Claim</w:t>
      </w:r>
      <w:r>
        <w:rPr>
          <w:rFonts w:ascii="Arial" w:cs="Arial" w:eastAsia="Arial" w:hAnsi="Arial"/>
          <w:sz w:val="16"/>
          <w:szCs w:val="16"/>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shall indicate the estimated amount, if reasonably practicable, of the loss that has been or may be sustained by the Indemnified Party. The Indemnifying Party shall have the right to participate in, or by giving written notice to the Indemnified Party within ten (10) Business Days after the Indemnified Party has given notice of the Third Party Claim to the Indemnifying Party (or by such earlier date as may be necessary under applicable procedural rules in order to file a timely appearance and response), to assume the defense of any Third Party Claim at the Indemnifying Party’s expense and by the Indemnifying Party’s own counsel reasonably satisfactory to the Indemnified Party, and the Indemnified Party shall reasonably cooperate in good faith in such defense, so long as, if the Indemnifying Party is a Member: (i) the Indemnifying Party provides the Indemnified Party with evidence reasonably acceptable to the Indemnified Party that the Indemnifying Party has the financial resources to defend against the Third Party Claim (including any increased losses caused by such defense); (ii) the Indemnifying Party conducts the defense of the Third Party Claim actively and diligently and at its own costs and expense; and (iii) the Third Party Claim (A) does not involve injunctive relief, specific performance or other similar equitable relief, any claim in respect of Taxes, any product recall or similar action, or any criminal allegations, any Governmental Authority, any criminal allegations, or any potential material damage to the goodwill, reputation or overriding commercial interests of Buyer, the Company Group or the Business (including customer and supplier relations), (B) is not one in which the Indemnifying Party is also a party and joint representation would be inappropriate or there may be legal defenses available to the Indemnified Party which are different from or additional to those available to the Indemnifying Party, (C) does not involve a claim which, upon petition by the Indemnified Party, the appropriate court rules that the Indemnifying Party failed or is failing to vigorously prosecute or defend, (D) is not asserted directly by or on behalf of a Person that is a Material Supplier or Material Customer, (E) would not reasonably be expected to result in Losses to the Indemnified Party in excess of the amounts for which it would be entitled to indemnification hereunder, (F) would not otherwise materially and adversely affect the Business or (G) and the defense thereof has been assumed by the Indemnified Party’s insurance carriers pursuant to any applicable insurance policy. In the event that the Indemnifying Party assumes the defense of any Third Party Claim, subject to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it shall have the right to take such action as reasonably necessary to avoid, dispute, defend or appeal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6"/>
          <w:szCs w:val="16"/>
          <w:u w:val="single" w:color="auto"/>
          <w:color w:val="auto"/>
        </w:rPr>
        <w:t>Section 8.3(b)</w:t>
      </w:r>
      <w:r>
        <w:rPr>
          <w:rFonts w:ascii="Arial" w:cs="Arial" w:eastAsia="Arial" w:hAnsi="Arial"/>
          <w:sz w:val="16"/>
          <w:szCs w:val="16"/>
          <w:color w:val="auto"/>
        </w:rPr>
        <w:t>, assume the defense of such Third Party Claim, and seek indemnification for any and all Losses based upon, arising from or relating to such Third Party Claim. The Member Representative, the Company Group and Buyer shall reasonably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 at reasonable times and in a manner that does not unreasonably interfere with the business of the non-defending Party.</w:t>
      </w:r>
    </w:p>
    <w:p>
      <w:pPr>
        <w:spacing w:after="0" w:line="182" w:lineRule="exact"/>
        <w:rPr>
          <w:rFonts w:ascii="Arial" w:cs="Arial" w:eastAsia="Arial" w:hAnsi="Arial"/>
          <w:sz w:val="16"/>
          <w:szCs w:val="16"/>
          <w:color w:val="auto"/>
        </w:rPr>
      </w:pPr>
    </w:p>
    <w:p>
      <w:pPr>
        <w:jc w:val="both"/>
        <w:ind w:firstLine="1304"/>
        <w:spacing w:after="0" w:line="290" w:lineRule="auto"/>
        <w:tabs>
          <w:tab w:leader="none" w:pos="15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Indemnifying Party shall not enter into any settlement of any Third Party Claim without the prior written consent of the Indemnified Party (which consent shall not be unreasonably withheld, conditioned, or delayed), except as provided in this </w:t>
      </w:r>
      <w:r>
        <w:rPr>
          <w:rFonts w:ascii="Arial" w:cs="Arial" w:eastAsia="Arial" w:hAnsi="Arial"/>
          <w:sz w:val="16"/>
          <w:szCs w:val="16"/>
          <w:u w:val="single" w:color="auto"/>
          <w:color w:val="auto"/>
        </w:rPr>
        <w:t>Section 8.3(b)</w:t>
      </w:r>
      <w:r>
        <w:rPr>
          <w:rFonts w:ascii="Arial" w:cs="Arial" w:eastAsia="Arial" w:hAnsi="Arial"/>
          <w:sz w:val="16"/>
          <w:szCs w:val="16"/>
          <w:color w:val="auto"/>
        </w:rPr>
        <w:t>. If an offer is made to settle a Third Party Claim without leading to Liability, any finding or admission of any violation of Law or any wrongdoing or the creation of a financial or other obligation on the part of the Indemnified Parties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Notwithstanding any other provision of this Agreement, the Indemnified Party shall not agree to any settlement without the written consent of the Indemnifying Party, unless such settlement does not result in Liability of, or any finding or admission of any violation of Law or any wrongdoing by, the Indemnifying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304"/>
        <w:spacing w:after="0" w:line="268" w:lineRule="auto"/>
        <w:tabs>
          <w:tab w:leader="none" w:pos="15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Action by an Indemnified Party on account of a Loss which does not result from a Third Party Claim (a “</w:t>
      </w:r>
      <w:r>
        <w:rPr>
          <w:rFonts w:ascii="Arial" w:cs="Arial" w:eastAsia="Arial" w:hAnsi="Arial"/>
          <w:sz w:val="17"/>
          <w:szCs w:val="17"/>
          <w:b w:val="1"/>
          <w:bCs w:val="1"/>
          <w:i w:val="1"/>
          <w:iCs w:val="1"/>
          <w:color w:val="auto"/>
        </w:rPr>
        <w:t>Direct Claim</w:t>
      </w:r>
      <w:r>
        <w:rPr>
          <w:rFonts w:ascii="Arial" w:cs="Arial" w:eastAsia="Arial" w:hAnsi="Arial"/>
          <w:sz w:val="17"/>
          <w:szCs w:val="17"/>
          <w:color w:val="auto"/>
        </w:rPr>
        <w:t>”) shall be asserted by the Indemnified Party giving the Indemnifying Party reasonably prompt written notice thereof.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including a reasonable description of the Direct Claim and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reasonably cooperate with the Indemnifying Party’s investigation by giving such information and assistance (including access to the Indemnified Party’s premises and management personnel and the right to examine and copy any accounts, documents or records in each case, at reasonable times and in a manner that does not unreasonably interfere with the business of the Indemnified Parties) as the Indemnifying Party or any of its professional advisors may reasonably request. If the Indemnifying Party does not so respond within such thirty (30) day period, the Indemnifying Party shall be deemed to have accepted such claim, in which case the Indemnified Party shall be free to obtain such remedies as may be available to the Indemnified Party on the terms of and subject to the provisions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 xml:space="preserve">. Buyer and the Members agree to treat any amounts payable after the Closing by the Members to Buyer (or by Buyer to the Members)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as an adjustment to the Purchase Price for Tax purposes, unless otherwise required by Law.</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Certain Determinations</w:t>
      </w:r>
      <w:r>
        <w:rPr>
          <w:rFonts w:ascii="Arial" w:cs="Arial" w:eastAsia="Arial" w:hAnsi="Arial"/>
          <w:sz w:val="16"/>
          <w:szCs w:val="16"/>
          <w:color w:val="auto"/>
        </w:rPr>
        <w:t xml:space="preserve">. For the avoidance of doubt, any and all disputes with regard to the calculation of Actual Working Capital, Actual Cash, Actual Indebtedness and Actual Transaction Expenses shall first be determined in accordance with the provisions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prior to consideration of the terms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even if such disputes may also relate to or could be considered to be a claim for indemnification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Further, the calculation of any Losses subject to indemnification shall be calculated net of any amounts expressly included in the final determination of Actual Working Capital, Actual Cash, Actual Indebtedness and Actual Transaction Expenses so as to avoid double-counting.</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Except as provided in the next sentence, the Parties agree that, from and after the Closing, the sole and exclusive monetary remedies of Buyer and the Members for any Losses based upon, arising out of or otherwise in respect of the matters set forth in this Agreement, or any of the transactions contemplated hereby, are the indemnification and reimbursement obligations of the parties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Notwithstanding anything herein to the contrary, the provisions of this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shall not, however, prevent or limit a cause of action or recovery hereunder (i) with respect to the Fraud Carveout or a claim against a Party for Fraud, (ii) to obtain an injunction or injunctions to prevent breaches of this Agreement, to enforce specifically the terms and provisions hereof or to obtain other equitable remedies with respect hereto, or (iii) with respect to the accounting reconciliation and dispute resolution procedures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No Contribution or Circular Recovery</w:t>
      </w:r>
      <w:r>
        <w:rPr>
          <w:rFonts w:ascii="Arial" w:cs="Arial" w:eastAsia="Arial" w:hAnsi="Arial"/>
          <w:sz w:val="18"/>
          <w:szCs w:val="18"/>
          <w:color w:val="auto"/>
        </w:rPr>
        <w:t xml:space="preserve">. The Members shall not have any right of contribution against Buyer, the Company Group or any other Buyer Indemnified Party with respect to any Losses of the Buyer Indemnified Parties. The Members hereby agree that they shall not make any claim for indemnification against Buyer or any other Buyer Indemnified Party by reason of the fact that the Members or any of their agents or other representatives was a controlling person, shareholder, director, officer, manager, employee, agent or other representative of any member of the Company Group or was serving as such for another Person at the request of any member of the Company Group (whether such claim is for Losses or otherwise and whether such claim is pursuant to any Law, Organizational Document, contractual obligation or otherwise) with respect to any claim brought by Buyer against such Person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96"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Order and Manner of Payment</w:t>
      </w:r>
      <w:r>
        <w:rPr>
          <w:rFonts w:ascii="Arial" w:cs="Arial" w:eastAsia="Arial" w:hAnsi="Arial"/>
          <w:sz w:val="16"/>
          <w:szCs w:val="16"/>
          <w:color w:val="auto"/>
        </w:rPr>
        <w:t xml:space="preserve">. The Parties hereto acknowledge and agree that, from and after the Closing and subject to the applicable limitations set forth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indemnification payments with respect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shall be made (a) </w:t>
      </w:r>
      <w:r>
        <w:rPr>
          <w:rFonts w:ascii="Arial" w:cs="Arial" w:eastAsia="Arial" w:hAnsi="Arial"/>
          <w:sz w:val="16"/>
          <w:szCs w:val="16"/>
          <w:i w:val="1"/>
          <w:iCs w:val="1"/>
          <w:color w:val="auto"/>
        </w:rPr>
        <w:t>first</w:t>
      </w:r>
      <w:r>
        <w:rPr>
          <w:rFonts w:ascii="Arial" w:cs="Arial" w:eastAsia="Arial" w:hAnsi="Arial"/>
          <w:sz w:val="16"/>
          <w:szCs w:val="16"/>
          <w:color w:val="auto"/>
        </w:rPr>
        <w:t xml:space="preserve">, by deducting a number of Holdback Buyer Shares due to the Key Members equal to the Loss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after all of the Holdback Buyer Shares have been deducted, by offsetting against any Earn-Out Consideration that is then due to the Members pursuant to </w:t>
      </w:r>
      <w:r>
        <w:rPr>
          <w:rFonts w:ascii="Arial" w:cs="Arial" w:eastAsia="Arial" w:hAnsi="Arial"/>
          <w:sz w:val="16"/>
          <w:szCs w:val="16"/>
          <w:u w:val="single" w:color="auto"/>
          <w:color w:val="auto"/>
        </w:rPr>
        <w:t>Section 2.5(j)</w:t>
      </w:r>
      <w:r>
        <w:rPr>
          <w:rFonts w:ascii="Arial" w:cs="Arial" w:eastAsia="Arial" w:hAnsi="Arial"/>
          <w:sz w:val="16"/>
          <w:szCs w:val="16"/>
          <w:color w:val="auto"/>
        </w:rPr>
        <w:t xml:space="preserve">; and (c) </w:t>
      </w:r>
      <w:r>
        <w:rPr>
          <w:rFonts w:ascii="Arial" w:cs="Arial" w:eastAsia="Arial" w:hAnsi="Arial"/>
          <w:sz w:val="16"/>
          <w:szCs w:val="16"/>
          <w:i w:val="1"/>
          <w:iCs w:val="1"/>
          <w:color w:val="auto"/>
        </w:rPr>
        <w:t>third</w:t>
      </w:r>
      <w:r>
        <w:rPr>
          <w:rFonts w:ascii="Arial" w:cs="Arial" w:eastAsia="Arial" w:hAnsi="Arial"/>
          <w:sz w:val="16"/>
          <w:szCs w:val="16"/>
          <w:color w:val="auto"/>
        </w:rPr>
        <w:t>, after all Holdback Buyer Shares have been deducted and any Earn-Out Consideration then due to the Members has been offset against, directly from the Members.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Materiality</w:t>
      </w:r>
      <w:r>
        <w:rPr>
          <w:rFonts w:ascii="Arial" w:cs="Arial" w:eastAsia="Arial" w:hAnsi="Arial"/>
          <w:sz w:val="18"/>
          <w:szCs w:val="18"/>
          <w:color w:val="auto"/>
        </w:rPr>
        <w:t>. Notwithstanding anything in this Agreement to the contrary, for purposes of determining the amount of Losses arising from the breach of any representation or warranty, but not for purposes of determining whether such breach or inaccuracy has occurred, each representation and warranty in this Agreement (and Schedules and Exhibits hereto) shall be read without regard and without giving effect to the terms or phrases “material,” “in all material respects,” “Material Adverse Effect,” or similar words or phrases contained in such representation or warranty (as if such words or phrases were deleted from such representation and warranty).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Effect of Investigation</w:t>
      </w:r>
      <w:r>
        <w:rPr>
          <w:rFonts w:ascii="Arial" w:cs="Arial" w:eastAsia="Arial" w:hAnsi="Arial"/>
          <w:sz w:val="18"/>
          <w:szCs w:val="18"/>
          <w:color w:val="auto"/>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explicitly provided in this Agreement, each of the Parties will bear such Party’s own direct and indirect costs and expenses (including fees and expenses of legal counsel, investment bankers, brokers or other representatives or consultants) incurred in connection with the negotiation, preparation and execution of this Agreement, the Transaction Documents and the transactions contemplated hereby and thereby.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deemed given (a) when delivered by hand (with written confirmation of receipt), (b) when received by the addressee if sent by a nationally recognized overnight courier (receipt requested), or (c) on the date sent by electronic mail of a PDF document (with confirmation of transmission) to the Parties at the following addresses (or to such other address as a Party may have specified by notice given to the other Party pursuant to this provision):</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any Member or the Member Representative: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Benjamin Britton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10458 Christopher Dr.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Conifer, CO 80433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ben@gopurepressure.com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Block45 Legal</w:t>
      </w:r>
    </w:p>
    <w:p>
      <w:pPr>
        <w:ind w:left="2600"/>
        <w:spacing w:after="0" w:line="202" w:lineRule="auto"/>
        <w:rPr>
          <w:sz w:val="20"/>
          <w:szCs w:val="20"/>
          <w:color w:val="auto"/>
        </w:rPr>
      </w:pPr>
      <w:r>
        <w:rPr>
          <w:rFonts w:ascii="Arial" w:cs="Arial" w:eastAsia="Arial" w:hAnsi="Arial"/>
          <w:sz w:val="18"/>
          <w:szCs w:val="18"/>
          <w:color w:val="auto"/>
        </w:rPr>
        <w:t>730 17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810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Denver, CO 802020</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Clement Hayes,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clement@block45legal.com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76 Treble Cove Road, Building 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Billerica, MA 01863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Christopher Wimmer, Esq., Vice President and Legal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chris.wimmer@agrify.com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Burns &amp; Levinson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125 High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Frank A. Segall,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fsegall@burnslev.com</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The Parties have jointly participated in the negotiation and drafting of this Agreement. In the event of an ambiguity or question of intent or interpretation arises, this Agreement shall be construed as if drafted jointly by the Parties, and no presumptions or burdens of proof shall arise favoring any Party by virtue of the authorship of any of the provisions of this Agreement. The recitals stated at the beginning of this Agreement are true and correct and are incorporated by reference into the body of this Agreement. As used in this Agreement, the word “including” or any variation thereof shall be deemed to be followed by “without limitation” and shall not be construed to limit any general statement that it follows to the specific or similar items or matters immediately following it. The word “or” is not exclusive and the words “herein,” “hereof,” “hereby,” “hereto” and “hereunder” refer to this Agreement as a whole. Any accounting term used but not specifically defined herein shall have the meaning assigned to such term in accordance with GAAP. Each defined term used in this Agreement shall have a comparable meaning when used in its plural or singular form. Unless the context otherwise requires, references herein: (a) to Articles, Sections, Exhibits and Schedules mean the Articles and Sections of and the Exhibits and Schedules attached to this Agreement, (b) to an agreement, instrument or document means such agreement, instrument or document as amended, supplemented and modified from time to time to the extent permitted by the provisions thereof and not prohibited by this Agreement and (c) to a Law means such Law as amended from time to time and includes any successor legislation thereto. The headings and captions used in this Agreement, or in any Schedule or Exhibit hereto are for convenience of reference only and do not constitute a party of this Agreement and shall not be deemed to limit, characterize or in any way affect any provision of this Agreement or any Schedule or Exhibit hereto. Any capitalized terms used in any Schedule or Exhibit attached hereto and not otherwise defined therein shall have the meanings set forth in this Agreement. All amounts payable hereunder or otherwise set forth in this Agreement are expressed in Dollars, and all references to dollars (or the symbol “$”) contained herein shall be deemed to refer to United States dollars. Unless specified otherwise, any action required hereunder to be taken within a certain number of days shall be taken within that number of calendar days (and not Business Days);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last day for taking such action falls on a weekend or a holiday in the United States, the period during which such action may be taken shall be automatically extended to the next Business Day. As used in this Agreement, references to documents or other materials “provided”, “furnished” or “made available” to Buyer or similar phrases shall mean that such documents or other materials were present (and available for viewing by Buyer and its representatives) in the online data room for purposes of the transactions contemplated hereby at least one (1) Business Days prior to the date hereof. Where any provision in this Agreement refers to action any Person is prohibited from taking, such provision shall be applicable whether the action in question is taken directly by such Person or indirectly on such Person's behalf. The Parties agree that the original of this Agreement will be written in the English language, and each Party waives any rights it may have under the laws of its country of residence to have such Agreement written in its local language. If a local language version is provided, it is for convenience only and the English language version shall be the binding document.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The Company Group and the Members (or any of them) shall not, nor shall they permit any of their respective Affiliates, agents or representatives to, issue any press release, public announcement or to otherwise disclose any information (including via any social media companies such as Twitter, Facebook or LinkedIn) relating to the subject matter of this Agreement without the prior written approval of Buyer;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both prior to and following Closing, any Party may make any public disclosure is required by any applicable Law, in which case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disclosing Party will advise the other Parties prior to making the disclosure and shall insofar as may be practicable reflect on such disclosure substantially all reasonable comments of the other Parties.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Transaction Documents (including the Exhibits and Disclosure Schedule) and the other certificates and agreements delivered in connection herewith and therewith constitute the sole and entire agreement of the Parties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Transaction Documents, the Exhibits and Disclosure Schedule (other than an exception expressly set forth as such in the Disclosure Schedule), the statements in the body of this Agreement will control.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Amendments and Waiver</w:t>
      </w:r>
      <w:r>
        <w:rPr>
          <w:rFonts w:ascii="Arial" w:cs="Arial" w:eastAsia="Arial" w:hAnsi="Arial"/>
          <w:sz w:val="18"/>
          <w:szCs w:val="18"/>
          <w:color w:val="auto"/>
        </w:rPr>
        <w:t>. No amendment of any provision of this Agreement shall be valid unless the same shall be in writing and signed by Buyer and the Member Representative. Buyer, on the one hand, and the Member Representative, on the other hand, may waive compliance by the other Party with any of the provisions of this Agreement. No waiver of any provision shall be construed as a waiver of any other provision. Any waiver must be in writing and must be signed by the Party waiving the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5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and acknowledge that the Buyer and the Company Group are each unique and the Parties recognize and affirm that in the event of a breach of this Agreement or any Transaction Document by any Party, monetary damages may be inadequate, and the Parties may have no adequate remedy at law. Accordingly, the Parties agree that each Party shall have the right, in addition to any other rights and remedies existing in its favor, to enforce its rights and each Party’s obligations hereunder not only by an action or actions for damages but also by an action or actions for specific performance, injunctive and/or other equitable relief, in each case without the requirement of posting a bond or proving actual damages. If any such action is brought by a Party to enforce this Agreement, the applicable Parties hereby waive the defense that there is an adequate remedy at law.</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shall inure to the benefit of the Parties and their respective successors and permitted assigns. No Party may assign its rights or obligations hereunder without the prior written consent of the other Parties, which consent shall not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may assign any or all of its rights and obligations under this Agreement without the prior written consent of any other Party (a) to any Affiliate of Buyer, (b) to any acquirer of all or a majority of the equity or assets of Buyer or any of its Affiliates or (c) to lenders of Buyer or any of its Affiliates as collateral security; provided further that in any such case, Buyer shall remain fully responsible for all of its obligations, responsibilities and covenants under this Agreement, and (y) no such assignment shall expand the obligations, responsibilities or covenants of the Members or the Company under this Agreement or any other Transaction Document or the rights or benefits of Buyer (or its assignee) hereunder or thereunder. No assignment shall relieve the assigning Party of any of its obligations hereunder if such assignee does not perform such obligations.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is for the sole benefit of the Parties and their respective successors and permitted assigns and, except as expressly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nothing herein, express or implied, is intended to or shall confer upon any other Person or entity any legal or equitable right, benefit or remedy of any nature whatsoever under or by reason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1" w:lineRule="auto"/>
        <w:tabs>
          <w:tab w:leader="none" w:pos="15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Massachusetts law (without regard to any jurisdiction’s conflict-of-laws principles) exclusively governs all matters based upon, arising out of or relating in any way to this Agreement, including all disputes, claims or causes of action arising out of or relating to this Agreement, as well as the interpretation, construction, performance and enforcement of this Agreement. With respect to any and all claims, controversies, disputes or conflicts of any type and of any manner among the parties regarding or relating to this Agreement, the Parties agree that they may not bring suit in any jurisdiction other than applicable federal and state courts located in Boston, Massachusetts, and each Party hereby irrevocably and unconditionally submits, for itself and its property, to the exclusive jurisdiction of any such court in any such action or proceeding. Each Party irrevocably and unconditionally waives any objection or defense that it may have now or hereafter to the laying of venue of any such action or proceeding in such court.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304"/>
        <w:spacing w:after="0" w:line="254" w:lineRule="auto"/>
        <w:tabs>
          <w:tab w:leader="none" w:pos="15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PERMITTED BY LAW, THE PARTIES HEREBY KNOWINGLY, VOLUNTARILY AND INTENTIONALLY WAIVE ANY RIGHT TO TRIAL BY JURY IN ANY ACTION OR PROCEEDING ARISING OUT OF OR RELATING TO THIS AGREEMENT OR ANY TRANSACTION CONTEMPLATED HEREBY, WHETHER NOW EXISTING OR HEREAFTER ARISING, AND WHETHER SOUNDING IN CONTRACT, TORT OR OTHERWISE. THE PARTIES AGREE THAT ANY OF THEM MAY FILE A COPY OF THIS SECTION WITH ANY COURT AS WRITTEN EVIDENCE OF THE KNOWING, VOLUNTARY AND BARGAINED-FOR AGREEMENT AMONG THE PARTIES IRREVOCABLY TO WAIVE TRIAL BY JURY AND THAT ANY ACTION OR PROCEEDING WHATSOEVER BETWEEN THEM RELATING TO THIS AGREEMENT OR ANY TRANSACTION CONTEMPLATED HEREBY SHALL INSTEAD BE TRIED IN A COURT OF COMPETENT JURISDICTION BY A JUDGE SITTING WITHOUT A JURY.</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electronically and in counterparts, each of which shall be deemed an original, but all of which together shall be deemed to be one and the same agreement. A signed copy of this Agreement executed electronically or delivered by facsimile, e-mail or other means of electronic transmission shall be deemed to have the same legal effect as delivery of an original signed copy of this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Incorporation of Exhibits and Schedules</w:t>
      </w:r>
      <w:r>
        <w:rPr>
          <w:rFonts w:ascii="Arial" w:cs="Arial" w:eastAsia="Arial" w:hAnsi="Arial"/>
          <w:sz w:val="16"/>
          <w:szCs w:val="16"/>
          <w:color w:val="auto"/>
        </w:rPr>
        <w:t>. The Exhibits, Schedules and Disclosure Schedule identified in this Agreement are incorporated herein by reference and made a part hereof. The Exhibits, Schedules and Disclosure Schedule do not modify the Agreement except to the extent specifically provided in the Agreement. The Disclosure Schedule has been arranged, for purposes of convenience only, in sections corresponding to the Sections of this Agreement. The disclosure of any item in any section or subsection of Disclosure Schedule will be deemed disclosed with respect to each other section and subsection of the Disclosure Schedule to the extent the applicability of such disclosure is reasonably apparent on its face. Certain information set forth in the Disclosure Schedule is or may be included solely for informational purposes, is not an admission of liability with respect to the matters covered by the information or that such information is required by the terms hereof to be disclosed, and may not be required to be disclosed pursuant to this Agreement. No disclosure in the Disclosure Schedule relating to any possible breach or violation of any agreement or Law shall be construed as an admission or indication that any such breach or violation exists or has actually occurred. The inclusion of any information of the Disclosure Schedule (including the specification of any dollar amount in the representations and warranties contained in this Agreement or the Disclosure Schedule) is not intended to imply that such disclosures (a) are or are not material to the business, assets, liabilities, financial condition, results of operation or prospects of the Company Group, (b) amount to a Material Adverse Effect or (c) occurred outside of the Ordinary Course of Business of the Company Group.</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Member Representative</w:t>
      </w:r>
    </w:p>
    <w:p>
      <w:pPr>
        <w:spacing w:after="0" w:line="225" w:lineRule="exact"/>
        <w:rPr>
          <w:sz w:val="20"/>
          <w:szCs w:val="20"/>
          <w:color w:val="auto"/>
        </w:rPr>
      </w:pPr>
    </w:p>
    <w:p>
      <w:pPr>
        <w:jc w:val="both"/>
        <w:ind w:firstLine="1304"/>
        <w:spacing w:after="0" w:line="285" w:lineRule="auto"/>
        <w:tabs>
          <w:tab w:leader="none" w:pos="155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Appointment and Powers</w:t>
      </w:r>
      <w:r>
        <w:rPr>
          <w:rFonts w:ascii="Arial" w:cs="Arial" w:eastAsia="Arial" w:hAnsi="Arial"/>
          <w:sz w:val="16"/>
          <w:szCs w:val="16"/>
          <w:color w:val="auto"/>
        </w:rPr>
        <w:t>. Each Member irrevocably appoints Benjamin Britton as the agent, proxy and attorney-in-fact for such Member for all purposes under this Agreement (including full power and authority to act on the Members’ collective behalf) to do and perform every act and thing reasonably necessary or desirable to be done in connection with the transactions contemplated by this Agreement. Without limitation of the foregoing, each Member hereby grants unto the Member Representative full power and authority to do and perform each and every act and thing requisite and necessary to be done in connection with the transactions contemplated by this Agreement and the Transaction Documents, including, without limitation, for the purposes of: (i) making or receiving and disbursing payments; (ii) making decisions with respect to the determination of the Purchase Price and Earn-Out Consideration calculations; (iii) entering into any settlement or submitting any dispute relating to the Purchase Price and Earn-Out Consideration calculations; (iv) taking any and all actions that may be necessary or desirable, as determined by the Member Representative, in its sole discretion, in connection with the approval of or any amendment to or waiver under this Agreement or the Transaction Documents in accordance with the terms thereof; (v) accepting notices on behalf of Members in accordance with the terms of this Agreement and the Transaction Documents; (vi) executing and delivering, on behalf of Members, any and all notices, documents or certificates to be executed by the Members in connection with this Agreement or the Transaction Documents and the transactions contemplated hereby and thereby; (vii) making any payments or paying any expenses under or in connection with this Agreement and the Transaction Documents on behalf of Members; (viii) granting any consent or approval on behalf of Members under this Agreement or the Transaction Documents; (ix) entering into any settlement or instituting or defending any Action relating to any claim for Losses or other damages against Members; and (x) taking any and all actions and doing any and all other things provided in, contemplated by or related to this Agreement or the Transaction Documents or the actions contemplated by or related to this Agreement or the Transaction Documents to be performed on behalf of Members. As the representative of Members, the Member Representative shall act as the agent for all Members and shall have authority to bind each such Person in accordance with this Agreement or the Transaction Documents.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304"/>
        <w:spacing w:after="0" w:line="273" w:lineRule="auto"/>
        <w:tabs>
          <w:tab w:leader="none" w:pos="156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The Member Representative will not be liable to any Member for any action taken by him in good faith pursuant to this Agreement, and the Members will indemnify the Member Representative from any Losses arising out of his service as the Member Representative hereunder. The Member Representative is serving in that capacity solely for purposes of administrative convenience, and is not personally liable in such capacity for any of the obligations of the Members hereunder, and Buyer agrees on behalf of itself, its Affiliates, and any Buyer Indemnified Party, that it will not look (nor shall any of its Affiliates or any Buyer Indemnified Party be entitled to look) to the personal assets of the Member Representative, acting in such capacity, for the satisfaction of any obligations to be performed by the Members hereunder.</w:t>
      </w:r>
    </w:p>
    <w:p>
      <w:pPr>
        <w:spacing w:after="0" w:line="177" w:lineRule="exact"/>
        <w:rPr>
          <w:rFonts w:ascii="Arial" w:cs="Arial" w:eastAsia="Arial" w:hAnsi="Arial"/>
          <w:sz w:val="17"/>
          <w:szCs w:val="17"/>
          <w:color w:val="auto"/>
        </w:rPr>
      </w:pPr>
    </w:p>
    <w:p>
      <w:pPr>
        <w:jc w:val="both"/>
        <w:ind w:firstLine="1304"/>
        <w:spacing w:after="0" w:line="255"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xml:space="preserve">. Each Member agrees that Buyer will be entitled to rely on any decision, act, consent, instruction or other action taken by the Member Representative, on behalf of the Members, pursuant to </w:t>
      </w:r>
      <w:r>
        <w:rPr>
          <w:rFonts w:ascii="Arial" w:cs="Arial" w:eastAsia="Arial" w:hAnsi="Arial"/>
          <w:sz w:val="18"/>
          <w:szCs w:val="18"/>
          <w:u w:val="single" w:color="auto"/>
          <w:color w:val="auto"/>
        </w:rPr>
        <w:t>Section 9.15(a)</w:t>
      </w:r>
      <w:r>
        <w:rPr>
          <w:rFonts w:ascii="Arial" w:cs="Arial" w:eastAsia="Arial" w:hAnsi="Arial"/>
          <w:sz w:val="18"/>
          <w:szCs w:val="18"/>
          <w:color w:val="auto"/>
        </w:rPr>
        <w:t xml:space="preserve"> above (each, an “</w:t>
      </w:r>
      <w:r>
        <w:rPr>
          <w:rFonts w:ascii="Arial" w:cs="Arial" w:eastAsia="Arial" w:hAnsi="Arial"/>
          <w:sz w:val="18"/>
          <w:szCs w:val="18"/>
          <w:b w:val="1"/>
          <w:bCs w:val="1"/>
          <w:i w:val="1"/>
          <w:iCs w:val="1"/>
          <w:color w:val="auto"/>
        </w:rPr>
        <w:t>Authorized Action</w:t>
      </w:r>
      <w:r>
        <w:rPr>
          <w:rFonts w:ascii="Arial" w:cs="Arial" w:eastAsia="Arial" w:hAnsi="Arial"/>
          <w:sz w:val="18"/>
          <w:szCs w:val="18"/>
          <w:color w:val="auto"/>
        </w:rPr>
        <w:t>”), and that each Authorized Action will be final, binding and conclusive on each Member as fully as if such Member had taken such Authorized Action. Buyer is hereby relieved from any liability to any Person for any acts done or omissions by Buyer in accordance with such Authorized Action. Without limiting the generality of the foregoing, Buyer is entitled to rely, without inquiry, upon any document delivered by the Member Representative as being genuine and correct and having been duly signed or sent by the Member Representative.</w:t>
      </w:r>
    </w:p>
    <w:p>
      <w:pPr>
        <w:spacing w:after="0" w:line="192" w:lineRule="exact"/>
        <w:rPr>
          <w:rFonts w:ascii="Arial" w:cs="Arial" w:eastAsia="Arial" w:hAnsi="Arial"/>
          <w:sz w:val="18"/>
          <w:szCs w:val="18"/>
          <w:color w:val="auto"/>
        </w:rPr>
      </w:pPr>
    </w:p>
    <w:p>
      <w:pPr>
        <w:jc w:val="both"/>
        <w:ind w:firstLine="1304"/>
        <w:spacing w:after="0" w:line="293" w:lineRule="auto"/>
        <w:tabs>
          <w:tab w:leader="none" w:pos="1578"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Replacement Member Representative</w:t>
      </w:r>
      <w:r>
        <w:rPr>
          <w:rFonts w:ascii="Arial" w:cs="Arial" w:eastAsia="Arial" w:hAnsi="Arial"/>
          <w:sz w:val="16"/>
          <w:szCs w:val="16"/>
          <w:color w:val="auto"/>
        </w:rPr>
        <w:t xml:space="preserve">. Upon the resignation, death, disability or incapacity of the initial Member Representative appointed pursuant to </w:t>
      </w:r>
      <w:r>
        <w:rPr>
          <w:rFonts w:ascii="Arial" w:cs="Arial" w:eastAsia="Arial" w:hAnsi="Arial"/>
          <w:sz w:val="16"/>
          <w:szCs w:val="16"/>
          <w:u w:val="single" w:color="auto"/>
          <w:color w:val="auto"/>
        </w:rPr>
        <w:t>Section 9.15(a)</w:t>
      </w:r>
      <w:r>
        <w:rPr>
          <w:rFonts w:ascii="Arial" w:cs="Arial" w:eastAsia="Arial" w:hAnsi="Arial"/>
          <w:sz w:val="16"/>
          <w:szCs w:val="16"/>
          <w:color w:val="auto"/>
        </w:rPr>
        <w:t xml:space="preserve"> above, the Members will be permitted to appoint a replacement reasonably believed to be capable of carrying out the duties and performing the obligations of the Member Representative hereunder (which will be subject to the approval of Buyer, such approval not to be unreasonably conditioned, withheld or delayed). This appointment and grant of power and authority by the Members to the Member Representative are coupled with an interest, are in consideration of the mutual covenants made in this Agreement, are irrevocable and may not be terminated by the act of any Member or by operation of Law, whether upon the death or incapacity of any Member, or by the occurrence of any other event.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3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Raymond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PUREPRESSURE,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Benjamin Britton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MEMBER REPRESENTATIVE: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Benjamin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Benjamin Britton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i w:val="1"/>
          <w:iCs w:val="1"/>
          <w:color w:val="auto"/>
        </w:rPr>
        <w:t>Signatures continue on following page</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i w:val="1"/>
          <w:iCs w:val="1"/>
          <w:color w:val="auto"/>
        </w:rPr>
        <w:t>Signature Page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77" w:name="page78"/>
    <w:bookmarkEnd w:id="77"/>
    <w:p>
      <w:pPr>
        <w:ind w:left="5640"/>
        <w:spacing w:after="0"/>
        <w:rPr>
          <w:sz w:val="20"/>
          <w:szCs w:val="20"/>
          <w:color w:val="auto"/>
        </w:rPr>
      </w:pPr>
      <w:r>
        <w:rPr>
          <w:rFonts w:ascii="Arial" w:cs="Arial" w:eastAsia="Arial" w:hAnsi="Arial"/>
          <w:sz w:val="18"/>
          <w:szCs w:val="18"/>
          <w:b w:val="1"/>
          <w:bCs w:val="1"/>
          <w:color w:val="auto"/>
        </w:rPr>
        <w:t>MEMBERS: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Benjamin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Benjamin Britton</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Joshua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Joshua Rutherford</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Eric Vlosky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Eric Vlosky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Scott Christensen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Kyle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Kyle Manuel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Alicia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Alicia Britton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John Harned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Harned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Signature Page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8" w:name="page79"/>
    <w:bookmarkEnd w:id="78"/>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Agrify Completes Acquisition of PurePressure, the Leader in Solventless Extraction and Advanced Ice Water Hash Processing, Two of the Fastest Growing Segments within the Extraction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Positions Agrify as the Largest and the Most Powerful Cannabis and Hemp Extraction Solution Provider in the World</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BILLERICA, Mass., January 5, 2022 – Agrify Corporation (Nasdaq:AGFY) (“Agrify” or the “Company”), the most innovative and vertically integrated provider of premium cultivation and extraction solutions for the cannabis and hemp industry, today announced it has completed its acquisition of PurePressure, the leader in solventless extraction and advanced ice water hash processing equipment in the cannabis and hemp industry.</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acquisition of PurePressure, Agrify has strengthened its rapidly expanding extraction division by adding best-in-class solutions to its product portfolio in two of the fastest growing subcategories in the cannabis and hemp extraction market. In addition to its other extraction solutions, Agrify can now offer its customers premium solventless processing products and rosin presses to support any operation, big or small. The Company also inherits PurePressure’s intellectual property, talent, and stellar reputation for quality, reliability, precision, control, and exceptional customer service. PurePressure’s annual revenue for 2021 is approximately $10 million, and the acquisition is expected to be accretive in early 2022. By combining PurePressure with Precision Extraction Solutions and Cascade Sciences, two other recent acquisitions made by Agrify, the Company has formed the largest and the most powerful cannabis and hemp extraction solution provider in the world.</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thrilled to be able to officially welcome PurePressure to the Agrify family. PurePressure is the perfect complement to our extraction division, which has quickly become a core part of our business and our plans to accelerate our growth,” said Raymond Chang, Chairman and CEO of Agrify. “Within a short amount of time, we have assembled the best extraction talent in the industry and what we believe is the most compelling, complete, and advanced product offerings in the extraction space, effectively doubling down on our assertion that superior extraction technology will play a critical role in producing high-quality medical and recreational consumer products consistently. We look forward to providing our customers with the most comprehensive suite of solutions on the market, and we expect our extraction division will play a pivotal role in helping us capitalize on a variety of new growth initiatives that we hope to pursue in 2022 and beyond.”</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Chang continued, “This strategic acquisition is also an important step toward achieving our broader vision of becoming the most dynamic solution provider across the entire supply chain in the cannabis and hemp industry. Through this acquisition, we have substantially bolstered our competitive position in the market, and we are confident that this will greatly enhance shareholder value.”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excited to join Agrify, an organization we have long admired, at such a critical inflection point,” said Ben Britton, Co-Founder and CEO of PurePressure. “During the acquisition process, we spent a considerable amount of time getting to know Agrify’s leadership team, gaining visibility into the intended path forward, and determining how we could work together to build a dominant force in the cannabis and hemp industry. While we have always believed in ourselves and what we have worked tirelessly to build over the last six years, we now have the opportunity to leverage new synergies, capabilities, and resources in order to drive a much greater impact across the cannabis and hemp ecosystem.”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Details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for PurePressure was $9 million, consisting of $4 million in cash and $5 million in unregistered shares of Agrify common stock, subject to adjustments as set forth in the definitive agreement. There is also an additional earnout opportunity of up to $3 million if the PurePressure business achieves certain revenue milestones in 2022 and 2023. The definitive agreement includes customary representations, warranties, and covenants regarding PurePressure and Agrify.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Agrify is the most innovative and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 and Precision Extraction, a division of Agrify, at http://www.precisionextraction.com.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PurePressure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PurePressure is the leader in solventless extraction and advanced ice water hash processing equipment in the cannabis and hemp industry. The company offers premium solventless processing products and rosin presses to support any operation, big or small, and it has a legendary reputation for reliability, precision, control, and exceptional customer service. For more information, please visit PurePressure at https://gopurepressure.com/.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concerning Agrify, PurePressure, and other matters. All statements contained in this press release that do not relate to matters of historical fact should be considered forward-looking statements, including, without limitation, statements regarding the expected results of the combination of Agrify and PurePressure;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Ellen Mellody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ellen@mattio.com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lowerRoman"/>
      <w:start w:val="1"/>
    </w:lvl>
  </w:abstractNum>
  <w:abstractNum w:abstractNumId="2">
    <w:nsid w:val="5E884ADC"/>
    <w:multiLevelType w:val="hybridMultilevel"/>
    <w:lvl w:ilvl="0">
      <w:lvlJc w:val="left"/>
      <w:lvlText w:val="(%1)"/>
      <w:numFmt w:val="lowerRoman"/>
      <w:start w:val="3"/>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Roman"/>
      <w:start w:val="1"/>
    </w:lvl>
  </w:abstractNum>
  <w:abstractNum w:abstractNumId="5">
    <w:nsid w:val="580BD78F"/>
    <w:multiLevelType w:val="hybridMultilevel"/>
    <w:lvl w:ilvl="0">
      <w:lvlJc w:val="left"/>
      <w:lvlText w:val="(%1)"/>
      <w:numFmt w:val="lowerLetter"/>
      <w:start w:val="2"/>
    </w:lvl>
  </w:abstractNum>
  <w:abstractNum w:abstractNumId="6">
    <w:nsid w:val="153EA438"/>
    <w:multiLevelType w:val="hybridMultilevel"/>
    <w:lvl w:ilvl="0">
      <w:lvlJc w:val="left"/>
      <w:lvlText w:val="(%1)"/>
      <w:numFmt w:val="lowerLetter"/>
      <w:start w:val="13"/>
    </w:lvl>
  </w:abstractNum>
  <w:abstractNum w:abstractNumId="7">
    <w:nsid w:val="3855585C"/>
    <w:multiLevelType w:val="hybridMultilevel"/>
    <w:lvl w:ilvl="0">
      <w:lvlJc w:val="left"/>
      <w:lvlText w:val="(%1)"/>
      <w:numFmt w:val="lowerLetter"/>
      <w:start w:val="4"/>
    </w:lvl>
  </w:abstractNum>
  <w:abstractNum w:abstractNumId="8">
    <w:nsid w:val="70A64E2A"/>
    <w:multiLevelType w:val="hybridMultilevel"/>
    <w:lvl w:ilvl="0">
      <w:lvlJc w:val="left"/>
      <w:lvlText w:val="(%1)"/>
      <w:numFmt w:val="lowerLetter"/>
      <w:start w:val="2"/>
    </w:lvl>
  </w:abstractNum>
  <w:abstractNum w:abstractNumId="9">
    <w:nsid w:val="6A2342EC"/>
    <w:multiLevelType w:val="hybridMultilevel"/>
    <w:lvl w:ilvl="0">
      <w:lvlJc w:val="left"/>
      <w:lvlText w:val="(%1)"/>
      <w:numFmt w:val="lowerLetter"/>
      <w:start w:val="1"/>
    </w:lvl>
    <w:lvl w:ilvl="1">
      <w:lvlJc w:val="left"/>
      <w:lvlText w:val="(%2)"/>
      <w:numFmt w:val="lowerRoman"/>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5"/>
    </w:lvl>
  </w:abstractNum>
  <w:abstractNum w:abstractNumId="12">
    <w:nsid w:val="725A06FB"/>
    <w:multiLevelType w:val="hybridMultilevel"/>
    <w:lvl w:ilvl="0">
      <w:lvlJc w:val="left"/>
      <w:lvlText w:val="(%1)"/>
      <w:numFmt w:val="lowerLetter"/>
      <w:start w:val="8"/>
    </w:lvl>
  </w:abstractNum>
  <w:abstractNum w:abstractNumId="13">
    <w:nsid w:val="2CD89A32"/>
    <w:multiLevelType w:val="hybridMultilevel"/>
    <w:lvl w:ilvl="0">
      <w:lvlJc w:val="left"/>
      <w:lvlText w:val="(%1)"/>
      <w:numFmt w:val="lowerLetter"/>
      <w:start w:val="1"/>
    </w:lvl>
    <w:lvl w:ilvl="1">
      <w:lvlJc w:val="left"/>
      <w:lvlText w:val="(%2)"/>
      <w:numFmt w:val="lowerRoman"/>
      <w:start w:val="1"/>
    </w:lvl>
  </w:abstractNum>
  <w:abstractNum w:abstractNumId="14">
    <w:nsid w:val="57E4CCAF"/>
    <w:multiLevelType w:val="hybridMultilevel"/>
    <w:lvl w:ilvl="0">
      <w:lvlJc w:val="left"/>
      <w:lvlText w:val="(%1)"/>
      <w:numFmt w:val="lowerLetter"/>
      <w:start w:val="2"/>
    </w:lvl>
    <w:lvl w:ilvl="1">
      <w:lvlJc w:val="left"/>
      <w:lvlText w:val="(%2)"/>
      <w:numFmt w:val="lowerRoman"/>
      <w:start w:val="1"/>
    </w:lvl>
  </w:abstractNum>
  <w:abstractNum w:abstractNumId="15">
    <w:nsid w:val="7A6D8D3C"/>
    <w:multiLevelType w:val="hybridMultilevel"/>
    <w:lvl w:ilvl="0">
      <w:lvlJc w:val="left"/>
      <w:lvlText w:val="(%1)"/>
      <w:numFmt w:val="lowerLetter"/>
      <w:start w:val="1"/>
    </w:lvl>
  </w:abstractNum>
  <w:abstractNum w:abstractNumId="16">
    <w:nsid w:val="4B588F54"/>
    <w:multiLevelType w:val="hybridMultilevel"/>
    <w:lvl w:ilvl="0">
      <w:lvlJc w:val="left"/>
      <w:lvlText w:val="(%1)"/>
      <w:numFmt w:val="lowerLetter"/>
      <w:start w:val="4"/>
    </w:lvl>
    <w:lvl w:ilvl="1">
      <w:lvlJc w:val="left"/>
      <w:lvlText w:val="(%2)"/>
      <w:numFmt w:val="lowerRoman"/>
      <w:start w:val="1"/>
    </w:lvl>
  </w:abstractNum>
  <w:abstractNum w:abstractNumId="17">
    <w:nsid w:val="542289EC"/>
    <w:multiLevelType w:val="hybridMultilevel"/>
    <w:lvl w:ilvl="0">
      <w:lvlJc w:val="left"/>
      <w:lvlText w:val="(%1)"/>
      <w:numFmt w:val="lowerLetter"/>
      <w:start w:val="6"/>
    </w:lvl>
  </w:abstractNum>
  <w:abstractNum w:abstractNumId="18">
    <w:nsid w:val="6DE91B18"/>
    <w:multiLevelType w:val="hybridMultilevel"/>
    <w:lvl w:ilvl="0">
      <w:lvlJc w:val="left"/>
      <w:lvlText w:val="(%1)"/>
      <w:numFmt w:val="lowerLetter"/>
      <w:start w:val="1"/>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lowerLetter"/>
      <w:start w:val="1"/>
    </w:lvl>
    <w:lvl w:ilvl="1">
      <w:lvlJc w:val="left"/>
      <w:lvlText w:val="(%2)"/>
      <w:numFmt w:val="lowerLetter"/>
      <w:start w:val="1"/>
    </w:lvl>
  </w:abstractNum>
  <w:abstractNum w:abstractNumId="21">
    <w:nsid w:val="32FFF902"/>
    <w:multiLevelType w:val="hybridMultilevel"/>
    <w:lvl w:ilvl="0">
      <w:lvlJc w:val="left"/>
      <w:lvlText w:val="(%1)"/>
      <w:numFmt w:val="lowerLetter"/>
      <w:start w:val="9"/>
    </w:lvl>
    <w:lvl w:ilvl="1">
      <w:lvlJc w:val="left"/>
      <w:lvlText w:val="(%2)"/>
      <w:numFmt w:val="lowerLetter"/>
      <w:start w:val="2"/>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lowerLetter"/>
      <w:start w:val="8"/>
    </w:lvl>
  </w:abstractNum>
  <w:abstractNum w:abstractNumId="25">
    <w:nsid w:val="3DC240FB"/>
    <w:multiLevelType w:val="hybridMultilevel"/>
    <w:lvl w:ilvl="0">
      <w:lvlJc w:val="left"/>
      <w:lvlText w:val="(%1)"/>
      <w:numFmt w:val="lowerLetter"/>
      <w:start w:val="1"/>
    </w:lvl>
  </w:abstractNum>
  <w:abstractNum w:abstractNumId="26">
    <w:nsid w:val="1BA026FA"/>
    <w:multiLevelType w:val="hybridMultilevel"/>
    <w:lvl w:ilvl="0">
      <w:lvlJc w:val="left"/>
      <w:lvlText w:val="(%1)"/>
      <w:numFmt w:val="lowerLetter"/>
      <w:start w:val="1"/>
    </w:lvl>
    <w:lvl w:ilvl="1">
      <w:lvlJc w:val="left"/>
      <w:lvlText w:val="(%2)"/>
      <w:numFmt w:val="lowerRoman"/>
      <w:start w:val="1"/>
    </w:lvl>
  </w:abstractNum>
  <w:abstractNum w:abstractNumId="27">
    <w:nsid w:val="79A1DEAA"/>
    <w:multiLevelType w:val="hybridMultilevel"/>
    <w:lvl w:ilvl="0">
      <w:lvlJc w:val="left"/>
      <w:lvlText w:val="(%1)"/>
      <w:numFmt w:val="lowerLetter"/>
      <w:start w:val="3"/>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1)"/>
      <w:numFmt w:val="lowerLetter"/>
      <w:start w:val="8"/>
    </w:lvl>
  </w:abstractNum>
  <w:abstractNum w:abstractNumId="30">
    <w:nsid w:val="70C6A529"/>
    <w:multiLevelType w:val="hybridMultilevel"/>
    <w:lvl w:ilvl="0">
      <w:lvlJc w:val="left"/>
      <w:lvlText w:val="(%1)"/>
      <w:numFmt w:val="lowerLetter"/>
      <w:start w:val="17"/>
    </w:lvl>
  </w:abstractNum>
  <w:abstractNum w:abstractNumId="31">
    <w:nsid w:val="520EEDD1"/>
    <w:multiLevelType w:val="hybridMultilevel"/>
    <w:lvl w:ilvl="0">
      <w:lvlJc w:val="left"/>
      <w:lvlText w:val="(%1)"/>
      <w:numFmt w:val="lowerLetter"/>
      <w:start w:val="1"/>
    </w:lvl>
    <w:lvl w:ilvl="1">
      <w:lvlJc w:val="left"/>
      <w:lvlText w:val="(%2)"/>
      <w:numFmt w:val="lowerRoman"/>
      <w:start w:val="1"/>
    </w:lvl>
  </w:abstractNum>
  <w:abstractNum w:abstractNumId="32">
    <w:nsid w:val="374A3FE6"/>
    <w:multiLevelType w:val="hybridMultilevel"/>
    <w:lvl w:ilvl="0">
      <w:lvlJc w:val="left"/>
      <w:lvlText w:val="(%1)"/>
      <w:numFmt w:val="lowerRoman"/>
      <w:start w:val="6"/>
    </w:lvl>
  </w:abstractNum>
  <w:abstractNum w:abstractNumId="33">
    <w:nsid w:val="4F4EF005"/>
    <w:multiLevelType w:val="hybridMultilevel"/>
    <w:lvl w:ilvl="0">
      <w:lvlJc w:val="left"/>
      <w:lvlText w:val="%1"/>
      <w:numFmt w:val="lowerLetter"/>
      <w:start w:val="1"/>
    </w:lvl>
    <w:lvl w:ilvl="1">
      <w:lvlJc w:val="left"/>
      <w:lvlText w:val="(%2)"/>
      <w:numFmt w:val="lowerRoman"/>
      <w:start w:val="16"/>
    </w:lvl>
  </w:abstractNum>
  <w:abstractNum w:abstractNumId="34">
    <w:nsid w:val="23F9C13C"/>
    <w:multiLevelType w:val="hybridMultilevel"/>
    <w:lvl w:ilvl="0">
      <w:lvlJc w:val="left"/>
      <w:lvlText w:val="(%1)"/>
      <w:numFmt w:val="lowerLetter"/>
      <w:start w:val="2"/>
    </w:lvl>
    <w:lvl w:ilvl="1">
      <w:lvlJc w:val="left"/>
      <w:lvlText w:val="%2"/>
      <w:numFmt w:val="lowerRoman"/>
      <w:start w:val="1"/>
    </w:lvl>
  </w:abstractNum>
  <w:abstractNum w:abstractNumId="35">
    <w:nsid w:val="649BB77C"/>
    <w:multiLevelType w:val="hybridMultilevel"/>
    <w:lvl w:ilvl="0">
      <w:lvlJc w:val="left"/>
      <w:lvlText w:val="(%1)"/>
      <w:numFmt w:val="lowerLetter"/>
      <w:start w:val="1"/>
    </w:lvl>
  </w:abstractNum>
  <w:abstractNum w:abstractNumId="36">
    <w:nsid w:val="275AC794"/>
    <w:multiLevelType w:val="hybridMultilevel"/>
    <w:lvl w:ilvl="0">
      <w:lvlJc w:val="left"/>
      <w:lvlText w:val="(%1)"/>
      <w:numFmt w:val="lowerLetter"/>
      <w:start w:val="4"/>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2"/>
    </w:lvl>
  </w:abstractNum>
  <w:abstractNum w:abstractNumId="39">
    <w:nsid w:val="180115BE"/>
    <w:multiLevelType w:val="hybridMultilevel"/>
    <w:lvl w:ilvl="0">
      <w:lvlJc w:val="left"/>
      <w:lvlText w:val="(%1)"/>
      <w:numFmt w:val="lowerLetter"/>
      <w:start w:val="5"/>
    </w:lvl>
  </w:abstractNum>
  <w:abstractNum w:abstractNumId="40">
    <w:nsid w:val="235BA861"/>
    <w:multiLevelType w:val="hybridMultilevel"/>
    <w:lvl w:ilvl="0">
      <w:lvlJc w:val="left"/>
      <w:lvlText w:val="(%1)"/>
      <w:numFmt w:val="lowerLetter"/>
      <w:start w:val="1"/>
    </w:lvl>
    <w:lvl w:ilvl="1">
      <w:lvlJc w:val="left"/>
      <w:lvlText w:val="(%2)"/>
      <w:numFmt w:val="lowerRoman"/>
      <w:start w:val="1"/>
    </w:lvl>
  </w:abstractNum>
  <w:abstractNum w:abstractNumId="41">
    <w:nsid w:val="47398C89"/>
    <w:multiLevelType w:val="hybridMultilevel"/>
    <w:lvl w:ilvl="0">
      <w:lvlJc w:val="left"/>
      <w:lvlText w:val="(%1)"/>
      <w:numFmt w:val="lowerLetter"/>
      <w:start w:val="3"/>
    </w:lvl>
  </w:abstractNum>
  <w:abstractNum w:abstractNumId="42">
    <w:nsid w:val="354FE9F9"/>
    <w:multiLevelType w:val="hybridMultilevel"/>
    <w:lvl w:ilvl="0">
      <w:lvlJc w:val="left"/>
      <w:lvlText w:val="(%1)"/>
      <w:numFmt w:val="lowerLetter"/>
      <w:start w:val="6"/>
    </w:lvl>
  </w:abstractNum>
  <w:abstractNum w:abstractNumId="43">
    <w:nsid w:val="15B5AF5C"/>
    <w:multiLevelType w:val="hybridMultilevel"/>
    <w:lvl w:ilvl="0">
      <w:lvlJc w:val="left"/>
      <w:lvlText w:val="(%1)"/>
      <w:numFmt w:val="lowerLetter"/>
      <w:start w:val="1"/>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lowerLetter"/>
      <w:start w:val="3"/>
    </w:lvl>
  </w:abstractNum>
  <w:abstractNum w:abstractNumId="46">
    <w:nsid w:val="10233C99"/>
    <w:multiLevelType w:val="hybridMultilevel"/>
    <w:lvl w:ilvl="0">
      <w:lvlJc w:val="left"/>
      <w:lvlText w:val="(%1)"/>
      <w:numFmt w:val="lowerLetter"/>
      <w:start w:val="8"/>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4"/>
    </w:lvl>
  </w:abstractNum>
  <w:abstractNum w:abstractNumId="49">
    <w:nsid w:val="7E0C57B1"/>
    <w:multiLevelType w:val="hybridMultilevel"/>
    <w:lvl w:ilvl="0">
      <w:lvlJc w:val="left"/>
      <w:lvlText w:val="(%1)"/>
      <w:numFmt w:val="lowerLetter"/>
      <w:start w:val="10"/>
    </w:lvl>
  </w:abstractNum>
  <w:abstractNum w:abstractNumId="50">
    <w:nsid w:val="77AE35EB"/>
    <w:multiLevelType w:val="hybridMultilevel"/>
    <w:lvl w:ilvl="0">
      <w:lvlJc w:val="left"/>
      <w:lvlText w:val="%1"/>
      <w:numFmt w:val="lowerLetter"/>
      <w:start w:val="1"/>
    </w:lvl>
    <w:lvl w:ilvl="1">
      <w:lvlJc w:val="left"/>
      <w:lvlText w:val="(%2)"/>
      <w:numFmt w:val="lowerLetter"/>
      <w:start w:val="1"/>
    </w:lvl>
  </w:abstractNum>
  <w:abstractNum w:abstractNumId="51">
    <w:nsid w:val="579BE4F1"/>
    <w:multiLevelType w:val="hybridMultilevel"/>
    <w:lvl w:ilvl="0">
      <w:lvlJc w:val="left"/>
      <w:lvlText w:val="(%1)"/>
      <w:numFmt w:val="lowerLetter"/>
      <w:start w:val="9"/>
    </w:lvl>
    <w:lvl w:ilvl="1">
      <w:lvlJc w:val="left"/>
      <w:lvlText w:val="%2"/>
      <w:numFmt w:val="lowerLetter"/>
      <w:start w:val="1"/>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6"/>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1"/>
    </w:lvl>
    <w:lvl w:ilvl="1">
      <w:lvlJc w:val="left"/>
      <w:lvlText w:val="(%2)"/>
      <w:numFmt w:val="lowerRoman"/>
      <w:start w:val="4"/>
    </w:lvl>
  </w:abstractNum>
  <w:abstractNum w:abstractNumId="58">
    <w:nsid w:val="1F48EAA1"/>
    <w:multiLevelType w:val="hybridMultilevel"/>
    <w:lvl w:ilvl="0">
      <w:lvlJc w:val="left"/>
      <w:lvlText w:val="(%1)"/>
      <w:numFmt w:val="lowerLetter"/>
      <w:start w:val="3"/>
    </w:lvl>
    <w:lvl w:ilvl="1">
      <w:lvlJc w:val="left"/>
      <w:lvlText w:val="%2"/>
      <w:numFmt w:val="lowerRoman"/>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6"/>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2"/>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3"/>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2"/>
    </w:lvl>
    <w:lvl w:ilvl="1">
      <w:lvlJc w:val="left"/>
      <w:lvlText w:val="(%2)"/>
      <w:numFmt w:val="lowerRoman"/>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3"/>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2"/>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2022-01-05T06:03:56Z</dcterms:created>
  <dcterms:modified xsi:type="dcterms:W3CDTF">2022-01-05T06:03:56Z</dcterms:modified>
</cp:coreProperties>
</file>