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c>
          <w:tcPr>
            <w:tcW w:w="3160" w:type="dxa"/>
            <w:vAlign w:val="bottom"/>
          </w:tcPr>
          <w:p>
            <w:pPr>
              <w:spacing w:after="0"/>
              <w:rPr>
                <w:sz w:val="20"/>
                <w:szCs w:val="20"/>
                <w:color w:val="auto"/>
              </w:rPr>
            </w:pPr>
          </w:p>
        </w:tc>
      </w:tr>
      <w:tr>
        <w:trPr>
          <w:trHeight w:val="387"/>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8-K/A</w:t>
            </w:r>
          </w:p>
        </w:tc>
        <w:tc>
          <w:tcPr>
            <w:tcW w:w="31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(Amendment No. 1)</w:t>
            </w:r>
          </w:p>
        </w:tc>
        <w:tc>
          <w:tcPr>
            <w:tcW w:w="316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16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6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December 12, 2024</w:t>
            </w:r>
          </w:p>
        </w:tc>
        <w:tc>
          <w:tcPr>
            <w:tcW w:w="3160" w:type="dxa"/>
            <w:vAlign w:val="bottom"/>
          </w:tcPr>
          <w:p>
            <w:pPr>
              <w:spacing w:after="0"/>
              <w:rPr>
                <w:sz w:val="24"/>
                <w:szCs w:val="24"/>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6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52"/>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40" w:type="dxa"/>
            <w:vAlign w:val="bottom"/>
            <w:tcBorders>
              <w:top w:val="single" w:sz="8" w:color="auto"/>
            </w:tcBorders>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60" w:type="dxa"/>
            <w:vAlign w:val="bottom"/>
          </w:tcPr>
          <w:p>
            <w:pPr>
              <w:spacing w:after="0"/>
              <w:rPr>
                <w:sz w:val="24"/>
                <w:szCs w:val="24"/>
                <w:color w:val="auto"/>
              </w:rPr>
            </w:pPr>
          </w:p>
        </w:tc>
      </w:tr>
      <w:tr>
        <w:trPr>
          <w:trHeight w:val="259"/>
        </w:trPr>
        <w:tc>
          <w:tcPr>
            <w:tcW w:w="3140" w:type="dxa"/>
            <w:vAlign w:val="bottom"/>
            <w:tcBorders>
              <w:bottom w:val="single" w:sz="8" w:color="auto"/>
            </w:tcBorders>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 w:right="2860" w:hanging="12"/>
        <w:spacing w:after="0" w:line="506"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Amendment No. 1 to a Current Report on Form 8-K/A (this “Amendment No. 1”) is being filed by Agrify Corporation (the “Company”) for the purpose of amending Item 9.01 of that certain Current Report on Form 8-K filed by the Company with the U.S. Securities and Exchange Commission (“SEC”) on December 16, 2024 (the “Original Form 8-K”) in connection with the December 12, 2024 completion of the acquisition of substantially all of the assets of Double or Nothing, LLC (“Double or Nothing”). As indicated in the Original Form 8-K, this Amendment is being filed to provide the financial statements and pro forma financial information required by Items 9.01(a) and (b) of Form 8-K, which were not previously filed with the Original Form 8-K as permitted by the rules of the SEC.</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Double or Nothing as of and for the years ended December 31, 2023 and 2022 and the unaudited financial statements of Double or Nothing as of and for the nine months ended September 30, 2024 and 2023 are filed as Exhibits 99.1 and 99.2, respectively, to this Amendment No. 1,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financial information of the Company, giving effect to the acquisition of substantially all of the assets of Double of Nothing, which includes the unaudited pro forma condensed combined balance sheet as of September 30, 2024 and the unaudited pro forma condensed combined statements of operations and comprehensive loss for the year ended December 31, 2023 and for the nine months ended September 30, 2024 and the related notes, is filed as Exhibit 99.3 to this Amendment No. 1, and is incorporated herein by reference.</w:t>
      </w:r>
    </w:p>
    <w:p>
      <w:pPr>
        <w:spacing w:after="0" w:line="180"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GuzmanGray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Audited financial statements of Double or Nothing, LLC as of and for the years ended December 31, 2023 and 2022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47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financial statements of Double or Nothing, LLC as of and for the nine months ended September 30, 2024 and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47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balance sheet as of September 30, 2024 and the unaudited pro forma condensed combined</w:t>
            </w: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520" w:type="dxa"/>
            <w:vAlign w:val="bottom"/>
            <w:gridSpan w:val="2"/>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 ended December 31, 2023 and for the nine months ended September 30, 2024</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giving effect to the acquisition of substantially all of the assets of Double or Nothing, LLC</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47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32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294005</wp:posOffset>
            </wp:positionV>
            <wp:extent cx="163703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hereby consent to the use of our report dated February 21, 2025, relating to the financial statements of the Double or Nothing, LLC as of and for the years ended December 31, 2023 and 2022 included in this Amended Current Report on Form 8-K/A of Agrify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DOUBLE OR NOTHING,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2505710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DOUBLE OR NOTHING, LLC</w:t>
            </w:r>
          </w:p>
        </w:tc>
        <w:tc>
          <w:tcPr>
            <w:tcW w:w="24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24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6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24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24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87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246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216"/>
        </w:trPr>
        <w:tc>
          <w:tcPr>
            <w:tcW w:w="87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46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86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246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60" w:type="dxa"/>
            <w:vAlign w:val="bottom"/>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246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86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CHANGES IN MEMBERS’ EQUITY</w:t>
            </w:r>
          </w:p>
        </w:tc>
        <w:tc>
          <w:tcPr>
            <w:tcW w:w="246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60" w:type="dxa"/>
            <w:vAlign w:val="bottom"/>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STATEMENTS OF CASH FLOWS</w:t>
            </w:r>
          </w:p>
        </w:tc>
        <w:tc>
          <w:tcPr>
            <w:tcW w:w="6020" w:type="dxa"/>
            <w:vAlign w:val="bottom"/>
            <w:tcBorders>
              <w:bottom w:val="single" w:sz="8" w:color="CCEEFF"/>
            </w:tcBorders>
            <w:gridSpan w:val="4"/>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160" w:type="dxa"/>
            <w:vAlign w:val="bottom"/>
          </w:tcPr>
          <w:p>
            <w:pPr>
              <w:spacing w:after="0"/>
              <w:rPr>
                <w:sz w:val="15"/>
                <w:szCs w:val="15"/>
                <w:color w:val="auto"/>
              </w:rPr>
            </w:pPr>
          </w:p>
        </w:tc>
        <w:tc>
          <w:tcPr>
            <w:tcW w:w="86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246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54605"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554605" cy="506095"/>
                    </a:xfrm>
                    <a:prstGeom prst="rect">
                      <a:avLst/>
                    </a:prstGeom>
                    <a:noFill/>
                  </pic:spPr>
                </pic:pic>
              </a:graphicData>
            </a:graphic>
          </wp:anchor>
        </w:drawing>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Helena, 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financial statements of Double or Nothing, LLC (a California corporation) (hereinafter referred to as the “Company”), which comprise the balance sheets as of December 31, 2023 and 2022, and the related statements of operations, changes in members’ equity, and cash flows for the years then ended, and the related notes to the financial statements.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2023 and 2022,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3200 Bristol Street, Suite 640, Costa Mesa, CA 92626</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52"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202" w:lineRule="exact"/>
        <w:rPr>
          <w:rFonts w:ascii="Times New Roman" w:cs="Times New Roman" w:eastAsia="Times New Roman" w:hAnsi="Times New Roman"/>
          <w:sz w:val="18"/>
          <w:szCs w:val="18"/>
          <w:color w:val="auto"/>
        </w:rPr>
      </w:pPr>
    </w:p>
    <w:p>
      <w:pPr>
        <w:ind w:left="660" w:right="14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187,181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139,388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21,883</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383,810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114,249</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32,811</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17,742</w:t>
            </w: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60,691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Members’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661,437</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(806,226)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(597,741)</w:t>
            </w: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383,810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114,249</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4440"/>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82,014</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600,722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323,757</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74,609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169,844</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(208,485)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(411,587)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Members’</w:t>
            </w: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437,086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437,086</w:t>
            </w: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(411,587)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(411,587)</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661,437</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(597,741)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63,696</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467,908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467,908</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(208,485)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(208,485)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1,129,345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(806,226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(208,485)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(411,587)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(138,428)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(48,753)</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(117,505)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(32,811)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32,811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42,949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(458,055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(393,473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contributions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467,908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437,086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467,908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437,086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9,853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43,613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43,613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53,466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43,613</w:t>
            </w:r>
          </w:p>
        </w:tc>
        <w:tc>
          <w:tcPr>
            <w:tcW w:w="8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Double or Nothing, LLC (the “Company”) is headquartered in St. Helena, California. The Company’s products include premium hemp-derived THC margarita flavored beverages. The Company utilizes manufacturing partners for production of its products which are sold in select markets in the United States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These financial statements were prepared in accordance with accounting principles generally accepted in the United States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Company’s financial statements requires the use of estimates and assumptions that affect the reported amounts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liabilities, revenue, and expenses. Significant estimates include the valuation of inventory. Although these estimates are based on the Company’s knowledge of current events and expectations of future outcomes, actual results may differ.</w:t>
      </w:r>
    </w:p>
    <w:p>
      <w:pPr>
        <w:spacing w:after="0" w:line="1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Company maintains its cash in a bank deposit account, which at times may exceed federally insured limits. The Company has not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losses in such accounts. The Company believes it is not exposed to any significant credit risk on its cash.</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Accounts receivable as of December 31, 2023, and 2022, totaled $187,181 and $48,753, respectively. As of December 31, 2023,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accounts receivable balance was due from one customer. This customer is the Company’s primary manufacturing partner, that purchases inventory from the Company for sale to beverage distributors. As of December 31, 2022, the entire accounts receivable balance was attributable to the Company’s primary manufacturing partner. Based on management’s assessment, the Company determined that no allowance for credit losses was necessary as of December 31, 2023 and 2022.</w:t>
      </w:r>
    </w:p>
    <w:p>
      <w:pPr>
        <w:spacing w:after="0" w:line="18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Inventory is valued at the lower of cost or net realizable value, using the specific identification method. Inventory consists of raw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finished goods in the form of bottled beverages. The Company adjusts the carrying value of inventory if it is determined that it does not meet the criteria for sale to customers.</w:t>
      </w:r>
    </w:p>
    <w:p>
      <w:pPr>
        <w:spacing w:after="0" w:line="17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Insurance: </w:t>
      </w:r>
      <w:r>
        <w:rPr>
          <w:rFonts w:ascii="Times New Roman" w:cs="Times New Roman" w:eastAsia="Times New Roman" w:hAnsi="Times New Roman"/>
          <w:sz w:val="18"/>
          <w:szCs w:val="18"/>
          <w:color w:val="auto"/>
        </w:rPr>
        <w:t>Prepaid insurance represents the unexpired portion of insurance premiums paid in advance. These amounts are amortized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policy periods which are less than one year.</w:t>
      </w:r>
    </w:p>
    <w:p>
      <w:pPr>
        <w:spacing w:after="0" w:line="158"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Accounts payable represent amounts owed to vendors and service providers for goods received and services rendered,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invoices have been received. These balances reflect obligations directly attributable to the Company’s operations. As of December 31, 2022, the entire balance of accounts payable was due to the Company’s primary manufacturing partner.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Accrued expenses represent expenses incurred but not yet paid. These liabilities are directly attributable to the Company’s operations.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is recognized in accordance with Accounting Standards Update 2014-09,</w:t>
      </w:r>
      <w:r>
        <w:rPr>
          <w:rFonts w:ascii="Times New Roman" w:cs="Times New Roman" w:eastAsia="Times New Roman" w:hAnsi="Times New Roman"/>
          <w:sz w:val="18"/>
          <w:szCs w:val="18"/>
          <w:i w:val="1"/>
          <w:iCs w:val="1"/>
          <w:color w:val="auto"/>
        </w:rPr>
        <w:t xml:space="preserve"> Revenue from Contracts with Customers (Topic 606)</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transfer of control of goods to customers in amounts that represent the consideration the Company expects to receive. Revenue is primarily derived from sales of beverages and is recognized at a point in time, typically upon transfer of ownership to customers. The majority of the Company’s revenue is related to one customer, the Company’s primary manufacturing partner, that purchase inventory for resale to beverage distributors in Canada. This customer accounted for 95% and 100% of revenue in the years ended December 31, 2023 and 2022, respectively.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reflects all direct expenses incurred in producing the Company’s beverages. This includes costs for raw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services, and other professional services related to production.</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a Limited Liability Company and has elected to be treated as a Partnership under the provisions of the Internal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whereby income is passed through to the individual members and reported on each members personal income tax return. Under the election, the Company does not pay any federal or state income taxes. Accordingly, no provisions for income taxes have been made in the accompanying financial statements. If it is probable that an uncertain tax position will result in a material liability and the amount of the liability can be estimated, then the estimated liability is accrued. If the Company were to incur any income tax liability in the future, interest on any income tax liability would be reported as interest expense, and penalties on any income tax would be reported as income tax expense. As of December 31, 2023 and 2022, management believes there were no uncertain tax positions.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INVENTORY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is composed of the following as of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139,388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21,883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material commitments or contingencies as of December 31, 2023 and 2022, beyond normal operating obligations.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evaluated legal and contractual obligations, including any potential litigation, long-term purchase commitments, and guarantees, and determined that no additional disclosures or liabilities are required. The Company operates in a regulated industry and actively monitors compliance with applicable laws and regulations and to ensure proper recognition and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February 21, 2025, the date these financial statements were available to be issued.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6, 2024, the Company executed a promissory note with Agrify Corporation (“Agrify”). The promissory note allowed for draws up to $1.0 million and charged an interest rate of approximately 4% with all principal and interest due on March 31, 2025. The amount drawn on this promissory note was $0.4 million as of December 12, 2024. On December 12, 2024, certain assets of the Company including intellectual property and inventory were acquired by Agrify in exchange for 97, 300 shares of Agrify common stock and 432,700 pre-funded warrants with a fair value of approximately $18.8 million and $0.4 million of assumed liabilities in the form of the promissory note balance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DOUBLE OR NOTHING,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INTERIM FINANCIAL STATEMENTS</w:t>
      </w: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1116965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96"/>
        </w:trPr>
        <w:tc>
          <w:tcPr>
            <w:tcW w:w="45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ACCOUNTANT’S REVIEW REPORT</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r>
      <w:tr>
        <w:trPr>
          <w:trHeight w:val="216"/>
        </w:trPr>
        <w:tc>
          <w:tcPr>
            <w:tcW w:w="4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44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44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44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CHANGES IN MEMBERS’ EQUITY</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44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6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44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417445" cy="368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417445" cy="3689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ACCOUNTANT’S REVIEW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Helena, CA</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financial statements of Double or Nothing, LLC (a California corporation) (hereinafter referred to as the “Company”) which comprise the balance sheets as of September 30, 2024 and 2023, and the related statements of operations, changes in members’ equity and cash flows for the nine months ended September 30, 2024 and 2023, and the related notes to the financial statements. A review includes primarily applying analytical procedures to management’s financial data and making inquiries of management. A review is substantially less in scope than an audit, the objective of which is the expression of an opinion regarding the financial statements as a whole. Accordingly, we do not express such an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Accountant’s Responsibility</w:t>
      </w:r>
    </w:p>
    <w:p>
      <w:pPr>
        <w:spacing w:after="0" w:line="229"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Our responsibility is to conduct the review engagements in accordance with Statements on Standards for Accounting and Review Services promulgated by the Accounting and Review Services Committee of the AICPA. Those standards require us to perform procedures to obtain limited assurance as a basis for reporting whether we are aware of any material modifications that should be made to the financial statements for them to be in accordance with accounting principles generally accepted in the United States of America. We believe that the results of our procedures provide a reasonable basis for our conclusion.</w:t>
      </w:r>
    </w:p>
    <w:p>
      <w:pPr>
        <w:spacing w:after="0" w:line="16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required to be independent of the Company and to meet our other ethical responsibilities, in accordance with the relevant ethical requirements related to our review.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Accountant’s Conclusion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our reviews, we are not aware of any material modifications that should be made to the accompanying financial statements in order for them to be in accordance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3200 Bristol Street, Suite 640, Costa Mesa, CA 92626</w:t>
      </w:r>
    </w:p>
    <w:p>
      <w:pPr>
        <w:sectPr>
          <w:pgSz w:w="11900" w:h="16838" w:orient="portrait"/>
          <w:cols w:equalWidth="0" w:num="1">
            <w:col w:w="11240"/>
          </w:cols>
          <w:pgMar w:left="320" w:top="1440"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84,768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256,926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141,381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360,337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116,428</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w:t>
            </w:r>
          </w:p>
        </w:tc>
        <w:tc>
          <w:tcPr>
            <w:tcW w:w="80" w:type="dxa"/>
            <w:vAlign w:val="bottom"/>
          </w:tcPr>
          <w:p>
            <w:pPr>
              <w:spacing w:after="0"/>
              <w:rPr>
                <w:sz w:val="19"/>
                <w:szCs w:val="19"/>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673,383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347,768</w:t>
            </w:r>
          </w:p>
        </w:tc>
        <w:tc>
          <w:tcPr>
            <w:tcW w:w="80" w:type="dxa"/>
            <w:vAlign w:val="bottom"/>
            <w:shd w:val="clear" w:color="auto" w:fill="CCEEFF"/>
          </w:tcPr>
          <w:p>
            <w:pPr>
              <w:spacing w:after="0"/>
              <w:rPr>
                <w:sz w:val="20"/>
                <w:szCs w:val="20"/>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65,744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65,744</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Pr>
          <w:p>
            <w:pPr>
              <w:spacing w:after="0"/>
              <w:rPr>
                <w:sz w:val="19"/>
                <w:szCs w:val="19"/>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Members’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1,358,345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1,128,344</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(750,706)</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(792,446)</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607,639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335,898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673,383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347,768</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accompanying notes to financial statements and independent accountant’s review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4340"/>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803,523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350,559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662,003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478,353</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66,911</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55,520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(194,705)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 and independent accountant’s review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Members’</w:t>
            </w: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1,129,345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7"/>
              </w:rPr>
              <w:t>(806,226)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229,000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229,000</w:t>
            </w:r>
          </w:p>
        </w:tc>
        <w:tc>
          <w:tcPr>
            <w:tcW w:w="80" w:type="dxa"/>
            <w:vAlign w:val="bottom"/>
          </w:tcPr>
          <w:p>
            <w:pPr>
              <w:spacing w:after="0"/>
              <w:rPr>
                <w:sz w:val="18"/>
                <w:szCs w:val="18"/>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55,520</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55,520</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1,358,345</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ind w:left="260"/>
              <w:spacing w:after="0" w:line="203" w:lineRule="exact"/>
              <w:rPr>
                <w:sz w:val="20"/>
                <w:szCs w:val="20"/>
                <w:color w:val="auto"/>
              </w:rPr>
            </w:pPr>
            <w:r>
              <w:rPr>
                <w:rFonts w:ascii="Times New Roman" w:cs="Times New Roman" w:eastAsia="Times New Roman" w:hAnsi="Times New Roman"/>
                <w:sz w:val="18"/>
                <w:szCs w:val="18"/>
                <w:b w:val="1"/>
                <w:bCs w:val="1"/>
                <w:color w:val="auto"/>
                <w:w w:val="96"/>
              </w:rPr>
              <w:t>(750,706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607,639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661,437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(597,741)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63,696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466,907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466,907</w:t>
            </w:r>
          </w:p>
        </w:tc>
        <w:tc>
          <w:tcPr>
            <w:tcW w:w="80" w:type="dxa"/>
            <w:vAlign w:val="bottom"/>
          </w:tcPr>
          <w:p>
            <w:pPr>
              <w:spacing w:after="0"/>
              <w:rPr>
                <w:sz w:val="18"/>
                <w:szCs w:val="18"/>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(194,705)</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(194,705)</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1,128,344</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ind w:left="260"/>
              <w:spacing w:after="0" w:line="203" w:lineRule="exact"/>
              <w:rPr>
                <w:sz w:val="20"/>
                <w:szCs w:val="20"/>
                <w:color w:val="auto"/>
              </w:rPr>
            </w:pPr>
            <w:r>
              <w:rPr>
                <w:rFonts w:ascii="Times New Roman" w:cs="Times New Roman" w:eastAsia="Times New Roman" w:hAnsi="Times New Roman"/>
                <w:sz w:val="18"/>
                <w:szCs w:val="18"/>
                <w:b w:val="1"/>
                <w:bCs w:val="1"/>
                <w:color w:val="auto"/>
                <w:w w:val="96"/>
              </w:rPr>
              <w:t>(792,446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335,898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 and independent accountant’s review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(194,705)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(69,745)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(92,627)</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(220,949)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(94,544)</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(5,191)</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(32,811)</w:t>
            </w:r>
          </w:p>
        </w:tc>
      </w:tr>
      <w:tr>
        <w:trPr>
          <w:trHeight w:val="23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5,053</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(5,874)</w:t>
            </w: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(230,691)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(425,752)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contributions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229,000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466,907</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229,000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466,907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41,155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53,466</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43,613</w:t>
            </w:r>
          </w:p>
        </w:tc>
        <w:tc>
          <w:tcPr>
            <w:tcW w:w="80" w:type="dxa"/>
            <w:vAlign w:val="bottom"/>
          </w:tcPr>
          <w:p>
            <w:pPr>
              <w:spacing w:after="0"/>
              <w:rPr>
                <w:sz w:val="19"/>
                <w:szCs w:val="19"/>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51,775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84,768</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 and independent accountant’s review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AND 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Double or Nothing, LLC (the “Company”) is headquartered in St. Helena, California. The Company’s products include premium hemp-derived THC margarita flavored beverages. The Company utilizes manufacturing partners for production of its products which are sold in select markets in the United States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These financial statements were prepared in accordance with accounting principles generally accepted in the United States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Company’s financial statements requires the use of estimates and assumptions that affect the reported amounts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liabilities, revenue, and expenses. Significant estimates include the valuation of inventory. Although these estimates are based on the Company’s knowledge of current events and expectations of future outcomes, actual results may differ.</w:t>
      </w:r>
    </w:p>
    <w:p>
      <w:pPr>
        <w:spacing w:after="0" w:line="17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Company maintains its cash in a bank deposit account, which at times may exceed federally insured limits. The Company has not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losses in such accounts. The Company believes it is not exposed to any significant credit risk on its cash.</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Accounts receivable as of September 30, 2024 and 2023, totaled $256,926 and $141,381, respectively. As of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of the Company’s accounts receivable balance was due from one customer. This customer is the Company’s primary manufacturing partner, that purchases inventory from the Company for sale to beverage distributors. As of September 30, 2024, three other customers represented at least 10% of the Company’s accounts receivable. As of September 30, 2023, 91% of the Company’s accounts receivable balance was attributable to the Company’s primary manufacturing partner. Based on management’s assessment, the Company determined that no allowance for credit losses was necessary as of September 30, 2024 and 2023.</w:t>
      </w:r>
    </w:p>
    <w:p>
      <w:pPr>
        <w:spacing w:after="0" w:line="18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Inventory is valued at the lower of cost or net realizable value, using the specific identification method. Inventory consists of raw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finished goods in the form of bottled beverages. The Company adjusts the carrying value of inventory if it is determined that it does not meet the criteria for sale to customers.</w:t>
      </w:r>
    </w:p>
    <w:p>
      <w:pPr>
        <w:spacing w:after="0" w:line="17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Insurance: </w:t>
      </w:r>
      <w:r>
        <w:rPr>
          <w:rFonts w:ascii="Times New Roman" w:cs="Times New Roman" w:eastAsia="Times New Roman" w:hAnsi="Times New Roman"/>
          <w:sz w:val="18"/>
          <w:szCs w:val="18"/>
          <w:color w:val="auto"/>
        </w:rPr>
        <w:t>Prepaid insurance represents the unexpired portion of insurance premiums paid in advance. These amounts are amortized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policy periods which are less than one year.</w:t>
      </w:r>
    </w:p>
    <w:p>
      <w:pPr>
        <w:spacing w:after="0" w:line="15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Accounts payable represent amounts owed to vendors and service providers for goods received and services rendered,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invoices have been received. These balances reflect obligations directly attributable to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Accrued expenses represent expenses incurred but not yet paid. These liabilities are directly attributable to the Company’s operations.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is recognized in accordance with Accounting Standards Update 2014-09,</w:t>
      </w:r>
      <w:r>
        <w:rPr>
          <w:rFonts w:ascii="Times New Roman" w:cs="Times New Roman" w:eastAsia="Times New Roman" w:hAnsi="Times New Roman"/>
          <w:sz w:val="18"/>
          <w:szCs w:val="18"/>
          <w:i w:val="1"/>
          <w:iCs w:val="1"/>
          <w:color w:val="auto"/>
        </w:rPr>
        <w:t xml:space="preserve"> Revenue from Contracts with Customers (Topic 606)</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transfer of control of goods to customers in amounts that represent the consideration the Company expects to receive. Revenue is primarily derived from sales of beverages and is recognized at a point in time, typically upon transfer of ownership to customers. The majority of the Company’s revenue is related to one customer, the Company’s primary manufacturing partner, that purchase inventory for resale to beverage distributors in Canada. This customer accounted for 62% and 90% of revenue in the nine months ended September 30, 2024 and 2023,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DOUBLE OR NOTHING,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AND 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reflects all direct expenses incurred in producing the Company’s beverages. This includes costs for raw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services, and other professional services related to production.</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a Limited Liability Company and has elected to be treated as a Partnership under the provisions of the Internal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whereby income is passed through to the individual members and reported on each members personal income tax return. Under the election, the Company does not pay any federal or state income taxes. Accordingly, no provisions for income taxes have been made in the accompanying financial statements. If it is probable that an uncertain tax position will result in a material liability and the amount of the liability can be estimated, then the estimated liability is accrued. If the Company were to incur any income tax liability in the future, interest on any income tax liability would be reported as interest expense, and penalties on any income tax would be reported as income tax expense. As of September 30, 2024 and 2023, management believes there were no uncertain tax positions.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Inventory is composed of the following as of:</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79,813</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material commitments or contingencies as of September 30, 2024 and 2023, beyond normal operating obligations.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evaluated legal and contractual obligations, including any potential litigation, long-term purchase commitments, and guarantees, and determined that no additional disclosures or liabilities are required. The Company operates in a regulated industry and actively monitors compliance with applicable laws and regulations and to ensure proper recognition and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February 21, 2025, the date these financial statements were available to be issued.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6, 2024, the Company executed a promissory note with Agrify Corporation (“Agrify”). The promissory note allowed for draws up to $1.0 million and charged an interest rate of approximately 4% with all principal and interest due on March 31, 2025. The amount drawn on this promissory note was $0.4 million as of December 12, 2024. On December 12, 2024, certain assets of the Company including intellectual property and inventory were acquired by Agrify in exchange for 97,300 shares of Agrify common stock and 432,700 pre-funded warrants with a fair value of approximately $18.8 million and $0.4 million of assumed liabilities in the form of the promissory note balance outstanding.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 OF AGRIFY AND DOUBLE OR NOTHING</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December 12, 2024, Agrify Corporation (“Agrify”) completed its acquisition of substantially all of the assets of Double or Nothing, LLC (“Double or Nothing”) pursuant to an Asset Purchase Agreement (the “Purchase Agreement”) and (the “Transaction”). Pursuant to the terms of the Purchase Agreement, the consideration exchanged consisted of 97,300 shares of Agrify common stock as well as pre-funded warrants to acquire up to 432,700 shares of Agrify common stock, (collectively the “Shares”), and forgiveness of $0.4 million in debt for total consideration of approximately $19.2 million. The fair value of the Shares was based on the closing price of Agrify’s common stock as traded on NASDAQ at the date of the transaction. Double or Nothing is the owner and creator of the Senorita brand of hemp-derived THC (“HD9”) drinks and the purchase of these assets are part of the Company’s strategic plan to reposition itself as a distributor of hemp-derived THC beverages (and similar products).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(the “pro forma financial statements”) are based on the historical consolidated financial statements of Agrify and Double or Nothing, as adjusted to give effect to the Transaction which closed on December 12, 2024. The unaudited pro forma condensed combined balance sheet as of September 30, 2024 (the “pro forma balance sheet”) gives effect to the Transaction as if it had occurred on September 30, 2024. The unaudited pro forma condensed combined statements of operations and comprehensive loss for the nine months ended September 30, 2024 and for the year ended December 31, 2023 (the “pro forma statements of operations”) give effect to the Transaction as if it had occurred on January 1, 2023.</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information was prepared in accordance with Article 11 of Regulation S-X. The pro forma adjustments are based on available information and assumptions that we believe are reasonable. Included in the pro forma financial information is an estimate of the consideration exchanged for substantially all of the assets of Double or Nothing which is based on known information and preliminary estimates of fair value for certain equity instruments. While this is our best estimate at this time, the valuation of these amounts is still in progress and subject to change. All estimates and assumptions included in these pro forma statements could change significantly as we finalize our assessment of the allocation and fair value of the net tangible and intangible assets acquired, most of which are dependent on the completion of valuations being performed by independent valuation specialists and expected to change significantly as these valuations are completed and recorded. The unaudited pro forma financial information does not include adjustments to reflect any synergies or dis-synergies, any future operating efficiencies, associated costs savings or any possible integration costs that may occur related to the Transaction. Actual results may be materially different than the pro forma information presented herein.</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do not necessarily reflect what the combined company’s financial condition or results of operations would have been had the Transaction occurred on the dates indicated. They also may not be useful in predicting the future financial condition and results of operations of the combined company. The actual financial condition and results of operations of the combined company may differ significantly from the pro forma amounts reflected herein due to a variety of factors, including differences in accounting policies, elections, and estimates, which while accounted for to the extent known, are still in process of being determined.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Acquisition of Substantially All Assets of Double or Nothing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 Forma Balance Sheet as of September 30, 2024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Agrify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Double or</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Nothing,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Ref</w:t>
            </w:r>
          </w:p>
        </w:tc>
        <w:tc>
          <w:tcPr>
            <w:tcW w:w="12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 (b)</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current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proprietary recipes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6,100</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12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8,629</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 (d)</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2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8,439</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38,952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8,629</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of Substantially All Assets of Double or Nothing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 Forma Income Statement as of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Agrify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Double or</w:t>
            </w:r>
          </w:p>
        </w:tc>
        <w:tc>
          <w:tcPr>
            <w:tcW w:w="1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0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Nothing, LLC.</w:t>
            </w:r>
          </w:p>
        </w:tc>
        <w:tc>
          <w:tcPr>
            <w:tcW w:w="13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6,601</w:t>
            </w:r>
          </w:p>
        </w:tc>
      </w:tr>
      <w:tr>
        <w:trPr>
          <w:trHeight w:val="223"/>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1,125</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12,141</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3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8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w:t>
            </w:r>
          </w:p>
        </w:tc>
        <w:tc>
          <w:tcPr>
            <w:tcW w:w="220" w:type="dxa"/>
            <w:vAlign w:val="bottom"/>
            <w:tcBorders>
              <w:bottom w:val="single" w:sz="8" w:color="CCEEFF"/>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169</w:t>
            </w:r>
          </w:p>
        </w:tc>
      </w:tr>
      <w:tr>
        <w:trPr>
          <w:trHeight w:val="23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8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w:t>
            </w:r>
          </w:p>
        </w:tc>
        <w:tc>
          <w:tcPr>
            <w:tcW w:w="220" w:type="dxa"/>
            <w:vAlign w:val="bottom"/>
            <w:tcBorders>
              <w:bottom w:val="single" w:sz="8" w:color="CCEEFF"/>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shareholders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shareholders - basic and 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16"/>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1,033,582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97,300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1,130,882</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of Substantially All Assets of Double or Nothing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 Forma Income Statement as of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Agrify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Double or</w:t>
            </w:r>
          </w:p>
        </w:tc>
        <w:tc>
          <w:tcPr>
            <w:tcW w:w="1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0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Nothing, LLC.</w:t>
            </w:r>
          </w:p>
        </w:tc>
        <w:tc>
          <w:tcPr>
            <w:tcW w:w="13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16,868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17,288</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12,146</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24,713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(18,978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(1,502</w:t>
            </w:r>
          </w:p>
        </w:tc>
        <w:tc>
          <w:tcPr>
            <w:tcW w:w="220" w:type="dxa"/>
            <w:vAlign w:val="bottom"/>
            <w:tcBorders>
              <w:bottom w:val="single" w:sz="8" w:color="CCEEFF"/>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(20,688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1"/>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shareholders</w:t>
            </w: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8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4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2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shareholders - basic and 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1,490,871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97,300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1,588,171</w:t>
            </w:r>
          </w:p>
        </w:tc>
        <w:tc>
          <w:tcPr>
            <w:tcW w:w="0" w:type="dxa"/>
            <w:vAlign w:val="bottom"/>
          </w:tcPr>
          <w:p>
            <w:pPr>
              <w:spacing w:after="0"/>
              <w:rPr>
                <w:sz w:val="1"/>
                <w:szCs w:val="1"/>
                <w:color w:val="auto"/>
              </w:rPr>
            </w:pPr>
          </w:p>
        </w:tc>
      </w:tr>
      <w:tr>
        <w:trPr>
          <w:trHeight w:val="410"/>
        </w:trPr>
        <w:tc>
          <w:tcPr>
            <w:tcW w:w="9020" w:type="dxa"/>
            <w:vAlign w:val="bottom"/>
            <w:gridSpan w:val="12"/>
          </w:tcPr>
          <w:p>
            <w:pPr>
              <w:ind w:left="2340"/>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4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8" w:name="page29"/>
    <w:bookmarkEnd w:id="28"/>
    <w:p>
      <w:pPr>
        <w:ind w:left="148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represent the combined company’s (Agrify and Double or Nothing) unaudited pro forma condensed combined balance sheet as of September 30, 2024, and unaudited pro forma statements of operations for the nine months ended September 30, 2024 and the year ended December 31, 2023. The pro forma financial statements are based on the historical financial statements of Agrify and Double or Nothing, adjusted to give effect to the Transaction, and should be read in conjunction with the historical financial statements from which they are derived.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financial statements are presented in United States dollars (“USD”) and prepared in accordance with U.S. GAAP.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 forma balance sheet gives effect to the Transaction as if it had occurred on September 30, 2024. The pro forma statements of operations give effect to the Transaction as if it had occurred on January 1, 2023.</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preparing the unaudited pro forma balance sheet and statements of operations in accordance with U.S. GAAP, the following historical information was used:</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Agrify’s Quarterly Report filed on Form 10-Q as of and for the period ended September 30,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Agrify’s Annual Report filed on Form 10-K as of and for the year ended December 31,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of Nothing’s unaudited financial statements as of and for the nine months ended September 30,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or Nothing’s audited financial statements as of and for the year ended December 31, 2023.</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unaudited pro forma balance sheet and statements of operations should be read in conjunction with the historical financial statements including the notes thereto, as listed above, which are incorporated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prepared for illustrative purposes only and may not be indicative of the operating results or financial condition that would have been achieved if the Transaction had been completed on the dates or for the periods presented, nor do they purport to project the results of operations or financial position for any future period or as of any future date. The actual financial position and results of operations may differ materially from the pro forma amounts reflected herein due to a variety of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financial statements do not reflect operational and administrative cost savings that may be achieved as a result of the Transaction.</w:t>
      </w:r>
    </w:p>
    <w:p>
      <w:pPr>
        <w:spacing w:after="0" w:line="221" w:lineRule="exact"/>
        <w:rPr>
          <w:sz w:val="20"/>
          <w:szCs w:val="20"/>
          <w:color w:val="auto"/>
        </w:rPr>
      </w:pPr>
    </w:p>
    <w:p>
      <w:pPr>
        <w:ind w:right="9080" w:firstLine="8"/>
        <w:spacing w:after="0" w:line="532"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 forma Adjustments Balance Sheet Adjustments</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adjustments have been made to the pro forma balance sheet. These adjustments reflect only preliminary purchase accounting estimates as of September 30, 2024. Fair value assessment and valuations have not yet been completed and alignment of accounting policies is still in progress and are therefore not reflected herein.</w:t>
      </w:r>
    </w:p>
    <w:p>
      <w:pPr>
        <w:spacing w:after="0" w:line="176" w:lineRule="exact"/>
        <w:rPr>
          <w:sz w:val="20"/>
          <w:szCs w:val="20"/>
          <w:color w:val="auto"/>
        </w:rPr>
      </w:pPr>
    </w:p>
    <w:p>
      <w:pPr>
        <w:ind w:left="660" w:right="2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assets and liabilities that were not acquired as part of the acquisition of substantially all of the assets of Double or Nothing.</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purchase accounting adjustment to record the estimated adjustment to reflect inventory acquired at fair value.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purchase accounting adjustment to record the estimated fair value of intangible assets acquired.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accrual of transaction expenses of approximately $0.3 million.</w:t>
      </w:r>
    </w:p>
    <w:p>
      <w:pPr>
        <w:spacing w:after="0" w:line="252"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issuance of 97,300 shares of acquirer’s common stock as consideration for a fair value of $331 and the issuance of 432,700 pre-funded warrants to purchase acquirer’s common stock with a fair value of $1,471. The estimated fair value of the shares and warrants on September 30, 2024 would have been $1.8 million at a $3.41 per share closing price. The actual closing stock price on December 12th, 2024 (the actual closing date), was $35.54 making the fair value of the shares and warrants $18.8 million. The estimated fair value of assets on September 30, 2024 would have exceeded the fair value of consideration on that date, generating a $7.5 million bargain purchase gain. Due to the substantial increase in the acquirer’s stock price, no bargain purchase gain is expected to be recognized in the subsequent income statement after closing. These amounts are offset by the elimination of Double or Nothing’s historical equity.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 Adjustments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following adjustments have been made to the pro forma condensed combined statements of operations and comprehensive loss. These adjustments reflect only preliminary accounting policy and estimates alignment. Fair value assessment and valuations have not yet been completed and alignment of accounting policies is still in progress and are therefore not fully reflected here.</w:t>
      </w:r>
    </w:p>
    <w:p>
      <w:pPr>
        <w:spacing w:after="0" w:line="176" w:lineRule="exact"/>
        <w:rPr>
          <w:sz w:val="20"/>
          <w:szCs w:val="20"/>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revenues and expenses not attributable to the assets and operations acquired from Double or Nothing.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amortization related to acquired intangible assets.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issued as part of purchase consideration. Periods presented have been adjusted to retroactively reflect the 1-for-20 reverse stock split on July 5, 2023, and for the 1-for-15 reverse stock split on October 8, 2024. Additional information regarding reverse stock splits may be found in Note 1 – Overview, Basis of Presentation, and Significant Accounting Policies of the Company’s Form 10-Q for the quarterly period ended September 30, 2024 filed with the SEC on November 14, 2024.</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Purchase Price Allocation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Agrify is the legal acquirer, and pursuant to the Purchase Agreement consideration exchange consisted of 97,300 shares of Agrify common stock as well as 432,700 of pre-funded warrants. Acquisition consideration also included forgiveness of $0.4 million in liabilities, which are not included in the pro forma consideration estimate as the liability was not incurred until December 2024. Estimated pro forma consideration of $1.8 million is based on Agrify’s closing share price of $3.41 on September 30, 2024 (the effective share price as if the transaction closed on September 30, 2024). On the transaction date of December 12, 2024, the fair value of the consideration was $18.8 million for the shares and warrants (based on Agrify’s closing share price of $35.54) as well as the forgiveness of liabilities for total fair value of consideration exchanged of $19.2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the estimated pro forma consideration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97,300 shares of Agrify common stock</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432,700 pre-funded warrants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consideration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Following is a preliminary estimate of the purchase price allocation for the transaction. There are significant items not reflected herein as they are still in process. These open items include fair value adjustments, further alignment of accounting principles, estimates and methodologies, and evaluation of contingencies. Amounts are expected to change substantially in the final purchase price allocation.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4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97,300 shares of Agrify common stock</w:t>
            </w:r>
          </w:p>
        </w:tc>
        <w:tc>
          <w:tcPr>
            <w:tcW w:w="5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432,700 pre-funded warrants</w:t>
            </w:r>
          </w:p>
        </w:tc>
        <w:tc>
          <w:tcPr>
            <w:tcW w:w="48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fair value of consideration exchanged</w:t>
            </w:r>
          </w:p>
        </w:tc>
        <w:tc>
          <w:tcPr>
            <w:tcW w:w="4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w:t>
            </w:r>
          </w:p>
        </w:tc>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20" w:type="dxa"/>
            <w:vAlign w:val="bottom"/>
            <w:vMerge w:val="continue"/>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5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Tradenames and propriety recipes</w:t>
            </w: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48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consideration in excess of identified assets acquired</w:t>
            </w:r>
          </w:p>
        </w:tc>
        <w:tc>
          <w:tcPr>
            <w:tcW w:w="4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5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jc w:val="right"/>
              <w:ind w:right="427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6"/>
    </w:lvl>
  </w:abstractNum>
  <w:abstractNum w:abstractNumId="8">
    <w:nsid w:val="5BD062C2"/>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2025-02-25T16:12:43Z</dcterms:created>
  <dcterms:modified xsi:type="dcterms:W3CDTF">2025-02-25T16:12:43Z</dcterms:modified>
</cp:coreProperties>
</file>