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66" w:lineRule="exact"/>
        <w:rPr>
          <w:sz w:val="24"/>
          <w:szCs w:val="24"/>
          <w:color w:val="auto"/>
        </w:rPr>
      </w:pPr>
    </w:p>
    <w:p>
      <w:pPr>
        <w:ind w:left="3540"/>
        <w:spacing w:after="0"/>
        <w:rPr>
          <w:sz w:val="20"/>
          <w:szCs w:val="20"/>
          <w:color w:val="auto"/>
        </w:rPr>
      </w:pPr>
      <w:r>
        <w:rPr>
          <w:rFonts w:ascii="Arial" w:cs="Arial" w:eastAsia="Arial" w:hAnsi="Arial"/>
          <w:sz w:val="17"/>
          <w:szCs w:val="17"/>
          <w:b w:val="1"/>
          <w:bCs w:val="1"/>
          <w:color w:val="auto"/>
        </w:rPr>
        <w:t>______________________</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the Securities Exchange Act of 1934</w:t>
      </w:r>
    </w:p>
    <w:p>
      <w:pPr>
        <w:sectPr>
          <w:pgSz w:w="11900" w:h="16838" w:orient="portrait"/>
          <w:cols w:equalWidth="0" w:num="1">
            <w:col w:w="9019"/>
          </w:cols>
          <w:pgMar w:left="1440" w:top="540" w:right="1440" w:bottom="1440" w:gutter="0" w:footer="0" w:header="0"/>
        </w:sectPr>
      </w:pPr>
    </w:p>
    <w:p>
      <w:pPr>
        <w:spacing w:after="0" w:line="19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Filed by the Registrant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4" w:lineRule="exact"/>
        <w:rPr>
          <w:sz w:val="24"/>
          <w:szCs w:val="24"/>
          <w:color w:val="auto"/>
        </w:rPr>
      </w:pPr>
    </w:p>
    <w:p>
      <w:pPr>
        <w:sectPr>
          <w:pgSz w:w="11900" w:h="16838" w:orient="portrait"/>
          <w:cols w:equalWidth="0" w:num="2">
            <w:col w:w="3060" w:space="720"/>
            <w:col w:w="5239"/>
          </w:cols>
          <w:pgMar w:left="1440" w:top="540"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1" w:lineRule="exact"/>
        <w:rPr>
          <w:sz w:val="24"/>
          <w:szCs w:val="24"/>
          <w:color w:val="auto"/>
        </w:rPr>
      </w:pPr>
    </w:p>
    <w:p>
      <w:pPr>
        <w:sectPr>
          <w:pgSz w:w="11900" w:h="16838" w:orient="portrait"/>
          <w:cols w:equalWidth="0" w:num="2">
            <w:col w:w="3440" w:space="340"/>
            <w:col w:w="5239"/>
          </w:cols>
          <w:pgMar w:left="1440" w:top="540" w:right="1440" w:bottom="1440" w:gutter="0" w:footer="0" w:header="0"/>
          <w:type w:val="continuous"/>
        </w:sectPr>
      </w:pPr>
    </w:p>
    <w:p>
      <w:pPr>
        <w:spacing w:after="0" w:line="4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9019"/>
          </w:cols>
          <w:pgMar w:left="1440" w:top="540" w:right="1440" w:bottom="1440" w:gutter="0" w:footer="0" w:header="0"/>
          <w:type w:val="continuous"/>
        </w:sectPr>
      </w:pPr>
    </w:p>
    <w:p>
      <w:pPr>
        <w:spacing w:after="0" w:line="247"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4"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85"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Agrify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99" w:lineRule="exact"/>
        <w:rPr>
          <w:sz w:val="24"/>
          <w:szCs w:val="24"/>
          <w:color w:val="auto"/>
        </w:rPr>
      </w:pPr>
    </w:p>
    <w:p>
      <w:pPr>
        <w:ind w:left="1580"/>
        <w:spacing w:after="0"/>
        <w:rPr>
          <w:sz w:val="20"/>
          <w:szCs w:val="20"/>
          <w:color w:val="auto"/>
        </w:rPr>
      </w:pPr>
      <w:r>
        <w:rPr>
          <w:rFonts w:ascii="Arial" w:cs="Arial" w:eastAsia="Arial" w:hAnsi="Arial"/>
          <w:sz w:val="17"/>
          <w:szCs w:val="17"/>
          <w:b w:val="1"/>
          <w:bCs w:val="1"/>
          <w:color w:val="auto"/>
        </w:rPr>
        <w:t>___________________________________________________________________</w:t>
      </w:r>
    </w:p>
    <w:p>
      <w:pPr>
        <w:spacing w:after="0" w:line="32" w:lineRule="exact"/>
        <w:rPr>
          <w:sz w:val="24"/>
          <w:szCs w:val="24"/>
          <w:color w:val="auto"/>
        </w:rPr>
      </w:pPr>
    </w:p>
    <w:p>
      <w:pPr>
        <w:ind w:left="180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33"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84"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214630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255905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530225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 w:name="page2"/>
    <w:bookmarkEnd w:id="1"/>
    <w:p>
      <w:pPr>
        <w:ind w:left="580"/>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31115</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464185</wp:posOffset>
            </wp:positionV>
            <wp:extent cx="848360" cy="715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AGRIFY CORPORATION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MEETING OF STOCKHOLDERS</w:t>
      </w:r>
    </w:p>
    <w:p>
      <w:pPr>
        <w:spacing w:after="0" w:line="154"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______________________</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February 28, 2023</w:t>
      </w:r>
    </w:p>
    <w:p>
      <w:pPr>
        <w:spacing w:after="0" w:line="89"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______________________</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45720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303530</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type w:val="continuous"/>
        </w:sectPr>
      </w:pPr>
    </w:p>
    <w:bookmarkStart w:id="2" w:name="page3"/>
    <w:bookmarkEnd w:id="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149860</wp:posOffset>
            </wp:positionV>
            <wp:extent cx="848360" cy="715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February 6, 2023</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Dear Agrify Corporation Stockholder:</w:t>
      </w:r>
    </w:p>
    <w:p>
      <w:pPr>
        <w:spacing w:after="0" w:line="158" w:lineRule="exact"/>
        <w:rPr>
          <w:sz w:val="20"/>
          <w:szCs w:val="20"/>
          <w:color w:val="auto"/>
        </w:rPr>
      </w:pPr>
    </w:p>
    <w:p>
      <w:pPr>
        <w:ind w:left="580" w:right="699" w:firstLine="419"/>
        <w:spacing w:after="0" w:line="263" w:lineRule="auto"/>
        <w:rPr>
          <w:sz w:val="20"/>
          <w:szCs w:val="20"/>
          <w:color w:val="auto"/>
        </w:rPr>
      </w:pPr>
      <w:r>
        <w:rPr>
          <w:rFonts w:ascii="Arial" w:cs="Arial" w:eastAsia="Arial" w:hAnsi="Arial"/>
          <w:sz w:val="17"/>
          <w:szCs w:val="17"/>
          <w:color w:val="auto"/>
        </w:rPr>
        <w:t xml:space="preserve">On behalf of the Board of Directors, I am pleased to invite you to attend a Virtual Special Meeting of Stockholders of Agrify Corporation (“Agrify” or the “Company”) to be held on Tuesday, February 28, 2023, at 10:00 a.m. local time. To be admitted to the Special Meeting at </w:t>
      </w:r>
      <w:r>
        <w:rPr>
          <w:rFonts w:ascii="Arial" w:cs="Arial" w:eastAsia="Arial" w:hAnsi="Arial"/>
          <w:sz w:val="17"/>
          <w:szCs w:val="17"/>
          <w:i w:val="1"/>
          <w:iCs w:val="1"/>
          <w:color w:val="auto"/>
        </w:rPr>
        <w:t>www.virtualshareholdermeeting.com/AGFY2023SM</w:t>
      </w:r>
      <w:r>
        <w:rPr>
          <w:rFonts w:ascii="Arial" w:cs="Arial" w:eastAsia="Arial" w:hAnsi="Arial"/>
          <w:sz w:val="17"/>
          <w:szCs w:val="17"/>
          <w:color w:val="auto"/>
        </w:rPr>
        <w:t>, you must enter the control number found on your proxy</w:t>
      </w:r>
      <w:r>
        <w:rPr>
          <w:rFonts w:ascii="Arial" w:cs="Arial" w:eastAsia="Arial" w:hAnsi="Arial"/>
          <w:sz w:val="17"/>
          <w:szCs w:val="17"/>
          <w:i w:val="1"/>
          <w:iCs w:val="1"/>
          <w:color w:val="auto"/>
        </w:rPr>
        <w:t xml:space="preserve"> </w:t>
      </w:r>
      <w:r>
        <w:rPr>
          <w:rFonts w:ascii="Arial" w:cs="Arial" w:eastAsia="Arial" w:hAnsi="Arial"/>
          <w:sz w:val="17"/>
          <w:szCs w:val="17"/>
          <w:color w:val="auto"/>
        </w:rPr>
        <w:t>card, voting instruction form or notice you previously received. You may vote during the Special Meeting by following the instructions available on the meeting website during the meeting.</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At the meeting, you and the other stockholders will be asked to vote upon the following:</w:t>
      </w:r>
    </w:p>
    <w:p>
      <w:pPr>
        <w:spacing w:after="0" w:line="158" w:lineRule="exact"/>
        <w:rPr>
          <w:sz w:val="20"/>
          <w:szCs w:val="20"/>
          <w:color w:val="auto"/>
        </w:rPr>
      </w:pPr>
    </w:p>
    <w:p>
      <w:pPr>
        <w:ind w:left="1420" w:right="679" w:hanging="426"/>
        <w:spacing w:after="0" w:line="265" w:lineRule="auto"/>
        <w:tabs>
          <w:tab w:leader="none" w:pos="141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as contemplated by Nasdaq Listing Rule 5635, the issuance of up to 26,769,230 shares of the Company’s common stock, par value $0.001 per share (the “Common Stock”) upon the exercise of warrants of the Company (the “Warrants”) issued in connection with the Company’s public offering that closed on December 20, 2022, and to permit the reduction of the exercise price of those Warrants under certain circumstances;</w:t>
      </w:r>
    </w:p>
    <w:p>
      <w:pPr>
        <w:spacing w:after="0" w:line="112" w:lineRule="exact"/>
        <w:rPr>
          <w:rFonts w:ascii="Arial" w:cs="Arial" w:eastAsia="Arial" w:hAnsi="Arial"/>
          <w:sz w:val="17"/>
          <w:szCs w:val="17"/>
          <w:color w:val="auto"/>
        </w:rPr>
      </w:pPr>
    </w:p>
    <w:p>
      <w:pPr>
        <w:ind w:left="1420" w:right="839" w:hanging="426"/>
        <w:spacing w:after="0" w:line="325" w:lineRule="auto"/>
        <w:tabs>
          <w:tab w:leader="none" w:pos="1415" w:val="left"/>
        </w:tabs>
        <w:numPr>
          <w:ilvl w:val="0"/>
          <w:numId w:val="5"/>
        </w:numPr>
        <w:rPr>
          <w:rFonts w:ascii="Arial" w:cs="Arial" w:eastAsia="Arial" w:hAnsi="Arial"/>
          <w:sz w:val="15"/>
          <w:szCs w:val="15"/>
          <w:color w:val="auto"/>
        </w:rPr>
      </w:pPr>
      <w:r>
        <w:rPr>
          <w:rFonts w:ascii="Arial" w:cs="Arial" w:eastAsia="Arial" w:hAnsi="Arial"/>
          <w:sz w:val="15"/>
          <w:szCs w:val="15"/>
          <w:color w:val="auto"/>
        </w:rPr>
        <w:t>To approve an Amendment to the Company’s Articles of Incorporation to increase the number of authorized shares of Common Stock from 100,000,000 to 200,000,000, and to correspondingly increase the total authorized shares of stock from 103,000,000 to 203,000,000; and</w:t>
      </w:r>
    </w:p>
    <w:p>
      <w:pPr>
        <w:spacing w:after="0" w:line="58" w:lineRule="exact"/>
        <w:rPr>
          <w:rFonts w:ascii="Arial" w:cs="Arial" w:eastAsia="Arial" w:hAnsi="Arial"/>
          <w:sz w:val="15"/>
          <w:szCs w:val="15"/>
          <w:color w:val="auto"/>
        </w:rPr>
      </w:pPr>
    </w:p>
    <w:p>
      <w:pPr>
        <w:ind w:left="1420" w:right="639" w:hanging="426"/>
        <w:spacing w:after="0" w:line="273" w:lineRule="auto"/>
        <w:tabs>
          <w:tab w:leader="none" w:pos="1415"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consider and vote upon an adjournment of the Special Meeting in order to solicit additional proxies if there are not sufficient shares to be voted in favor of any of the foregoing proposals at the time of the Special Meeting.</w:t>
      </w:r>
    </w:p>
    <w:p>
      <w:pPr>
        <w:spacing w:after="0" w:line="106" w:lineRule="exact"/>
        <w:rPr>
          <w:sz w:val="20"/>
          <w:szCs w:val="20"/>
          <w:color w:val="auto"/>
        </w:rPr>
      </w:pPr>
    </w:p>
    <w:p>
      <w:pPr>
        <w:ind w:left="580" w:right="619" w:firstLine="419"/>
        <w:spacing w:after="0" w:line="273" w:lineRule="auto"/>
        <w:rPr>
          <w:sz w:val="20"/>
          <w:szCs w:val="20"/>
          <w:color w:val="auto"/>
        </w:rPr>
      </w:pPr>
      <w:r>
        <w:rPr>
          <w:rFonts w:ascii="Arial" w:cs="Arial" w:eastAsia="Arial" w:hAnsi="Arial"/>
          <w:sz w:val="17"/>
          <w:szCs w:val="17"/>
          <w:color w:val="auto"/>
        </w:rPr>
        <w:t>As of January 13, 2023, the Company had 20,740,977 shares of Common Stock outstanding. Only shareholders of record as of the close of business on January 13, 2023 are entitled to receive notice of, to attend, and to vote at, the Special Meeting.</w:t>
      </w:r>
    </w:p>
    <w:p>
      <w:pPr>
        <w:spacing w:after="0" w:line="106" w:lineRule="exact"/>
        <w:rPr>
          <w:sz w:val="20"/>
          <w:szCs w:val="20"/>
          <w:color w:val="auto"/>
        </w:rPr>
      </w:pPr>
    </w:p>
    <w:p>
      <w:pPr>
        <w:ind w:left="580" w:right="619" w:firstLine="419"/>
        <w:spacing w:after="0" w:line="285" w:lineRule="auto"/>
        <w:rPr>
          <w:sz w:val="20"/>
          <w:szCs w:val="20"/>
          <w:color w:val="auto"/>
        </w:rPr>
      </w:pPr>
      <w:r>
        <w:rPr>
          <w:rFonts w:ascii="Arial" w:cs="Arial" w:eastAsia="Arial" w:hAnsi="Arial"/>
          <w:sz w:val="16"/>
          <w:szCs w:val="16"/>
          <w:color w:val="auto"/>
        </w:rPr>
        <w:t xml:space="preserve">Whether or not you can attend the meeting, please read the attached proxy statement. When you have done so, please </w:t>
      </w:r>
      <w:r>
        <w:rPr>
          <w:rFonts w:ascii="Arial" w:cs="Arial" w:eastAsia="Arial" w:hAnsi="Arial"/>
          <w:sz w:val="16"/>
          <w:szCs w:val="16"/>
          <w:b w:val="1"/>
          <w:bCs w:val="1"/>
          <w:color w:val="auto"/>
        </w:rPr>
        <w:t>mark your vote on the proxy card</w:t>
      </w:r>
      <w:r>
        <w:rPr>
          <w:rFonts w:ascii="Arial" w:cs="Arial" w:eastAsia="Arial" w:hAnsi="Arial"/>
          <w:sz w:val="16"/>
          <w:szCs w:val="16"/>
          <w:color w:val="auto"/>
        </w:rPr>
        <w:t xml:space="preserve">, </w:t>
      </w:r>
      <w:r>
        <w:rPr>
          <w:rFonts w:ascii="Arial" w:cs="Arial" w:eastAsia="Arial" w:hAnsi="Arial"/>
          <w:sz w:val="16"/>
          <w:szCs w:val="16"/>
          <w:b w:val="1"/>
          <w:bCs w:val="1"/>
          <w:color w:val="auto"/>
        </w:rPr>
        <w:t>sign and date the proxy card, and return it to us.</w:t>
      </w:r>
      <w:r>
        <w:rPr>
          <w:rFonts w:ascii="Arial" w:cs="Arial" w:eastAsia="Arial" w:hAnsi="Arial"/>
          <w:sz w:val="16"/>
          <w:szCs w:val="16"/>
          <w:color w:val="auto"/>
        </w:rPr>
        <w:t xml:space="preserve"> Alternatively, you may cast your vote by telephone, or through the Internet. Instructions for voting by telephone or through the Internet are included with your </w:t>
      </w:r>
      <w:r>
        <w:rPr>
          <w:rFonts w:ascii="Arial" w:cs="Arial" w:eastAsia="Arial" w:hAnsi="Arial"/>
          <w:sz w:val="16"/>
          <w:szCs w:val="16"/>
          <w:b w:val="1"/>
          <w:bCs w:val="1"/>
          <w:color w:val="auto"/>
        </w:rPr>
        <w:t>proxy card</w:t>
      </w:r>
      <w:r>
        <w:rPr>
          <w:rFonts w:ascii="Arial" w:cs="Arial" w:eastAsia="Arial" w:hAnsi="Arial"/>
          <w:sz w:val="16"/>
          <w:szCs w:val="16"/>
          <w:color w:val="auto"/>
        </w:rPr>
        <w:t>. Your vote is important. Please act promptly by voting your shares by telephone, via the Internet, or by signing, dating and returning the proxy card.</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Thank you for your continued interest in Agrify. We look forward to seeing you at the meeting.</w:t>
      </w:r>
    </w:p>
    <w:p>
      <w:pPr>
        <w:spacing w:after="0" w:line="22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41910</wp:posOffset>
            </wp:positionV>
            <wp:extent cx="72390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Raymond Chang</w:t>
      </w:r>
    </w:p>
    <w:p>
      <w:pPr>
        <w:spacing w:after="0" w:line="80"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Chairman and Chief Executive Officer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 Treble Cove Road, Building No. 3 • Billerica, MA 01862 • Tel: 617-896-5343</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ir@agrify.com • </w:t>
      </w:r>
      <w:r>
        <w:rPr>
          <w:rFonts w:ascii="Arial" w:cs="Arial" w:eastAsia="Arial" w:hAnsi="Arial"/>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3" w:name="page4"/>
    <w:bookmarkEnd w:id="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Agrify Corporation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76 Treble Cove Road, Building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Billerica, Massachusetts 01862</w:t>
      </w:r>
    </w:p>
    <w:p>
      <w:pPr>
        <w:spacing w:after="0" w:line="48"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______________________</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STOCKHOLDERS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February 28, 2023</w:t>
      </w:r>
    </w:p>
    <w:p>
      <w:pPr>
        <w:spacing w:after="0" w:line="6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______________________</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the Stockholders:</w:t>
      </w:r>
    </w:p>
    <w:p>
      <w:pPr>
        <w:spacing w:after="0" w:line="145" w:lineRule="exact"/>
        <w:rPr>
          <w:sz w:val="20"/>
          <w:szCs w:val="20"/>
          <w:color w:val="auto"/>
        </w:rPr>
      </w:pPr>
    </w:p>
    <w:p>
      <w:pPr>
        <w:ind w:left="580" w:right="819" w:firstLine="419"/>
        <w:spacing w:after="0" w:line="265" w:lineRule="auto"/>
        <w:rPr>
          <w:sz w:val="20"/>
          <w:szCs w:val="20"/>
          <w:color w:val="auto"/>
        </w:rPr>
      </w:pPr>
      <w:r>
        <w:rPr>
          <w:rFonts w:ascii="Arial" w:cs="Arial" w:eastAsia="Arial" w:hAnsi="Arial"/>
          <w:sz w:val="17"/>
          <w:szCs w:val="17"/>
          <w:color w:val="auto"/>
        </w:rPr>
        <w:t xml:space="preserve">Agrify Corporation (“Agrify”) will hold a Virtual Special Meeting of Stockholders on Tuesday, February 28, 2023 at 10:00 a.m., Eastern Time. To be admitted to the Special Meeting at </w:t>
      </w:r>
      <w:r>
        <w:rPr>
          <w:rFonts w:ascii="Arial" w:cs="Arial" w:eastAsia="Arial" w:hAnsi="Arial"/>
          <w:sz w:val="17"/>
          <w:szCs w:val="17"/>
          <w:i w:val="1"/>
          <w:iCs w:val="1"/>
          <w:color w:val="auto"/>
        </w:rPr>
        <w:t xml:space="preserve">www.virtualshareholdermeeting.com/AGFY2023SM, </w:t>
      </w:r>
      <w:r>
        <w:rPr>
          <w:rFonts w:ascii="Arial" w:cs="Arial" w:eastAsia="Arial" w:hAnsi="Arial"/>
          <w:sz w:val="17"/>
          <w:szCs w:val="17"/>
          <w:color w:val="auto"/>
        </w:rPr>
        <w:t>you must enter the control number found on your proxy</w:t>
      </w:r>
      <w:r>
        <w:rPr>
          <w:rFonts w:ascii="Arial" w:cs="Arial" w:eastAsia="Arial" w:hAnsi="Arial"/>
          <w:sz w:val="17"/>
          <w:szCs w:val="17"/>
          <w:i w:val="1"/>
          <w:iCs w:val="1"/>
          <w:color w:val="auto"/>
        </w:rPr>
        <w:t xml:space="preserve"> </w:t>
      </w:r>
      <w:r>
        <w:rPr>
          <w:rFonts w:ascii="Arial" w:cs="Arial" w:eastAsia="Arial" w:hAnsi="Arial"/>
          <w:sz w:val="17"/>
          <w:szCs w:val="17"/>
          <w:color w:val="auto"/>
        </w:rPr>
        <w:t>card, voting instruction form or notice you previously received. You may vote during the Special Meeting by following the instructions available on the meeting website during the meeting.</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are holding this meeting for the following purposes:</w:t>
      </w:r>
    </w:p>
    <w:p>
      <w:pPr>
        <w:spacing w:after="0" w:line="158" w:lineRule="exact"/>
        <w:rPr>
          <w:sz w:val="20"/>
          <w:szCs w:val="20"/>
          <w:color w:val="auto"/>
        </w:rPr>
      </w:pPr>
    </w:p>
    <w:p>
      <w:pPr>
        <w:ind w:left="1400" w:hanging="406"/>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as contemplated by Nasdaq Listing Rule 5635(d), the issuance of up to</w:t>
      </w:r>
    </w:p>
    <w:p>
      <w:pPr>
        <w:spacing w:after="0" w:line="26" w:lineRule="exact"/>
        <w:rPr>
          <w:rFonts w:ascii="Arial" w:cs="Arial" w:eastAsia="Arial" w:hAnsi="Arial"/>
          <w:sz w:val="17"/>
          <w:szCs w:val="17"/>
          <w:color w:val="auto"/>
        </w:rPr>
      </w:pPr>
    </w:p>
    <w:p>
      <w:pPr>
        <w:ind w:left="1420" w:right="719"/>
        <w:spacing w:after="0" w:line="263" w:lineRule="auto"/>
        <w:rPr>
          <w:rFonts w:ascii="Arial" w:cs="Arial" w:eastAsia="Arial" w:hAnsi="Arial"/>
          <w:sz w:val="17"/>
          <w:szCs w:val="17"/>
          <w:color w:val="auto"/>
        </w:rPr>
      </w:pPr>
      <w:r>
        <w:rPr>
          <w:rFonts w:ascii="Arial" w:cs="Arial" w:eastAsia="Arial" w:hAnsi="Arial"/>
          <w:sz w:val="17"/>
          <w:szCs w:val="17"/>
          <w:color w:val="auto"/>
        </w:rPr>
        <w:t>26,769,230 shares of Agrify’s common stock, par value $0.001 per share (the “Common Stock”) upon the exercise of warrants of Agrify (the “Warrants”) issued in connection with Agrify’s public offering that closed on December 20, 2022, and to permit the reduction of the exercise price of those Warrants under certain circumstances;</w:t>
      </w:r>
    </w:p>
    <w:p>
      <w:pPr>
        <w:spacing w:after="0" w:line="100" w:lineRule="exact"/>
        <w:rPr>
          <w:rFonts w:ascii="Arial" w:cs="Arial" w:eastAsia="Arial" w:hAnsi="Arial"/>
          <w:sz w:val="17"/>
          <w:szCs w:val="17"/>
          <w:color w:val="auto"/>
        </w:rPr>
      </w:pPr>
    </w:p>
    <w:p>
      <w:pPr>
        <w:ind w:left="1420" w:right="979" w:hanging="426"/>
        <w:spacing w:after="0" w:line="325" w:lineRule="auto"/>
        <w:tabs>
          <w:tab w:leader="none" w:pos="1415"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approve an Amendment to Agrify’s Articles of Incorporation to increase the number of authorized shares of Common Stock from 100,000,000 to 200,000,000, and to correspondingly increase the total authorized shares of stock from 103,000,000 to 203,000,000; and</w:t>
      </w:r>
    </w:p>
    <w:p>
      <w:pPr>
        <w:spacing w:after="0" w:line="72" w:lineRule="exact"/>
        <w:rPr>
          <w:rFonts w:ascii="Arial" w:cs="Arial" w:eastAsia="Arial" w:hAnsi="Arial"/>
          <w:sz w:val="15"/>
          <w:szCs w:val="15"/>
          <w:color w:val="auto"/>
        </w:rPr>
      </w:pPr>
    </w:p>
    <w:p>
      <w:pPr>
        <w:ind w:left="1420" w:right="639" w:hanging="426"/>
        <w:spacing w:after="0" w:line="273" w:lineRule="auto"/>
        <w:tabs>
          <w:tab w:leader="none" w:pos="14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consider and vote upon an adjournment of the Special Meeting in order to solicit additional proxies if there are not sufficient shares to be voted in favor of any of the foregoing proposals at the time of the Special Meeting.</w:t>
      </w:r>
    </w:p>
    <w:p>
      <w:pPr>
        <w:spacing w:after="0" w:line="10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The Board of Directors selected January 13, 2023 as the record date for determining stockholders entitled</w:t>
      </w:r>
    </w:p>
    <w:p>
      <w:pPr>
        <w:spacing w:after="0" w:line="4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vote at the Special Meeting. As of January 13, 2023, Agrify had 20,740,977 shares of Common Stock</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outstanding. A list of stockholders on that date will be available for inspection at Agrify’s corporate</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headquarters, 76 Treble Cove Road, Building No. 3, Billerica, Massachusetts, 01862, during normal</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business hours for the ten-day period prior to the Special Meeting. Only holders of our Common Stock as of the</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close of business on January 13, 2023 are entitled to vote at the Special Meeting or any adjournment thereof.</w:t>
      </w:r>
    </w:p>
    <w:p>
      <w:pPr>
        <w:spacing w:after="0" w:line="131" w:lineRule="exact"/>
        <w:rPr>
          <w:sz w:val="20"/>
          <w:szCs w:val="20"/>
          <w:color w:val="auto"/>
        </w:rPr>
      </w:pPr>
    </w:p>
    <w:p>
      <w:pPr>
        <w:ind w:left="580" w:right="1079" w:firstLine="419"/>
        <w:spacing w:after="0" w:line="289" w:lineRule="auto"/>
        <w:rPr>
          <w:sz w:val="20"/>
          <w:szCs w:val="20"/>
          <w:color w:val="auto"/>
        </w:rPr>
      </w:pPr>
      <w:r>
        <w:rPr>
          <w:rFonts w:ascii="Arial" w:cs="Arial" w:eastAsia="Arial" w:hAnsi="Arial"/>
          <w:sz w:val="17"/>
          <w:szCs w:val="17"/>
          <w:color w:val="auto"/>
        </w:rPr>
        <w:t>On or about February 6, 2023, we are mailing to our stockholders this Notice of Special Meeting of Stockholders and the enclosed Proxy Statement.</w:t>
      </w:r>
    </w:p>
    <w:p>
      <w:pPr>
        <w:spacing w:after="0" w:line="14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41910</wp:posOffset>
            </wp:positionV>
            <wp:extent cx="723900" cy="290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900" cy="29083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Raymond Chang</w:t>
      </w:r>
    </w:p>
    <w:p>
      <w:pPr>
        <w:spacing w:after="0" w:line="80"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Corporate Secretary</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Billerica, Massachusetts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February 6, 2023</w:t>
      </w:r>
    </w:p>
    <w:p>
      <w:pPr>
        <w:spacing w:after="0" w:line="127" w:lineRule="exact"/>
        <w:rPr>
          <w:sz w:val="20"/>
          <w:szCs w:val="20"/>
          <w:color w:val="auto"/>
        </w:rPr>
      </w:pPr>
    </w:p>
    <w:p>
      <w:pPr>
        <w:ind w:left="580" w:right="1019" w:firstLine="419"/>
        <w:spacing w:after="0" w:line="277" w:lineRule="auto"/>
        <w:rPr>
          <w:sz w:val="20"/>
          <w:szCs w:val="20"/>
          <w:color w:val="auto"/>
        </w:rPr>
      </w:pPr>
      <w:r>
        <w:rPr>
          <w:rFonts w:ascii="Arial" w:cs="Arial" w:eastAsia="Arial" w:hAnsi="Arial"/>
          <w:sz w:val="17"/>
          <w:szCs w:val="17"/>
          <w:b w:val="1"/>
          <w:bCs w:val="1"/>
          <w:color w:val="auto"/>
        </w:rPr>
        <w:t xml:space="preserve">Important Notice Regarding Availability of Proxy Materials for the Virtual Special Meeting of Stockholders Meeting to be Held on February 28, 2023: The Notice of Special Meeting and Proxy Statement are available at </w:t>
      </w:r>
      <w:r>
        <w:rPr>
          <w:rFonts w:ascii="Arial" w:cs="Arial" w:eastAsia="Arial" w:hAnsi="Arial"/>
          <w:sz w:val="17"/>
          <w:szCs w:val="17"/>
          <w:b w:val="1"/>
          <w:bCs w:val="1"/>
          <w:i w:val="1"/>
          <w:iCs w:val="1"/>
          <w:color w:val="auto"/>
        </w:rPr>
        <w:t>www.proxyvote.com</w:t>
      </w:r>
      <w:r>
        <w:rPr>
          <w:rFonts w:ascii="Arial" w:cs="Arial" w:eastAsia="Arial" w:hAnsi="Arial"/>
          <w:sz w:val="17"/>
          <w:szCs w:val="17"/>
          <w:b w:val="1"/>
          <w:bCs w:val="1"/>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 Treble Cove Road, Building No. 3 • Billerica, MA 01862 • Tel: 617-896-5343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ir@agrify.com • </w:t>
      </w:r>
      <w:r>
        <w:rPr>
          <w:rFonts w:ascii="Arial" w:cs="Arial" w:eastAsia="Arial" w:hAnsi="Arial"/>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4" w:name="page5"/>
    <w:bookmarkEnd w:id="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IMPORTANT</w:t>
      </w:r>
    </w:p>
    <w:p>
      <w:pPr>
        <w:spacing w:after="0" w:line="151" w:lineRule="exact"/>
        <w:rPr>
          <w:sz w:val="20"/>
          <w:szCs w:val="20"/>
          <w:color w:val="auto"/>
        </w:rPr>
      </w:pPr>
    </w:p>
    <w:p>
      <w:pPr>
        <w:ind w:left="580" w:right="579" w:firstLine="419"/>
        <w:spacing w:after="0" w:line="305" w:lineRule="auto"/>
        <w:rPr>
          <w:sz w:val="20"/>
          <w:szCs w:val="20"/>
          <w:color w:val="auto"/>
        </w:rPr>
      </w:pPr>
      <w:r>
        <w:rPr>
          <w:rFonts w:ascii="Arial" w:cs="Arial" w:eastAsia="Arial" w:hAnsi="Arial"/>
          <w:sz w:val="15"/>
          <w:szCs w:val="15"/>
          <w:color w:val="auto"/>
        </w:rPr>
        <w:t>Whether or not you expect to attend the virtual special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220980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5" w:name="page6"/>
    <w:bookmarkEnd w:id="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15"/>
          </w:tcPr>
          <w:p>
            <w:pPr>
              <w:jc w:val="center"/>
              <w:ind w:right="1880"/>
              <w:spacing w:after="0"/>
              <w:rPr>
                <w:sz w:val="20"/>
                <w:szCs w:val="20"/>
                <w:color w:val="auto"/>
              </w:rPr>
            </w:pPr>
            <w:r>
              <w:rPr>
                <w:rFonts w:ascii="Arial" w:cs="Arial" w:eastAsia="Arial" w:hAnsi="Arial"/>
                <w:sz w:val="17"/>
                <w:szCs w:val="17"/>
                <w:b w:val="1"/>
                <w:bCs w:val="1"/>
                <w:color w:val="auto"/>
              </w:rPr>
              <w:t>AGRIFY CORPORATION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20" w:type="dxa"/>
            <w:vAlign w:val="bottom"/>
            <w:gridSpan w:val="14"/>
          </w:tcPr>
          <w:p>
            <w:pPr>
              <w:jc w:val="center"/>
              <w:ind w:right="2140"/>
              <w:spacing w:after="0"/>
              <w:rPr>
                <w:sz w:val="20"/>
                <w:szCs w:val="20"/>
                <w:color w:val="auto"/>
              </w:rPr>
            </w:pPr>
            <w:r>
              <w:rPr>
                <w:rFonts w:ascii="Arial" w:cs="Arial" w:eastAsia="Arial" w:hAnsi="Arial"/>
                <w:sz w:val="17"/>
                <w:szCs w:val="17"/>
                <w:b w:val="1"/>
                <w:bCs w:val="1"/>
                <w:color w:val="auto"/>
              </w:rPr>
              <w:t>PROXY STATEMENT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gridSpan w:val="14"/>
          </w:tcPr>
          <w:p>
            <w:pPr>
              <w:jc w:val="center"/>
              <w:ind w:right="2160"/>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46"/>
        </w:trPr>
        <w:tc>
          <w:tcPr>
            <w:tcW w:w="1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Borders>
              <w:top w:val="single" w:sz="8" w:color="CCEEFF"/>
            </w:tcBorders>
            <w:gridSpan w:val="35"/>
            <w:shd w:val="clear" w:color="auto" w:fill="CCEEFF"/>
          </w:tcPr>
          <w:p>
            <w:pPr>
              <w:spacing w:after="0" w:line="176" w:lineRule="exact"/>
              <w:rPr>
                <w:sz w:val="20"/>
                <w:szCs w:val="20"/>
                <w:color w:val="auto"/>
              </w:rPr>
            </w:pPr>
            <w:r>
              <w:rPr>
                <w:rFonts w:ascii="Arial" w:cs="Arial" w:eastAsia="Arial" w:hAnsi="Arial"/>
                <w:sz w:val="17"/>
                <w:szCs w:val="17"/>
                <w:b w:val="1"/>
                <w:bCs w:val="1"/>
                <w:color w:val="0000EE"/>
              </w:rPr>
              <w:t>GENERAL INFORMATION</w:t>
            </w:r>
          </w:p>
        </w:tc>
        <w:tc>
          <w:tcPr>
            <w:tcW w:w="8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Special Meeting Information</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35"/>
            <w:shd w:val="clear" w:color="auto" w:fill="CCEEFF"/>
          </w:tcPr>
          <w:p>
            <w:pPr>
              <w:spacing w:after="0" w:line="171" w:lineRule="exact"/>
              <w:rPr>
                <w:sz w:val="20"/>
                <w:szCs w:val="20"/>
                <w:color w:val="auto"/>
              </w:rPr>
            </w:pPr>
            <w:r>
              <w:rPr>
                <w:rFonts w:ascii="Arial" w:cs="Arial" w:eastAsia="Arial" w:hAnsi="Arial"/>
                <w:sz w:val="17"/>
                <w:szCs w:val="17"/>
                <w:b w:val="1"/>
                <w:bCs w:val="1"/>
                <w:color w:val="0000EE"/>
              </w:rPr>
              <w:t>ITEM 1 — APPROVAL OF THE ISSUANCE OF UP TO 26,769,230 SHARES OF</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700" w:type="dxa"/>
            <w:vAlign w:val="bottom"/>
            <w:tcBorders>
              <w:bottom w:val="single" w:sz="8" w:color="0000EE"/>
            </w:tcBorders>
            <w:gridSpan w:val="33"/>
            <w:shd w:val="clear" w:color="auto" w:fill="CCEEFF"/>
          </w:tcPr>
          <w:p>
            <w:pPr>
              <w:spacing w:after="0" w:line="189" w:lineRule="exact"/>
              <w:rPr>
                <w:sz w:val="20"/>
                <w:szCs w:val="20"/>
                <w:color w:val="auto"/>
              </w:rPr>
            </w:pPr>
            <w:r>
              <w:rPr>
                <w:rFonts w:ascii="Arial" w:cs="Arial" w:eastAsia="Arial" w:hAnsi="Arial"/>
                <w:sz w:val="17"/>
                <w:szCs w:val="17"/>
                <w:b w:val="1"/>
                <w:bCs w:val="1"/>
                <w:color w:val="0000EE"/>
              </w:rPr>
              <w:t>COMMON STOCK UPON THE EXERCISE OF WARRANTS ISSUED IN DECEMBER</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0000EE"/>
            </w:tcBorders>
            <w:shd w:val="clear" w:color="auto" w:fill="CCEEFF"/>
          </w:tcPr>
          <w:p>
            <w:pPr>
              <w:spacing w:after="0" w:line="189" w:lineRule="exact"/>
              <w:rPr>
                <w:sz w:val="20"/>
                <w:szCs w:val="20"/>
                <w:color w:val="auto"/>
              </w:rPr>
            </w:pPr>
            <w:r>
              <w:rPr>
                <w:rFonts w:ascii="Arial" w:cs="Arial" w:eastAsia="Arial" w:hAnsi="Arial"/>
                <w:sz w:val="17"/>
                <w:szCs w:val="17"/>
                <w:b w:val="1"/>
                <w:bCs w:val="1"/>
                <w:color w:val="0000EE"/>
                <w:w w:val="89"/>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General</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Description of Warrants</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Purpose of Proposal No. 1</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0000EE"/>
            </w:tcBorders>
            <w:gridSpan w:val="23"/>
            <w:shd w:val="clear" w:color="auto" w:fill="CCEEFF"/>
          </w:tcPr>
          <w:p>
            <w:pPr>
              <w:spacing w:after="0"/>
              <w:rPr>
                <w:sz w:val="20"/>
                <w:szCs w:val="20"/>
                <w:color w:val="auto"/>
              </w:rPr>
            </w:pPr>
            <w:r>
              <w:rPr>
                <w:rFonts w:ascii="Arial" w:cs="Arial" w:eastAsia="Arial" w:hAnsi="Arial"/>
                <w:sz w:val="17"/>
                <w:szCs w:val="17"/>
                <w:color w:val="0000EE"/>
                <w:w w:val="93"/>
              </w:rPr>
              <w:t>Potential Consequences if Proposal No. 1 is Not Approved</w:t>
            </w:r>
          </w:p>
        </w:tc>
        <w:tc>
          <w:tcPr>
            <w:tcW w:w="2780" w:type="dxa"/>
            <w:vAlign w:val="bottom"/>
            <w:tcBorders>
              <w:bottom w:val="single" w:sz="8" w:color="CCEEFF"/>
            </w:tcBorders>
            <w:gridSpan w:val="11"/>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Potential Adverse Effects of Proposal No. 1</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Vote Required</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Recommendation of the Board</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00" w:type="dxa"/>
            <w:vAlign w:val="bottom"/>
            <w:tcBorders>
              <w:bottom w:val="single" w:sz="8" w:color="0000EE"/>
            </w:tcBorders>
            <w:gridSpan w:val="32"/>
            <w:shd w:val="clear" w:color="auto" w:fill="CCEEFF"/>
          </w:tcPr>
          <w:p>
            <w:pPr>
              <w:spacing w:after="0" w:line="171" w:lineRule="exact"/>
              <w:rPr>
                <w:sz w:val="20"/>
                <w:szCs w:val="20"/>
                <w:color w:val="auto"/>
              </w:rPr>
            </w:pPr>
            <w:r>
              <w:rPr>
                <w:rFonts w:ascii="Arial" w:cs="Arial" w:eastAsia="Arial" w:hAnsi="Arial"/>
                <w:sz w:val="17"/>
                <w:szCs w:val="17"/>
                <w:b w:val="1"/>
                <w:bCs w:val="1"/>
                <w:color w:val="0000EE"/>
              </w:rPr>
              <w:t>ITEM 2 — APPROVAL OF AN AMENDMENT TO THE COMPANY’S ARTICLES OF</w:t>
            </w:r>
          </w:p>
        </w:tc>
        <w:tc>
          <w:tcPr>
            <w:tcW w:w="440" w:type="dxa"/>
            <w:vAlign w:val="bottom"/>
            <w:tcBorders>
              <w:bottom w:val="single" w:sz="8" w:color="CCEEFF"/>
            </w:tcBorders>
            <w:gridSpan w:val="3"/>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0000EE"/>
            </w:tcBorders>
            <w:gridSpan w:val="6"/>
            <w:shd w:val="clear" w:color="auto" w:fill="CCEEFF"/>
          </w:tcPr>
          <w:p>
            <w:pPr>
              <w:spacing w:after="0" w:line="189" w:lineRule="exact"/>
              <w:rPr>
                <w:sz w:val="20"/>
                <w:szCs w:val="20"/>
                <w:color w:val="auto"/>
              </w:rPr>
            </w:pPr>
            <w:r>
              <w:rPr>
                <w:rFonts w:ascii="Arial" w:cs="Arial" w:eastAsia="Arial" w:hAnsi="Arial"/>
                <w:sz w:val="17"/>
                <w:szCs w:val="17"/>
                <w:b w:val="1"/>
                <w:bCs w:val="1"/>
                <w:color w:val="0000EE"/>
              </w:rPr>
              <w:t>INCORPORATION</w:t>
            </w:r>
          </w:p>
        </w:tc>
        <w:tc>
          <w:tcPr>
            <w:tcW w:w="5380" w:type="dxa"/>
            <w:vAlign w:val="bottom"/>
            <w:tcBorders>
              <w:bottom w:val="single" w:sz="8" w:color="CCEEFF"/>
            </w:tcBorders>
            <w:gridSpan w:val="28"/>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General</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7"/>
                <w:szCs w:val="17"/>
                <w:color w:val="0000EE"/>
                <w:w w:val="94"/>
              </w:rPr>
              <w:t>Description of the Amendment</w:t>
            </w:r>
          </w:p>
        </w:tc>
        <w:tc>
          <w:tcPr>
            <w:tcW w:w="4720" w:type="dxa"/>
            <w:vAlign w:val="bottom"/>
            <w:tcBorders>
              <w:bottom w:val="single" w:sz="8" w:color="CCEEFF"/>
            </w:tcBorders>
            <w:gridSpan w:val="1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Rights of Additional Authorized Shares</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Potential Adverse Effects of the Charter Amendment</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700" w:type="dxa"/>
            <w:vAlign w:val="bottom"/>
            <w:tcBorders>
              <w:top w:val="single" w:sz="8" w:color="0000EE"/>
            </w:tcBorders>
            <w:gridSpan w:val="22"/>
          </w:tcPr>
          <w:p>
            <w:pPr>
              <w:spacing w:after="0"/>
              <w:rPr>
                <w:sz w:val="20"/>
                <w:szCs w:val="20"/>
                <w:color w:val="auto"/>
              </w:rPr>
            </w:pPr>
            <w:r>
              <w:rPr>
                <w:rFonts w:ascii="Arial" w:cs="Arial" w:eastAsia="Arial" w:hAnsi="Arial"/>
                <w:sz w:val="17"/>
                <w:szCs w:val="17"/>
                <w:color w:val="0000EE"/>
              </w:rPr>
              <w:t>Appraisal Rights</w:t>
            </w:r>
          </w:p>
        </w:tc>
        <w:tc>
          <w:tcPr>
            <w:tcW w:w="3200" w:type="dxa"/>
            <w:vAlign w:val="bottom"/>
            <w:tcBorders>
              <w:top w:val="single" w:sz="8" w:color="CCEEFF"/>
            </w:tcBorders>
            <w:gridSpan w:val="12"/>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Effectiveness of Amendment</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13"/>
          </w:tcPr>
          <w:p>
            <w:pPr>
              <w:spacing w:after="0"/>
              <w:rPr>
                <w:sz w:val="20"/>
                <w:szCs w:val="20"/>
                <w:color w:val="auto"/>
              </w:rPr>
            </w:pPr>
            <w:r>
              <w:rPr>
                <w:rFonts w:ascii="Arial" w:cs="Arial" w:eastAsia="Arial" w:hAnsi="Arial"/>
                <w:sz w:val="17"/>
                <w:szCs w:val="17"/>
                <w:color w:val="0000EE"/>
              </w:rPr>
              <w:t>Vote Required</w:t>
            </w:r>
          </w:p>
        </w:tc>
        <w:tc>
          <w:tcPr>
            <w:tcW w:w="4860" w:type="dxa"/>
            <w:vAlign w:val="bottom"/>
            <w:tcBorders>
              <w:top w:val="single" w:sz="8" w:color="CCEEFF"/>
            </w:tcBorders>
            <w:gridSpan w:val="21"/>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7"/>
                <w:szCs w:val="17"/>
                <w:color w:val="0000EE"/>
                <w:w w:val="92"/>
              </w:rPr>
              <w:t>Recommendation of the Board</w:t>
            </w:r>
          </w:p>
        </w:tc>
        <w:tc>
          <w:tcPr>
            <w:tcW w:w="474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520" w:type="dxa"/>
            <w:vAlign w:val="bottom"/>
            <w:tcBorders>
              <w:bottom w:val="single" w:sz="8" w:color="0000EE"/>
            </w:tcBorders>
            <w:gridSpan w:val="31"/>
          </w:tcPr>
          <w:p>
            <w:pPr>
              <w:spacing w:after="0" w:line="171" w:lineRule="exact"/>
              <w:rPr>
                <w:sz w:val="20"/>
                <w:szCs w:val="20"/>
                <w:color w:val="auto"/>
              </w:rPr>
            </w:pPr>
            <w:r>
              <w:rPr>
                <w:rFonts w:ascii="Arial" w:cs="Arial" w:eastAsia="Arial" w:hAnsi="Arial"/>
                <w:sz w:val="17"/>
                <w:szCs w:val="17"/>
                <w:b w:val="1"/>
                <w:bCs w:val="1"/>
                <w:color w:val="0000EE"/>
              </w:rPr>
              <w:t>ITEM 3 — APPROVAL OF THE ADJOURNMENT OF THE SPECIAL MEETING IN</w:t>
            </w:r>
          </w:p>
        </w:tc>
        <w:tc>
          <w:tcPr>
            <w:tcW w:w="520" w:type="dxa"/>
            <w:vAlign w:val="bottom"/>
            <w:gridSpan w:val="4"/>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34"/>
          </w:tcPr>
          <w:p>
            <w:pPr>
              <w:spacing w:after="0" w:line="189" w:lineRule="exact"/>
              <w:rPr>
                <w:sz w:val="20"/>
                <w:szCs w:val="20"/>
                <w:color w:val="auto"/>
              </w:rPr>
            </w:pPr>
            <w:r>
              <w:rPr>
                <w:rFonts w:ascii="Arial" w:cs="Arial" w:eastAsia="Arial" w:hAnsi="Arial"/>
                <w:sz w:val="17"/>
                <w:szCs w:val="17"/>
                <w:b w:val="1"/>
                <w:bCs w:val="1"/>
                <w:color w:val="0000EE"/>
              </w:rPr>
              <w:t>ORDER TO SOLICIT ADDITIONAL PROXIES IF THERE ARE NOT SUFFICIENT</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00" w:type="dxa"/>
            <w:vAlign w:val="bottom"/>
            <w:tcBorders>
              <w:top w:val="single" w:sz="8" w:color="0000EE"/>
            </w:tcBorders>
            <w:gridSpan w:val="32"/>
          </w:tcPr>
          <w:p>
            <w:pPr>
              <w:spacing w:after="0" w:line="189" w:lineRule="exact"/>
              <w:rPr>
                <w:sz w:val="20"/>
                <w:szCs w:val="20"/>
                <w:color w:val="auto"/>
              </w:rPr>
            </w:pPr>
            <w:r>
              <w:rPr>
                <w:rFonts w:ascii="Arial" w:cs="Arial" w:eastAsia="Arial" w:hAnsi="Arial"/>
                <w:sz w:val="17"/>
                <w:szCs w:val="17"/>
                <w:b w:val="1"/>
                <w:bCs w:val="1"/>
                <w:color w:val="0000EE"/>
              </w:rPr>
              <w:t>SHARES VOTED IN FAVOR OF ANY OF ITEMS 1, 2 OR 3 AT THE TIME OF THE</w:t>
            </w:r>
          </w:p>
        </w:tc>
        <w:tc>
          <w:tcPr>
            <w:tcW w:w="400" w:type="dxa"/>
            <w:vAlign w:val="bottom"/>
            <w:gridSpan w:val="2"/>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tcBorders>
              <w:top w:val="single" w:sz="8" w:color="0000EE"/>
            </w:tcBorders>
            <w:gridSpan w:val="31"/>
          </w:tcPr>
          <w:p>
            <w:pPr>
              <w:spacing w:after="0" w:line="189" w:lineRule="exact"/>
              <w:rPr>
                <w:sz w:val="20"/>
                <w:szCs w:val="20"/>
                <w:color w:val="auto"/>
              </w:rPr>
            </w:pPr>
            <w:r>
              <w:rPr>
                <w:rFonts w:ascii="Arial" w:cs="Arial" w:eastAsia="Arial" w:hAnsi="Arial"/>
                <w:sz w:val="17"/>
                <w:szCs w:val="17"/>
                <w:b w:val="1"/>
                <w:bCs w:val="1"/>
                <w:color w:val="0000EE"/>
              </w:rPr>
              <w:t>SPECIAL MEETING</w:t>
            </w:r>
          </w:p>
        </w:tc>
        <w:tc>
          <w:tcPr>
            <w:tcW w:w="440" w:type="dxa"/>
            <w:vAlign w:val="bottom"/>
            <w:gridSpan w:val="3"/>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0000EE"/>
            </w:tcBorders>
            <w:gridSpan w:val="24"/>
            <w:shd w:val="clear" w:color="auto" w:fill="CCEEFF"/>
          </w:tcPr>
          <w:p>
            <w:pPr>
              <w:spacing w:after="0"/>
              <w:rPr>
                <w:sz w:val="20"/>
                <w:szCs w:val="20"/>
                <w:color w:val="auto"/>
              </w:rPr>
            </w:pPr>
            <w:r>
              <w:rPr>
                <w:rFonts w:ascii="Arial" w:cs="Arial" w:eastAsia="Arial" w:hAnsi="Arial"/>
                <w:sz w:val="17"/>
                <w:szCs w:val="17"/>
                <w:color w:val="0000EE"/>
                <w:w w:val="93"/>
              </w:rPr>
              <w:t>Background of and Rationale for the Adjournment Proposal</w:t>
            </w:r>
          </w:p>
        </w:tc>
        <w:tc>
          <w:tcPr>
            <w:tcW w:w="2700" w:type="dxa"/>
            <w:vAlign w:val="bottom"/>
            <w:tcBorders>
              <w:bottom w:val="single" w:sz="8" w:color="CCEEFF"/>
            </w:tcBorders>
            <w:gridSpan w:val="1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Vote Required</w:t>
            </w:r>
          </w:p>
        </w:tc>
        <w:tc>
          <w:tcPr>
            <w:tcW w:w="80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7"/>
                <w:szCs w:val="17"/>
                <w:color w:val="0000EE"/>
                <w:w w:val="92"/>
              </w:rPr>
              <w:t>Recommendation of the Board</w:t>
            </w:r>
          </w:p>
        </w:tc>
        <w:tc>
          <w:tcPr>
            <w:tcW w:w="474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360" w:type="dxa"/>
            <w:vAlign w:val="bottom"/>
            <w:tcBorders>
              <w:bottom w:val="single" w:sz="8" w:color="0000EE"/>
            </w:tcBorders>
            <w:gridSpan w:val="30"/>
          </w:tcPr>
          <w:p>
            <w:pPr>
              <w:spacing w:after="0" w:line="171" w:lineRule="exact"/>
              <w:rPr>
                <w:sz w:val="20"/>
                <w:szCs w:val="20"/>
                <w:color w:val="auto"/>
              </w:rPr>
            </w:pPr>
            <w:r>
              <w:rPr>
                <w:rFonts w:ascii="Arial" w:cs="Arial" w:eastAsia="Arial" w:hAnsi="Arial"/>
                <w:sz w:val="17"/>
                <w:szCs w:val="17"/>
                <w:b w:val="1"/>
                <w:bCs w:val="1"/>
                <w:color w:val="0000EE"/>
              </w:rPr>
              <w:t>BENEFICIAL OWNERSHIP OF CERTAIN STOCKHOLDERS, DIRECTORS AND</w:t>
            </w:r>
          </w:p>
        </w:tc>
        <w:tc>
          <w:tcPr>
            <w:tcW w:w="680" w:type="dxa"/>
            <w:vAlign w:val="bottom"/>
            <w:gridSpan w:val="5"/>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34"/>
          </w:tcPr>
          <w:p>
            <w:pPr>
              <w:spacing w:after="0" w:line="189" w:lineRule="exact"/>
              <w:rPr>
                <w:sz w:val="20"/>
                <w:szCs w:val="20"/>
                <w:color w:val="auto"/>
              </w:rPr>
            </w:pPr>
            <w:r>
              <w:rPr>
                <w:rFonts w:ascii="Arial" w:cs="Arial" w:eastAsia="Arial" w:hAnsi="Arial"/>
                <w:sz w:val="17"/>
                <w:szCs w:val="17"/>
                <w:b w:val="1"/>
                <w:bCs w:val="1"/>
                <w:color w:val="0000EE"/>
              </w:rPr>
              <w:t>EXECUTIVE OFFICERS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35"/>
            <w:shd w:val="clear" w:color="auto" w:fill="CCEEFF"/>
          </w:tcPr>
          <w:p>
            <w:pPr>
              <w:spacing w:after="0"/>
              <w:rPr>
                <w:sz w:val="20"/>
                <w:szCs w:val="20"/>
                <w:color w:val="auto"/>
              </w:rPr>
            </w:pPr>
            <w:r>
              <w:rPr>
                <w:rFonts w:ascii="Arial" w:cs="Arial" w:eastAsia="Arial" w:hAnsi="Arial"/>
                <w:sz w:val="17"/>
                <w:szCs w:val="17"/>
                <w:b w:val="1"/>
                <w:bCs w:val="1"/>
                <w:color w:val="0000EE"/>
              </w:rPr>
              <w:t>EXPENSES OF SOLICITATION</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36"/>
          </w:tcPr>
          <w:p>
            <w:pPr>
              <w:spacing w:after="0"/>
              <w:rPr>
                <w:sz w:val="20"/>
                <w:szCs w:val="20"/>
                <w:color w:val="auto"/>
              </w:rPr>
            </w:pPr>
            <w:r>
              <w:rPr>
                <w:rFonts w:ascii="Arial" w:cs="Arial" w:eastAsia="Arial" w:hAnsi="Arial"/>
                <w:sz w:val="17"/>
                <w:szCs w:val="17"/>
                <w:b w:val="1"/>
                <w:bCs w:val="1"/>
                <w:color w:val="0000EE"/>
              </w:rPr>
              <w:t>INDEPENDENT REGISTERED PUBLIC ACCOUNTING FIRM</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7"/>
                <w:szCs w:val="17"/>
                <w:b w:val="1"/>
                <w:bCs w:val="1"/>
                <w:color w:val="0000EE"/>
              </w:rPr>
              <w:t>OTHER MATTERS</w:t>
            </w:r>
          </w:p>
        </w:tc>
        <w:tc>
          <w:tcPr>
            <w:tcW w:w="5540" w:type="dxa"/>
            <w:vAlign w:val="bottom"/>
            <w:tcBorders>
              <w:bottom w:val="single" w:sz="8" w:color="CCEEFF"/>
            </w:tcBorders>
            <w:gridSpan w:val="2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196"/>
        </w:trPr>
        <w:tc>
          <w:tcPr>
            <w:tcW w:w="7060" w:type="dxa"/>
            <w:vAlign w:val="bottom"/>
            <w:gridSpan w:val="36"/>
          </w:tcPr>
          <w:p>
            <w:pPr>
              <w:spacing w:after="0"/>
              <w:rPr>
                <w:sz w:val="20"/>
                <w:szCs w:val="20"/>
                <w:color w:val="auto"/>
              </w:rPr>
            </w:pPr>
            <w:r>
              <w:rPr>
                <w:rFonts w:ascii="Arial" w:cs="Arial" w:eastAsia="Arial" w:hAnsi="Arial"/>
                <w:sz w:val="17"/>
                <w:szCs w:val="17"/>
                <w:b w:val="1"/>
                <w:bCs w:val="1"/>
                <w:color w:val="0000EE"/>
              </w:rPr>
              <w:t>ADVANCE NOTICE PROCEDURES AND STOCKHOLDER PROPOSALS</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7"/>
                <w:szCs w:val="17"/>
                <w:color w:val="0000EE"/>
                <w:w w:val="92"/>
              </w:rPr>
              <w:t>Advance Notice Procedures</w:t>
            </w:r>
          </w:p>
        </w:tc>
        <w:tc>
          <w:tcPr>
            <w:tcW w:w="4940" w:type="dxa"/>
            <w:vAlign w:val="bottom"/>
            <w:tcBorders>
              <w:bottom w:val="single" w:sz="8" w:color="CCEEFF"/>
            </w:tcBorders>
            <w:gridSpan w:val="2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Stockholder Proposals for 2023 Annual Meeting of Stockholders</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4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7"/>
                <w:szCs w:val="17"/>
                <w:b w:val="1"/>
                <w:bCs w:val="1"/>
                <w:color w:val="0000EE"/>
              </w:rPr>
              <w:t>ADDITIONAL INFORMATION</w:t>
            </w:r>
          </w:p>
        </w:tc>
        <w:tc>
          <w:tcPr>
            <w:tcW w:w="4600" w:type="dxa"/>
            <w:vAlign w:val="bottom"/>
            <w:tcBorders>
              <w:bottom w:val="single" w:sz="8" w:color="CCEEFF"/>
            </w:tcBorders>
            <w:gridSpan w:val="1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Arial" w:cs="Arial" w:eastAsia="Arial" w:hAnsi="Arial"/>
                <w:sz w:val="17"/>
                <w:szCs w:val="17"/>
                <w:color w:val="0000EE"/>
              </w:rPr>
              <w:t>Annual Report on Form 10-K</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Arial" w:cs="Arial" w:eastAsia="Arial" w:hAnsi="Arial"/>
                <w:sz w:val="17"/>
                <w:szCs w:val="17"/>
                <w:color w:val="0000EE"/>
              </w:rPr>
              <w:t>Householding of Meeting Materials</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6" w:name="page7"/>
    <w:bookmarkEnd w:id="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Special Meeting Information</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This proxy statement contains information related to the Virtual Special Meeting of Stockholders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Agrify Corporation (the “Company” or “Agrify”) to be held on Tuesday, February 28, 2023, beginning at</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10:00 a.m., Eastern Time, and any postponements or adjournments thereof (the “Special Meeting”). This proxy</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statement was prepared at the direction of our Board of Directors to solicit your proxy for use at the Special</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Meeting. On or about February 6, 2023, we are mailing to our stockholders the Notice of Special Meeting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Stockholders and Proxy Statement.</w:t>
      </w:r>
    </w:p>
    <w:p>
      <w:pPr>
        <w:spacing w:after="0" w:line="146" w:lineRule="exact"/>
        <w:rPr>
          <w:sz w:val="20"/>
          <w:szCs w:val="20"/>
          <w:color w:val="auto"/>
        </w:rPr>
      </w:pPr>
    </w:p>
    <w:p>
      <w:pPr>
        <w:ind w:left="580" w:right="639" w:firstLine="419"/>
        <w:spacing w:after="0" w:line="267" w:lineRule="auto"/>
        <w:rPr>
          <w:sz w:val="20"/>
          <w:szCs w:val="20"/>
          <w:color w:val="auto"/>
        </w:rPr>
      </w:pPr>
      <w:r>
        <w:rPr>
          <w:rFonts w:ascii="Arial" w:cs="Arial" w:eastAsia="Arial" w:hAnsi="Arial"/>
          <w:sz w:val="17"/>
          <w:szCs w:val="17"/>
          <w:color w:val="auto"/>
        </w:rPr>
        <w:t xml:space="preserve">To be admitted to the Special Meeting at </w:t>
      </w:r>
      <w:r>
        <w:rPr>
          <w:rFonts w:ascii="Arial" w:cs="Arial" w:eastAsia="Arial" w:hAnsi="Arial"/>
          <w:sz w:val="17"/>
          <w:szCs w:val="17"/>
          <w:i w:val="1"/>
          <w:iCs w:val="1"/>
          <w:color w:val="auto"/>
        </w:rPr>
        <w:t>www.virtualshareholdermeeting.com/AGFY2023SM</w:t>
      </w:r>
      <w:r>
        <w:rPr>
          <w:rFonts w:ascii="Arial" w:cs="Arial" w:eastAsia="Arial" w:hAnsi="Arial"/>
          <w:sz w:val="17"/>
          <w:szCs w:val="17"/>
          <w:color w:val="auto"/>
        </w:rPr>
        <w:t xml:space="preserve"> you must enter the control number found on your proxy card, voting instruction form or notice you previously received. You may vote during the Special Meeting by following the instructions available on the meeting website during the meeting.</w:t>
      </w:r>
    </w:p>
    <w:p>
      <w:pPr>
        <w:spacing w:after="0" w:line="107" w:lineRule="exact"/>
        <w:rPr>
          <w:sz w:val="20"/>
          <w:szCs w:val="20"/>
          <w:color w:val="auto"/>
        </w:rPr>
      </w:pPr>
    </w:p>
    <w:p>
      <w:pPr>
        <w:ind w:left="1000" w:hanging="426"/>
        <w:spacing w:after="0"/>
        <w:tabs>
          <w:tab w:leader="none" w:pos="10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Who is soliciting my proxy?</w:t>
      </w:r>
    </w:p>
    <w:p>
      <w:pPr>
        <w:spacing w:after="0" w:line="151" w:lineRule="exact"/>
        <w:rPr>
          <w:sz w:val="20"/>
          <w:szCs w:val="20"/>
          <w:color w:val="auto"/>
        </w:rPr>
      </w:pPr>
    </w:p>
    <w:p>
      <w:pPr>
        <w:ind w:left="1000" w:right="579" w:hanging="426"/>
        <w:spacing w:after="0" w:line="267" w:lineRule="auto"/>
        <w:tabs>
          <w:tab w:leader="none" w:pos="978"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the Board of Directors of Agrify Corporation, are sending you this proxy statement in connection with our solicitation of proxies for use at the Special Meeting. Certain directors, officers and employees of Agrify may (without compensation), and Alliance Advisors (our proxy solicitor) will, solicit proxies on our behalf by mail, phone, fax, Internet or at the Special Meeting.</w:t>
      </w:r>
    </w:p>
    <w:p>
      <w:pPr>
        <w:spacing w:after="0" w:line="107" w:lineRule="exact"/>
        <w:rPr>
          <w:sz w:val="20"/>
          <w:szCs w:val="20"/>
          <w:color w:val="auto"/>
        </w:rPr>
      </w:pPr>
    </w:p>
    <w:p>
      <w:pPr>
        <w:ind w:left="1000" w:hanging="426"/>
        <w:spacing w:after="0"/>
        <w:tabs>
          <w:tab w:leader="none" w:pos="10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Who is paying for this solicitation?</w:t>
      </w:r>
    </w:p>
    <w:p>
      <w:pPr>
        <w:spacing w:after="0" w:line="164" w:lineRule="exact"/>
        <w:rPr>
          <w:sz w:val="20"/>
          <w:szCs w:val="20"/>
          <w:color w:val="auto"/>
        </w:rPr>
      </w:pPr>
    </w:p>
    <w:p>
      <w:pPr>
        <w:ind w:left="1000" w:right="719" w:hanging="426"/>
        <w:spacing w:after="0" w:line="267" w:lineRule="auto"/>
        <w:tabs>
          <w:tab w:leader="none" w:pos="97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Agrify will pay for the solicitation of proxies, including Alliance Advisors’ estimated fee of $8,500, plus out-of-pocket expenses. Agrify also will reimburse banks, brokers, custodians, nominees and fiduciaries for their reasonable charges and expenses to forward our proxy materials to the beneficial owners of Agrify Common Stock.</w:t>
      </w:r>
    </w:p>
    <w:p>
      <w:pPr>
        <w:spacing w:after="0" w:line="93" w:lineRule="exact"/>
        <w:rPr>
          <w:sz w:val="20"/>
          <w:szCs w:val="20"/>
          <w:color w:val="auto"/>
        </w:rPr>
      </w:pPr>
    </w:p>
    <w:p>
      <w:pPr>
        <w:ind w:left="1000" w:hanging="426"/>
        <w:spacing w:after="0"/>
        <w:tabs>
          <w:tab w:leader="none" w:pos="10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What am I voting on?</w:t>
      </w:r>
    </w:p>
    <w:p>
      <w:pPr>
        <w:spacing w:after="0" w:line="164" w:lineRule="exact"/>
        <w:rPr>
          <w:sz w:val="20"/>
          <w:szCs w:val="20"/>
          <w:color w:val="auto"/>
        </w:rPr>
      </w:pPr>
    </w:p>
    <w:p>
      <w:pPr>
        <w:ind w:left="980" w:hanging="406"/>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are three items scheduled to be voted on at the Special Meeting:</w:t>
      </w:r>
    </w:p>
    <w:p>
      <w:pPr>
        <w:spacing w:after="0" w:line="158" w:lineRule="exact"/>
        <w:rPr>
          <w:rFonts w:ascii="Arial" w:cs="Arial" w:eastAsia="Arial" w:hAnsi="Arial"/>
          <w:sz w:val="17"/>
          <w:szCs w:val="17"/>
          <w:color w:val="auto"/>
        </w:rPr>
      </w:pPr>
    </w:p>
    <w:p>
      <w:pPr>
        <w:ind w:left="1420" w:right="619" w:hanging="426"/>
        <w:spacing w:after="0" w:line="265" w:lineRule="auto"/>
        <w:tabs>
          <w:tab w:leader="none" w:pos="1415" w:val="left"/>
        </w:tabs>
        <w:numPr>
          <w:ilvl w:val="1"/>
          <w:numId w:val="12"/>
        </w:numPr>
        <w:rPr>
          <w:rFonts w:ascii="Arial" w:cs="Arial" w:eastAsia="Arial" w:hAnsi="Arial"/>
          <w:sz w:val="17"/>
          <w:szCs w:val="17"/>
          <w:color w:val="auto"/>
        </w:rPr>
      </w:pPr>
      <w:r>
        <w:rPr>
          <w:rFonts w:ascii="Arial" w:cs="Arial" w:eastAsia="Arial" w:hAnsi="Arial"/>
          <w:sz w:val="17"/>
          <w:szCs w:val="17"/>
          <w:color w:val="auto"/>
        </w:rPr>
        <w:t>Item 1 — To approve, as contemplated by Nasdaq Listing Rule 5635, the issuance of up to 26,769,230 shares of the Company’s common stock, par value $0.001 per share (the “Common Stock”) upon the exercise of warrants of the Company (the “Warrants”) issued in connection with the Company’s public offering that closed on December 20, 2022, and to permit the reduction of the exercise price of those Warrants under certain circumstances;</w:t>
      </w:r>
    </w:p>
    <w:p>
      <w:pPr>
        <w:spacing w:after="0" w:line="99" w:lineRule="exact"/>
        <w:rPr>
          <w:rFonts w:ascii="Arial" w:cs="Arial" w:eastAsia="Arial" w:hAnsi="Arial"/>
          <w:sz w:val="17"/>
          <w:szCs w:val="17"/>
          <w:color w:val="auto"/>
        </w:rPr>
      </w:pPr>
    </w:p>
    <w:p>
      <w:pPr>
        <w:jc w:val="both"/>
        <w:ind w:left="1420" w:right="939" w:hanging="426"/>
        <w:spacing w:after="0" w:line="325" w:lineRule="auto"/>
        <w:tabs>
          <w:tab w:leader="none" w:pos="1415" w:val="left"/>
        </w:tabs>
        <w:numPr>
          <w:ilvl w:val="1"/>
          <w:numId w:val="12"/>
        </w:numPr>
        <w:rPr>
          <w:rFonts w:ascii="Arial" w:cs="Arial" w:eastAsia="Arial" w:hAnsi="Arial"/>
          <w:sz w:val="15"/>
          <w:szCs w:val="15"/>
          <w:color w:val="auto"/>
        </w:rPr>
      </w:pPr>
      <w:r>
        <w:rPr>
          <w:rFonts w:ascii="Arial" w:cs="Arial" w:eastAsia="Arial" w:hAnsi="Arial"/>
          <w:sz w:val="15"/>
          <w:szCs w:val="15"/>
          <w:color w:val="auto"/>
        </w:rPr>
        <w:t>Item 2 — To approve an Amendment to our Articles of Incorporation to increase the number of authorized shares of Common Stock from 100,000,000 to 200,000,000, and to correspondingly increase the total authorized shares of stock from 103,000,000 to 203,000,000; and</w:t>
      </w:r>
    </w:p>
    <w:p>
      <w:pPr>
        <w:spacing w:after="0" w:line="72" w:lineRule="exact"/>
        <w:rPr>
          <w:rFonts w:ascii="Arial" w:cs="Arial" w:eastAsia="Arial" w:hAnsi="Arial"/>
          <w:sz w:val="15"/>
          <w:szCs w:val="15"/>
          <w:color w:val="auto"/>
        </w:rPr>
      </w:pPr>
    </w:p>
    <w:p>
      <w:pPr>
        <w:jc w:val="both"/>
        <w:ind w:left="1420" w:right="1039" w:hanging="426"/>
        <w:spacing w:after="0" w:line="273" w:lineRule="auto"/>
        <w:tabs>
          <w:tab w:leader="none" w:pos="1415" w:val="left"/>
        </w:tabs>
        <w:numPr>
          <w:ilvl w:val="1"/>
          <w:numId w:val="12"/>
        </w:numPr>
        <w:rPr>
          <w:rFonts w:ascii="Arial" w:cs="Arial" w:eastAsia="Arial" w:hAnsi="Arial"/>
          <w:sz w:val="17"/>
          <w:szCs w:val="17"/>
          <w:color w:val="auto"/>
        </w:rPr>
      </w:pPr>
      <w:r>
        <w:rPr>
          <w:rFonts w:ascii="Arial" w:cs="Arial" w:eastAsia="Arial" w:hAnsi="Arial"/>
          <w:sz w:val="17"/>
          <w:szCs w:val="17"/>
          <w:color w:val="auto"/>
        </w:rPr>
        <w:t>Item 3 — To consider and vote upon an adjournment of the Special Meeting in order to solicit additional proxies if there are not sufficient shares to be voted in favor of any of the foregoing proposals at the time of the Special Meeting.</w:t>
      </w:r>
    </w:p>
    <w:p>
      <w:pPr>
        <w:spacing w:after="0" w:line="100" w:lineRule="exact"/>
        <w:rPr>
          <w:sz w:val="20"/>
          <w:szCs w:val="20"/>
          <w:color w:val="auto"/>
        </w:rPr>
      </w:pPr>
    </w:p>
    <w:p>
      <w:pPr>
        <w:ind w:left="1000" w:hanging="426"/>
        <w:spacing w:after="0"/>
        <w:tabs>
          <w:tab w:leader="none" w:pos="10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Who can vote?</w:t>
      </w:r>
    </w:p>
    <w:p>
      <w:pPr>
        <w:spacing w:after="0" w:line="151" w:lineRule="exact"/>
        <w:rPr>
          <w:sz w:val="20"/>
          <w:szCs w:val="20"/>
          <w:color w:val="auto"/>
        </w:rPr>
      </w:pPr>
    </w:p>
    <w:p>
      <w:pPr>
        <w:jc w:val="both"/>
        <w:ind w:left="1000" w:right="719" w:hanging="426"/>
        <w:spacing w:after="0" w:line="297" w:lineRule="auto"/>
        <w:tabs>
          <w:tab w:leader="none" w:pos="978"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Only those who owned Common Stock of record at the close of business on January 13, 2023, the record date for the Special Meeting (the “Record Date”), can vote. If you owned Common Stock on the Record Date, you have one vote per share for each Item up for vote at the Special Meeting.</w:t>
      </w:r>
    </w:p>
    <w:p>
      <w:pPr>
        <w:spacing w:after="0" w:line="84" w:lineRule="exact"/>
        <w:rPr>
          <w:sz w:val="20"/>
          <w:szCs w:val="20"/>
          <w:color w:val="auto"/>
        </w:rPr>
      </w:pPr>
    </w:p>
    <w:p>
      <w:pPr>
        <w:ind w:left="1000" w:hanging="426"/>
        <w:spacing w:after="0"/>
        <w:tabs>
          <w:tab w:leader="none" w:pos="10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w:t>
      </w:r>
    </w:p>
    <w:p>
      <w:pPr>
        <w:spacing w:after="0" w:line="158" w:lineRule="exact"/>
        <w:rPr>
          <w:sz w:val="20"/>
          <w:szCs w:val="20"/>
          <w:color w:val="auto"/>
        </w:rPr>
      </w:pPr>
    </w:p>
    <w:p>
      <w:pPr>
        <w:ind w:left="1000" w:right="619" w:hanging="426"/>
        <w:spacing w:after="0" w:line="277" w:lineRule="auto"/>
        <w:tabs>
          <w:tab w:leader="none" w:pos="978"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You may vote your shares either at the Special Meeting or by proxy. To vote by proxy, you should </w:t>
      </w:r>
      <w:r>
        <w:rPr>
          <w:rFonts w:ascii="Arial" w:cs="Arial" w:eastAsia="Arial" w:hAnsi="Arial"/>
          <w:sz w:val="17"/>
          <w:szCs w:val="17"/>
          <w:b w:val="1"/>
          <w:bCs w:val="1"/>
          <w:color w:val="auto"/>
        </w:rPr>
        <w:t>mark,</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date, sign </w:t>
      </w:r>
      <w:r>
        <w:rPr>
          <w:rFonts w:ascii="Arial" w:cs="Arial" w:eastAsia="Arial" w:hAnsi="Arial"/>
          <w:sz w:val="17"/>
          <w:szCs w:val="17"/>
          <w:color w:val="auto"/>
        </w:rPr>
        <w:t>and</w:t>
      </w:r>
      <w:r>
        <w:rPr>
          <w:rFonts w:ascii="Arial" w:cs="Arial" w:eastAsia="Arial" w:hAnsi="Arial"/>
          <w:sz w:val="17"/>
          <w:szCs w:val="17"/>
          <w:b w:val="1"/>
          <w:bCs w:val="1"/>
          <w:color w:val="auto"/>
        </w:rPr>
        <w:t xml:space="preserve"> mail </w:t>
      </w:r>
      <w:r>
        <w:rPr>
          <w:rFonts w:ascii="Arial" w:cs="Arial" w:eastAsia="Arial" w:hAnsi="Arial"/>
          <w:sz w:val="17"/>
          <w:szCs w:val="17"/>
          <w:color w:val="auto"/>
        </w:rPr>
        <w:t>the proxy card provided with this proxy statement or vote by telephone or through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Internet.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7" w:name="page8"/>
    <w:bookmarkEnd w:id="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45" w:lineRule="exact"/>
        <w:rPr>
          <w:sz w:val="20"/>
          <w:szCs w:val="20"/>
          <w:color w:val="auto"/>
        </w:rPr>
      </w:pPr>
    </w:p>
    <w:p>
      <w:pPr>
        <w:ind w:left="1000" w:right="619"/>
        <w:spacing w:after="0" w:line="261" w:lineRule="auto"/>
        <w:rPr>
          <w:sz w:val="20"/>
          <w:szCs w:val="20"/>
          <w:color w:val="auto"/>
        </w:rPr>
      </w:pPr>
      <w:r>
        <w:rPr>
          <w:rFonts w:ascii="Arial" w:cs="Arial" w:eastAsia="Arial" w:hAnsi="Arial"/>
          <w:sz w:val="17"/>
          <w:szCs w:val="17"/>
          <w:color w:val="auto"/>
        </w:rPr>
        <w:t xml:space="preserve">You will be able to participate in the Special Meeting online and submit your questions during the meeting by visiting </w:t>
      </w:r>
      <w:r>
        <w:rPr>
          <w:rFonts w:ascii="Arial" w:cs="Arial" w:eastAsia="Arial" w:hAnsi="Arial"/>
          <w:sz w:val="17"/>
          <w:szCs w:val="17"/>
          <w:i w:val="1"/>
          <w:iCs w:val="1"/>
          <w:color w:val="auto"/>
        </w:rPr>
        <w:t>www.virtualshareholdermeeting.com/AGFY2023SM</w:t>
      </w:r>
      <w:r>
        <w:rPr>
          <w:rFonts w:ascii="Arial" w:cs="Arial" w:eastAsia="Arial" w:hAnsi="Arial"/>
          <w:sz w:val="17"/>
          <w:szCs w:val="17"/>
          <w:color w:val="auto"/>
        </w:rPr>
        <w:t xml:space="preserve">. To be admitted to the Special Meeting, you must enter the control number found on your proxy card, voting instruction form or notice you received. You also will be able to vote your shares electronically prior to or during the Special Meeting. If you want to submit a question during the Special Meeting, log into </w:t>
      </w:r>
      <w:r>
        <w:rPr>
          <w:rFonts w:ascii="Arial" w:cs="Arial" w:eastAsia="Arial" w:hAnsi="Arial"/>
          <w:sz w:val="17"/>
          <w:szCs w:val="17"/>
          <w:i w:val="1"/>
          <w:iCs w:val="1"/>
          <w:color w:val="auto"/>
        </w:rPr>
        <w:t xml:space="preserve">www.virtualshareholdermeeting.com/AGFY2023SM, </w:t>
      </w:r>
      <w:r>
        <w:rPr>
          <w:rFonts w:ascii="Arial" w:cs="Arial" w:eastAsia="Arial" w:hAnsi="Arial"/>
          <w:sz w:val="17"/>
          <w:szCs w:val="17"/>
          <w:color w:val="auto"/>
        </w:rPr>
        <w:t>type your question into the “Ask a Question” field,</w:t>
      </w:r>
      <w:r>
        <w:rPr>
          <w:rFonts w:ascii="Arial" w:cs="Arial" w:eastAsia="Arial" w:hAnsi="Arial"/>
          <w:sz w:val="17"/>
          <w:szCs w:val="17"/>
          <w:i w:val="1"/>
          <w:iCs w:val="1"/>
          <w:color w:val="auto"/>
        </w:rPr>
        <w:t xml:space="preserve"> </w:t>
      </w:r>
      <w:r>
        <w:rPr>
          <w:rFonts w:ascii="Arial" w:cs="Arial" w:eastAsia="Arial" w:hAnsi="Arial"/>
          <w:sz w:val="17"/>
          <w:szCs w:val="17"/>
          <w:color w:val="auto"/>
        </w:rPr>
        <w:t>and click “Submit.” Questions pertinent to meeting matters will be read and answered during the meeting, subject to time constraints.</w:t>
      </w:r>
    </w:p>
    <w:p>
      <w:pPr>
        <w:spacing w:after="0" w:line="120" w:lineRule="exact"/>
        <w:rPr>
          <w:sz w:val="20"/>
          <w:szCs w:val="20"/>
          <w:color w:val="auto"/>
        </w:rPr>
      </w:pPr>
    </w:p>
    <w:p>
      <w:pPr>
        <w:ind w:left="1000" w:right="639"/>
        <w:spacing w:after="0" w:line="359" w:lineRule="auto"/>
        <w:rPr>
          <w:sz w:val="20"/>
          <w:szCs w:val="20"/>
          <w:color w:val="auto"/>
        </w:rPr>
      </w:pPr>
      <w:r>
        <w:rPr>
          <w:rFonts w:ascii="Arial" w:cs="Arial" w:eastAsia="Arial" w:hAnsi="Arial"/>
          <w:sz w:val="15"/>
          <w:szCs w:val="15"/>
          <w:color w:val="auto"/>
        </w:rPr>
        <w:t>If you encounter any difficulties accessing the virtual meeting during the check-in or meeting time, please call the technical support number that will be posted on the Virtual Shareholder Meeting log in page.</w:t>
      </w:r>
    </w:p>
    <w:p>
      <w:pPr>
        <w:spacing w:after="0" w:line="41" w:lineRule="exact"/>
        <w:rPr>
          <w:sz w:val="20"/>
          <w:szCs w:val="20"/>
          <w:color w:val="auto"/>
        </w:rPr>
      </w:pPr>
    </w:p>
    <w:p>
      <w:pPr>
        <w:ind w:left="1000" w:hanging="426"/>
        <w:spacing w:after="0"/>
        <w:tabs>
          <w:tab w:leader="none" w:pos="100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Can I vote by telephone or electronically?</w:t>
      </w:r>
    </w:p>
    <w:p>
      <w:pPr>
        <w:spacing w:after="0" w:line="151" w:lineRule="exact"/>
        <w:rPr>
          <w:sz w:val="20"/>
          <w:szCs w:val="20"/>
          <w:color w:val="auto"/>
        </w:rPr>
      </w:pPr>
    </w:p>
    <w:p>
      <w:pPr>
        <w:ind w:left="1000" w:right="599" w:hanging="426"/>
        <w:spacing w:after="0" w:line="265" w:lineRule="auto"/>
        <w:tabs>
          <w:tab w:leader="none" w:pos="978"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February 27, 2023.</w:t>
      </w:r>
    </w:p>
    <w:p>
      <w:pPr>
        <w:spacing w:after="0" w:line="107" w:lineRule="exact"/>
        <w:rPr>
          <w:sz w:val="20"/>
          <w:szCs w:val="20"/>
          <w:color w:val="auto"/>
        </w:rPr>
      </w:pPr>
    </w:p>
    <w:p>
      <w:pPr>
        <w:ind w:left="1000" w:hanging="426"/>
        <w:spacing w:after="0"/>
        <w:tabs>
          <w:tab w:leader="none" w:pos="10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How are votes counted?</w:t>
      </w:r>
    </w:p>
    <w:p>
      <w:pPr>
        <w:spacing w:after="0" w:line="158" w:lineRule="exact"/>
        <w:rPr>
          <w:sz w:val="20"/>
          <w:szCs w:val="20"/>
          <w:color w:val="auto"/>
        </w:rPr>
      </w:pPr>
    </w:p>
    <w:p>
      <w:pPr>
        <w:ind w:left="980" w:hanging="40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You may vote </w:t>
      </w:r>
      <w:r>
        <w:rPr>
          <w:rFonts w:ascii="Arial" w:cs="Arial" w:eastAsia="Arial" w:hAnsi="Arial"/>
          <w:sz w:val="17"/>
          <w:szCs w:val="17"/>
          <w:b w:val="1"/>
          <w:bCs w:val="1"/>
          <w:color w:val="auto"/>
        </w:rPr>
        <w:t>“FOR,” “AGAINST”</w:t>
      </w:r>
      <w:r>
        <w:rPr>
          <w:rFonts w:ascii="Arial" w:cs="Arial" w:eastAsia="Arial" w:hAnsi="Arial"/>
          <w:sz w:val="17"/>
          <w:szCs w:val="17"/>
          <w:color w:val="auto"/>
        </w:rPr>
        <w:t xml:space="preserve"> or </w:t>
      </w:r>
      <w:r>
        <w:rPr>
          <w:rFonts w:ascii="Arial" w:cs="Arial" w:eastAsia="Arial" w:hAnsi="Arial"/>
          <w:sz w:val="17"/>
          <w:szCs w:val="17"/>
          <w:b w:val="1"/>
          <w:bCs w:val="1"/>
          <w:color w:val="auto"/>
        </w:rPr>
        <w:t>“ABSTAIN”</w:t>
      </w:r>
      <w:r>
        <w:rPr>
          <w:rFonts w:ascii="Arial" w:cs="Arial" w:eastAsia="Arial" w:hAnsi="Arial"/>
          <w:sz w:val="17"/>
          <w:szCs w:val="17"/>
          <w:color w:val="auto"/>
        </w:rPr>
        <w:t xml:space="preserve"> each of the three Items.</w:t>
      </w:r>
    </w:p>
    <w:p>
      <w:pPr>
        <w:spacing w:after="0" w:line="151" w:lineRule="exact"/>
        <w:rPr>
          <w:sz w:val="20"/>
          <w:szCs w:val="20"/>
          <w:color w:val="auto"/>
        </w:rPr>
      </w:pPr>
    </w:p>
    <w:p>
      <w:pPr>
        <w:ind w:left="1000" w:right="719"/>
        <w:spacing w:after="0" w:line="267" w:lineRule="auto"/>
        <w:rPr>
          <w:sz w:val="20"/>
          <w:szCs w:val="20"/>
          <w:color w:val="auto"/>
        </w:rPr>
      </w:pPr>
      <w:r>
        <w:rPr>
          <w:rFonts w:ascii="Arial" w:cs="Arial" w:eastAsia="Arial" w:hAnsi="Arial"/>
          <w:sz w:val="17"/>
          <w:szCs w:val="17"/>
          <w:color w:val="auto"/>
        </w:rPr>
        <w:t xml:space="preserve">If you return your proxy but do not mark your voting preference, the individuals named as proxies will vote your shares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the three Items. Giving a proxy will not affect your right to vote your shares at the Special Meeting. If you attend the Special Meeting, you may revoke your proxy and vote at the Special Meeting if you wish.</w:t>
      </w:r>
    </w:p>
    <w:p>
      <w:pPr>
        <w:spacing w:after="0" w:line="107" w:lineRule="exact"/>
        <w:rPr>
          <w:sz w:val="20"/>
          <w:szCs w:val="20"/>
          <w:color w:val="auto"/>
        </w:rPr>
      </w:pPr>
    </w:p>
    <w:p>
      <w:pPr>
        <w:ind w:left="1000" w:hanging="426"/>
        <w:spacing w:after="0"/>
        <w:tabs>
          <w:tab w:leader="none" w:pos="100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What are broker non-votes and abstentions?</w:t>
      </w:r>
    </w:p>
    <w:p>
      <w:pPr>
        <w:spacing w:after="0" w:line="164" w:lineRule="exact"/>
        <w:rPr>
          <w:sz w:val="20"/>
          <w:szCs w:val="20"/>
          <w:color w:val="auto"/>
        </w:rPr>
      </w:pPr>
    </w:p>
    <w:p>
      <w:pPr>
        <w:ind w:left="1000" w:right="759" w:hanging="426"/>
        <w:spacing w:after="0" w:line="305" w:lineRule="auto"/>
        <w:tabs>
          <w:tab w:leader="none" w:pos="978"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67" w:lineRule="exact"/>
        <w:rPr>
          <w:sz w:val="20"/>
          <w:szCs w:val="20"/>
          <w:color w:val="auto"/>
        </w:rPr>
      </w:pPr>
    </w:p>
    <w:p>
      <w:pPr>
        <w:ind w:left="1000" w:hanging="426"/>
        <w:spacing w:after="0"/>
        <w:tabs>
          <w:tab w:leader="none" w:pos="1000"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On which proposals do brokers have discretion to vote without instructions from beneficial owners?</w:t>
      </w:r>
    </w:p>
    <w:p>
      <w:pPr>
        <w:spacing w:after="0" w:line="187" w:lineRule="exact"/>
        <w:rPr>
          <w:sz w:val="20"/>
          <w:szCs w:val="20"/>
          <w:color w:val="auto"/>
        </w:rPr>
      </w:pPr>
    </w:p>
    <w:p>
      <w:pPr>
        <w:ind w:left="1000" w:right="599" w:hanging="426"/>
        <w:spacing w:after="0" w:line="279" w:lineRule="auto"/>
        <w:tabs>
          <w:tab w:leader="none" w:pos="9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approval of the issuance of up to 26,769,230 shares of Common Stock upon the exercise of the Warrants. Brokers will be able to vote on Item 2, the approval of an amendment to the Company’s Articles of Incorporation to increase the authorized shares of Common Stock to 200,000,000, and Item 3, the adjournment of the Special Meeting in order to solicit additional proxies if there are not sufficient shares to be voted in favor of any of the foregoing proposals at the time of the Special Meeting, in the absence of your instructions as Items 2 and 3 are considered “discretionary” items.</w:t>
      </w:r>
    </w:p>
    <w:p>
      <w:pPr>
        <w:spacing w:after="0" w:line="99" w:lineRule="exact"/>
        <w:rPr>
          <w:sz w:val="20"/>
          <w:szCs w:val="20"/>
          <w:color w:val="auto"/>
        </w:rPr>
      </w:pPr>
    </w:p>
    <w:p>
      <w:pPr>
        <w:ind w:left="1000" w:right="599" w:hanging="426"/>
        <w:spacing w:after="0" w:line="296" w:lineRule="auto"/>
        <w:tabs>
          <w:tab w:leader="none" w:pos="997"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How do broker non-votes and abstentions affect the existence of a quorum and the vote required for each Item at the Special Meeting?</w:t>
      </w:r>
    </w:p>
    <w:p>
      <w:pPr>
        <w:spacing w:after="0" w:line="74" w:lineRule="exact"/>
        <w:rPr>
          <w:sz w:val="20"/>
          <w:szCs w:val="20"/>
          <w:color w:val="auto"/>
        </w:rPr>
      </w:pPr>
    </w:p>
    <w:p>
      <w:pPr>
        <w:ind w:left="1000" w:right="619" w:hanging="426"/>
        <w:spacing w:after="0" w:line="262" w:lineRule="auto"/>
        <w:tabs>
          <w:tab w:leader="none" w:pos="9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Broker non-votes and abstentions on any matter are included in determining the number of shares represented for the purpose of determining whether a quorum is present at a stockholders’ meeting. Under Nevada law, broker non-votes are not considered to be entitled to vote on the matter and, thus, will not have any impact on the outcome of Item 1. Although abstentions are considered present and entitled to vote on a matter, abstentions are not considered to be votes cast under Nevada law, and thus will have no impact on the outcome of Items 1 and 3, each of which requires the favorable vote of a majority of the votes cast at the Special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8" w:name="page9"/>
    <w:bookmarkEnd w:id="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9" w:lineRule="exact"/>
        <w:rPr>
          <w:sz w:val="20"/>
          <w:szCs w:val="20"/>
          <w:color w:val="auto"/>
        </w:rPr>
      </w:pPr>
    </w:p>
    <w:p>
      <w:pPr>
        <w:ind w:left="1000" w:right="639"/>
        <w:spacing w:after="0" w:line="317" w:lineRule="auto"/>
        <w:rPr>
          <w:sz w:val="20"/>
          <w:szCs w:val="20"/>
          <w:color w:val="auto"/>
        </w:rPr>
      </w:pPr>
      <w:r>
        <w:rPr>
          <w:rFonts w:ascii="Arial" w:cs="Arial" w:eastAsia="Arial" w:hAnsi="Arial"/>
          <w:sz w:val="15"/>
          <w:szCs w:val="15"/>
          <w:color w:val="auto"/>
        </w:rPr>
        <w:t xml:space="preserve">Meeting by stockholders entitled to vote on the matter. </w:t>
      </w:r>
      <w:r>
        <w:rPr>
          <w:rFonts w:ascii="Arial" w:cs="Arial" w:eastAsia="Arial" w:hAnsi="Arial"/>
          <w:sz w:val="15"/>
          <w:szCs w:val="15"/>
          <w:b w:val="1"/>
          <w:bCs w:val="1"/>
          <w:color w:val="auto"/>
        </w:rPr>
        <w:t>Item 2 requires the favorable vote of a majority</w:t>
      </w:r>
      <w:r>
        <w:rPr>
          <w:rFonts w:ascii="Arial" w:cs="Arial" w:eastAsia="Arial" w:hAnsi="Arial"/>
          <w:sz w:val="15"/>
          <w:szCs w:val="15"/>
          <w:color w:val="auto"/>
        </w:rPr>
        <w:t xml:space="preserve"> </w:t>
      </w:r>
      <w:r>
        <w:rPr>
          <w:rFonts w:ascii="Arial" w:cs="Arial" w:eastAsia="Arial" w:hAnsi="Arial"/>
          <w:sz w:val="15"/>
          <w:szCs w:val="15"/>
          <w:b w:val="1"/>
          <w:bCs w:val="1"/>
          <w:color w:val="auto"/>
        </w:rPr>
        <w:t>of our outstanding shares of Common Stock, so any shares not voted (whether by abstention or otherwise) will have the same effect as a vote “against” Item 2. Accordingly, it is important that beneficial owners instruct their brokers how they wish to vote their shares on Item 2.</w:t>
      </w:r>
    </w:p>
    <w:p>
      <w:pPr>
        <w:spacing w:after="0" w:line="71" w:lineRule="exact"/>
        <w:rPr>
          <w:sz w:val="20"/>
          <w:szCs w:val="20"/>
          <w:color w:val="auto"/>
        </w:rPr>
      </w:pPr>
    </w:p>
    <w:p>
      <w:pPr>
        <w:ind w:left="1000" w:hanging="426"/>
        <w:spacing w:after="0"/>
        <w:tabs>
          <w:tab w:leader="none" w:pos="100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Can I change my vote after I return my proxy card?</w:t>
      </w:r>
    </w:p>
    <w:p>
      <w:pPr>
        <w:spacing w:after="0" w:line="164" w:lineRule="exact"/>
        <w:rPr>
          <w:sz w:val="20"/>
          <w:szCs w:val="20"/>
          <w:color w:val="auto"/>
        </w:rPr>
      </w:pPr>
    </w:p>
    <w:p>
      <w:pPr>
        <w:ind w:left="1000" w:right="659" w:hanging="426"/>
        <w:spacing w:after="0" w:line="265" w:lineRule="auto"/>
        <w:tabs>
          <w:tab w:leader="none" w:pos="978" w:val="left"/>
        </w:tabs>
        <w:numPr>
          <w:ilvl w:val="0"/>
          <w:numId w:val="28"/>
        </w:numPr>
        <w:rPr>
          <w:rFonts w:ascii="Arial" w:cs="Arial" w:eastAsia="Arial" w:hAnsi="Arial"/>
          <w:sz w:val="17"/>
          <w:szCs w:val="17"/>
          <w:color w:val="auto"/>
        </w:rPr>
      </w:pPr>
      <w:r>
        <w:rPr>
          <w:rFonts w:ascii="Arial" w:cs="Arial" w:eastAsia="Arial" w:hAnsi="Arial"/>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Special Meeting will not by itself revoke a previously granted proxy; however, delivery of a later dated proxy before the polls close at the Special Meeting will revoke a proxy previously granted.</w:t>
      </w:r>
    </w:p>
    <w:p>
      <w:pPr>
        <w:spacing w:after="0" w:line="94" w:lineRule="exact"/>
        <w:rPr>
          <w:sz w:val="20"/>
          <w:szCs w:val="20"/>
          <w:color w:val="auto"/>
        </w:rPr>
      </w:pPr>
    </w:p>
    <w:p>
      <w:pPr>
        <w:ind w:left="1000" w:hanging="426"/>
        <w:spacing w:after="0"/>
        <w:tabs>
          <w:tab w:leader="none" w:pos="100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Board’s recommendations?</w:t>
      </w:r>
    </w:p>
    <w:p>
      <w:pPr>
        <w:spacing w:after="0" w:line="164" w:lineRule="exact"/>
        <w:rPr>
          <w:sz w:val="20"/>
          <w:szCs w:val="20"/>
          <w:color w:val="auto"/>
        </w:rPr>
      </w:pPr>
    </w:p>
    <w:p>
      <w:pPr>
        <w:ind w:left="980" w:hanging="406"/>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Board of Directors recommends that you vote your shares as follows:</w:t>
      </w:r>
    </w:p>
    <w:p>
      <w:pPr>
        <w:spacing w:after="0" w:line="152" w:lineRule="exact"/>
        <w:rPr>
          <w:rFonts w:ascii="Arial" w:cs="Arial" w:eastAsia="Arial" w:hAnsi="Arial"/>
          <w:sz w:val="17"/>
          <w:szCs w:val="17"/>
          <w:color w:val="auto"/>
        </w:rPr>
      </w:pPr>
    </w:p>
    <w:p>
      <w:pPr>
        <w:ind w:left="1420" w:right="659" w:hanging="426"/>
        <w:spacing w:after="0" w:line="270" w:lineRule="auto"/>
        <w:tabs>
          <w:tab w:leader="none" w:pos="1415" w:val="left"/>
        </w:tabs>
        <w:numPr>
          <w:ilvl w:val="1"/>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as contemplated by Nasdaq Listing Rule 5635, of the issuance of up to</w:t>
      </w:r>
      <w:r>
        <w:rPr>
          <w:rFonts w:ascii="Arial" w:cs="Arial" w:eastAsia="Arial" w:hAnsi="Arial"/>
          <w:sz w:val="17"/>
          <w:szCs w:val="17"/>
          <w:b w:val="1"/>
          <w:bCs w:val="1"/>
          <w:color w:val="auto"/>
        </w:rPr>
        <w:t xml:space="preserve"> </w:t>
      </w:r>
      <w:r>
        <w:rPr>
          <w:rFonts w:ascii="Arial" w:cs="Arial" w:eastAsia="Arial" w:hAnsi="Arial"/>
          <w:sz w:val="17"/>
          <w:szCs w:val="17"/>
          <w:color w:val="auto"/>
        </w:rPr>
        <w:t>26,769,230 shares of Common Stock upon the exercise of the Warrants, and to permit the reduction of the exercise price of those Warrants under certain circumstances, as described in Item 1 of this proxy statement;</w:t>
      </w:r>
    </w:p>
    <w:p>
      <w:pPr>
        <w:spacing w:after="0" w:line="89" w:lineRule="exact"/>
        <w:rPr>
          <w:rFonts w:ascii="Arial" w:cs="Arial" w:eastAsia="Arial" w:hAnsi="Arial"/>
          <w:sz w:val="17"/>
          <w:szCs w:val="17"/>
          <w:color w:val="auto"/>
        </w:rPr>
      </w:pPr>
    </w:p>
    <w:p>
      <w:pPr>
        <w:ind w:left="1420" w:right="799" w:hanging="426"/>
        <w:spacing w:after="0" w:line="270" w:lineRule="auto"/>
        <w:tabs>
          <w:tab w:leader="none" w:pos="1415" w:val="left"/>
        </w:tabs>
        <w:numPr>
          <w:ilvl w:val="1"/>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an Amendment to our Articles of Incorporation to increase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shares of Common Stock from 100,000,000 to 200,000,000, and to correspondingly increase the total authorized shares of stock from 103,000,000 to 203,000,000, as described in Item 2 of this proxy statement; and</w:t>
      </w:r>
    </w:p>
    <w:p>
      <w:pPr>
        <w:spacing w:after="0" w:line="102" w:lineRule="exact"/>
        <w:rPr>
          <w:rFonts w:ascii="Arial" w:cs="Arial" w:eastAsia="Arial" w:hAnsi="Arial"/>
          <w:sz w:val="17"/>
          <w:szCs w:val="17"/>
          <w:color w:val="auto"/>
        </w:rPr>
      </w:pPr>
    </w:p>
    <w:p>
      <w:pPr>
        <w:jc w:val="both"/>
        <w:ind w:left="1420" w:right="659" w:hanging="426"/>
        <w:spacing w:after="0" w:line="277" w:lineRule="auto"/>
        <w:tabs>
          <w:tab w:leader="none" w:pos="1415" w:val="left"/>
        </w:tabs>
        <w:numPr>
          <w:ilvl w:val="1"/>
          <w:numId w:val="30"/>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an adjournment of the Special Meeting in order to solicit additional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are not sufficient shares to be voted in favor of any of the foregoing proposals at the time of the Special Meeting.</w:t>
      </w:r>
    </w:p>
    <w:p>
      <w:pPr>
        <w:spacing w:after="0" w:line="96" w:lineRule="exact"/>
        <w:rPr>
          <w:sz w:val="20"/>
          <w:szCs w:val="20"/>
          <w:color w:val="auto"/>
        </w:rPr>
      </w:pPr>
    </w:p>
    <w:p>
      <w:pPr>
        <w:ind w:left="1000" w:hanging="426"/>
        <w:spacing w:after="0"/>
        <w:tabs>
          <w:tab w:leader="none" w:pos="10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What constitutes a quorum?</w:t>
      </w:r>
    </w:p>
    <w:p>
      <w:pPr>
        <w:spacing w:after="0" w:line="151" w:lineRule="exact"/>
        <w:rPr>
          <w:sz w:val="20"/>
          <w:szCs w:val="20"/>
          <w:color w:val="auto"/>
        </w:rPr>
      </w:pPr>
    </w:p>
    <w:p>
      <w:pPr>
        <w:ind w:left="1000" w:right="599" w:hanging="426"/>
        <w:spacing w:after="0" w:line="289" w:lineRule="auto"/>
        <w:tabs>
          <w:tab w:leader="none" w:pos="97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 of January 13, 2023 we had 20,740,977 shares of Common Stock outstanding and 56 holders of record. Each share of our Common Stock is entitled to one vote per share. The holders of a majority of the total outstanding shares entitled to vote, present at the Special Meeting or represented by proxy, will constitute a quorum for the transaction of business at the Special Meeting.</w:t>
      </w:r>
    </w:p>
    <w:p>
      <w:pPr>
        <w:spacing w:after="0" w:line="90" w:lineRule="exact"/>
        <w:rPr>
          <w:sz w:val="20"/>
          <w:szCs w:val="20"/>
          <w:color w:val="auto"/>
        </w:rPr>
      </w:pPr>
    </w:p>
    <w:p>
      <w:pPr>
        <w:ind w:left="1000" w:hanging="426"/>
        <w:spacing w:after="0"/>
        <w:tabs>
          <w:tab w:leader="none" w:pos="100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a quorum is not present?</w:t>
      </w:r>
    </w:p>
    <w:p>
      <w:pPr>
        <w:spacing w:after="0" w:line="164" w:lineRule="exact"/>
        <w:rPr>
          <w:sz w:val="20"/>
          <w:szCs w:val="20"/>
          <w:color w:val="auto"/>
        </w:rPr>
      </w:pPr>
    </w:p>
    <w:p>
      <w:pPr>
        <w:ind w:left="1000" w:right="819" w:hanging="426"/>
        <w:spacing w:after="0" w:line="289" w:lineRule="auto"/>
        <w:tabs>
          <w:tab w:leader="none" w:pos="978"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 quorum is not present at the scheduled time of the Special Meeting, then the stockholders who are represented may adjourn the Special Meeting until a quorum is present. The time and place of an adjourned meeting, if necessary, would be announced at the time the adjournment is taken and no other notice would be given. Voting cannot take place unless a quorum is present.</w:t>
      </w:r>
    </w:p>
    <w:p>
      <w:pPr>
        <w:spacing w:after="0" w:line="77" w:lineRule="exact"/>
        <w:rPr>
          <w:sz w:val="20"/>
          <w:szCs w:val="20"/>
          <w:color w:val="auto"/>
        </w:rPr>
      </w:pPr>
    </w:p>
    <w:p>
      <w:pPr>
        <w:ind w:left="1000" w:hanging="426"/>
        <w:spacing w:after="0"/>
        <w:tabs>
          <w:tab w:leader="none" w:pos="100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voting requirement to approve each of the items?</w:t>
      </w:r>
    </w:p>
    <w:p>
      <w:pPr>
        <w:spacing w:after="0" w:line="164" w:lineRule="exact"/>
        <w:rPr>
          <w:sz w:val="20"/>
          <w:szCs w:val="20"/>
          <w:color w:val="auto"/>
        </w:rPr>
      </w:pPr>
    </w:p>
    <w:p>
      <w:pPr>
        <w:ind w:left="980" w:hanging="406"/>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voting requirement to approve each of the proposals is as follows:</w:t>
      </w:r>
    </w:p>
    <w:p>
      <w:pPr>
        <w:spacing w:after="0" w:line="158" w:lineRule="exact"/>
        <w:rPr>
          <w:rFonts w:ascii="Arial" w:cs="Arial" w:eastAsia="Arial" w:hAnsi="Arial"/>
          <w:sz w:val="17"/>
          <w:szCs w:val="17"/>
          <w:color w:val="auto"/>
        </w:rPr>
      </w:pPr>
    </w:p>
    <w:p>
      <w:pPr>
        <w:ind w:left="1420" w:right="739" w:hanging="426"/>
        <w:spacing w:after="0" w:line="265" w:lineRule="auto"/>
        <w:tabs>
          <w:tab w:leader="none" w:pos="1415"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affirmative vote of a majority of votes cast on the proposal, excluding any shares of Common Stock held by parties that hold the Warrants, is required to approve, as contemplated by Nasdaq Listing Rule 5635, the issuance of up to 26,769,230 shares of Common Stock upon the exercise of the Warrants, and to permit the reduction of the exercise price of those Warrants under certain circumstances;</w:t>
      </w:r>
    </w:p>
    <w:p>
      <w:pPr>
        <w:spacing w:after="0" w:line="99" w:lineRule="exact"/>
        <w:rPr>
          <w:rFonts w:ascii="Arial" w:cs="Arial" w:eastAsia="Arial" w:hAnsi="Arial"/>
          <w:sz w:val="17"/>
          <w:szCs w:val="17"/>
          <w:color w:val="auto"/>
        </w:rPr>
      </w:pPr>
    </w:p>
    <w:p>
      <w:pPr>
        <w:ind w:left="1420" w:right="619" w:hanging="426"/>
        <w:spacing w:after="0" w:line="267" w:lineRule="auto"/>
        <w:tabs>
          <w:tab w:leader="none" w:pos="1415"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affirmative vote of a majority of our outstanding shares of Common Stock is required to approve an Amendment to our Articles of Incorporation to increase the number of authorized shares of Common Stock from 100,000,000 to 200,000,000, and to correspondingly increase the total authorized shares of stock from 103,000,000 to 203,000,000;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9" w:name="page10"/>
    <w:bookmarkEnd w:id="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45" w:lineRule="exact"/>
        <w:rPr>
          <w:sz w:val="20"/>
          <w:szCs w:val="20"/>
          <w:color w:val="auto"/>
        </w:rPr>
      </w:pPr>
    </w:p>
    <w:p>
      <w:pPr>
        <w:ind w:left="1420" w:right="779" w:hanging="426"/>
        <w:spacing w:after="0" w:line="297" w:lineRule="auto"/>
        <w:tabs>
          <w:tab w:leader="none" w:pos="14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affirmative vote of a majority of votes cast on the proposal is required to approve the adjournment of the Special Meeting in order to solicit additional proxies if there are not sufficient shares to be voted in favor of any of the foregoing proposals at the time of the Special Meeting.</w:t>
      </w:r>
    </w:p>
    <w:p>
      <w:pPr>
        <w:spacing w:after="0" w:line="83" w:lineRule="exact"/>
        <w:rPr>
          <w:rFonts w:ascii="Arial" w:cs="Arial" w:eastAsia="Arial" w:hAnsi="Arial"/>
          <w:sz w:val="16"/>
          <w:szCs w:val="16"/>
          <w:color w:val="auto"/>
        </w:rPr>
      </w:pPr>
    </w:p>
    <w:p>
      <w:pPr>
        <w:ind w:left="1000" w:hanging="426"/>
        <w:spacing w:after="0"/>
        <w:tabs>
          <w:tab w:leader="none" w:pos="100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Can I vote on other matters?</w:t>
      </w:r>
    </w:p>
    <w:p>
      <w:pPr>
        <w:spacing w:after="0" w:line="164" w:lineRule="exact"/>
        <w:rPr>
          <w:sz w:val="20"/>
          <w:szCs w:val="20"/>
          <w:color w:val="auto"/>
        </w:rPr>
      </w:pPr>
    </w:p>
    <w:p>
      <w:pPr>
        <w:ind w:left="1000" w:right="619" w:hanging="426"/>
        <w:spacing w:after="0" w:line="273" w:lineRule="auto"/>
        <w:tabs>
          <w:tab w:leader="none" w:pos="978"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Amended and Restated Bylaws limit the matters presented at a Special Meeting to those in a notice of a Special Meeting. No matters other than those included in the Notice of Special Meeting may properly come before the Special Meeting.</w:t>
      </w:r>
    </w:p>
    <w:p>
      <w:pPr>
        <w:spacing w:after="0" w:line="87" w:lineRule="exact"/>
        <w:rPr>
          <w:sz w:val="20"/>
          <w:szCs w:val="20"/>
          <w:color w:val="auto"/>
        </w:rPr>
      </w:pPr>
    </w:p>
    <w:p>
      <w:pPr>
        <w:ind w:left="1000" w:hanging="426"/>
        <w:spacing w:after="0"/>
        <w:tabs>
          <w:tab w:leader="none" w:pos="10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Who will count the vote?</w:t>
      </w:r>
    </w:p>
    <w:p>
      <w:pPr>
        <w:spacing w:after="0" w:line="164" w:lineRule="exact"/>
        <w:rPr>
          <w:sz w:val="20"/>
          <w:szCs w:val="20"/>
          <w:color w:val="auto"/>
        </w:rPr>
      </w:pPr>
    </w:p>
    <w:p>
      <w:pPr>
        <w:jc w:val="center"/>
        <w:ind w:left="4460" w:right="1179" w:hanging="3886"/>
        <w:spacing w:after="0" w:line="498" w:lineRule="auto"/>
        <w:tabs>
          <w:tab w:leader="none" w:pos="9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Representatives of Broadridge Financial Solutions, Inc., our transfer agent, will tabulate the votes.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-132080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0" w:name="page11"/>
    <w:bookmarkEnd w:id="1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9" w:lineRule="exact"/>
        <w:rPr>
          <w:sz w:val="20"/>
          <w:szCs w:val="20"/>
          <w:color w:val="auto"/>
        </w:rPr>
      </w:pPr>
    </w:p>
    <w:p>
      <w:pPr>
        <w:jc w:val="center"/>
        <w:ind w:left="2020" w:right="80"/>
        <w:spacing w:after="0" w:line="296" w:lineRule="auto"/>
        <w:rPr>
          <w:sz w:val="20"/>
          <w:szCs w:val="20"/>
          <w:color w:val="auto"/>
        </w:rPr>
      </w:pPr>
      <w:r>
        <w:rPr>
          <w:rFonts w:ascii="Arial" w:cs="Arial" w:eastAsia="Arial" w:hAnsi="Arial"/>
          <w:sz w:val="17"/>
          <w:szCs w:val="17"/>
          <w:b w:val="1"/>
          <w:bCs w:val="1"/>
          <w:color w:val="auto"/>
        </w:rPr>
        <w:t>ITEM 1 — APPROVAL OF THE ISSUANCE OF UP TO 26,769,230 SHARES OF COMMON STOCK UPON THE EXERCISE OF WARRANTS ISSUED IN DECEMBER 2022</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General</w:t>
      </w:r>
    </w:p>
    <w:p>
      <w:pPr>
        <w:spacing w:after="0" w:line="164" w:lineRule="exact"/>
        <w:rPr>
          <w:sz w:val="20"/>
          <w:szCs w:val="20"/>
          <w:color w:val="auto"/>
        </w:rPr>
      </w:pPr>
    </w:p>
    <w:p>
      <w:pPr>
        <w:ind w:left="580" w:right="719" w:firstLine="419"/>
        <w:spacing w:after="0" w:line="267" w:lineRule="auto"/>
        <w:rPr>
          <w:sz w:val="20"/>
          <w:szCs w:val="20"/>
          <w:color w:val="auto"/>
        </w:rPr>
      </w:pPr>
      <w:r>
        <w:rPr>
          <w:rFonts w:ascii="Arial" w:cs="Arial" w:eastAsia="Arial" w:hAnsi="Arial"/>
          <w:sz w:val="17"/>
          <w:szCs w:val="17"/>
          <w:color w:val="auto"/>
        </w:rPr>
        <w:t>We are asking stockholders to approve the issuance of up to 26,769,230 shares of our Common Stock upon the exercise of Warrants issued in connection with our public offering on December 20, 2022, as contemplated by Nasdaq Listing Rule 5635, and to permit the reduction of the exercise price of those Warrants under certain circumstances, as described in more detail below.</w:t>
      </w:r>
    </w:p>
    <w:p>
      <w:pPr>
        <w:spacing w:after="0" w:line="113" w:lineRule="exact"/>
        <w:rPr>
          <w:sz w:val="20"/>
          <w:szCs w:val="20"/>
          <w:color w:val="auto"/>
        </w:rPr>
      </w:pPr>
    </w:p>
    <w:p>
      <w:pPr>
        <w:ind w:left="580" w:right="619" w:firstLine="419"/>
        <w:spacing w:after="0" w:line="281" w:lineRule="auto"/>
        <w:rPr>
          <w:sz w:val="20"/>
          <w:szCs w:val="20"/>
          <w:color w:val="auto"/>
        </w:rPr>
      </w:pPr>
      <w:r>
        <w:rPr>
          <w:rFonts w:ascii="Arial" w:cs="Arial" w:eastAsia="Arial" w:hAnsi="Arial"/>
          <w:sz w:val="16"/>
          <w:szCs w:val="16"/>
          <w:color w:val="auto"/>
        </w:rPr>
        <w:t>On December 16, 2022, we entered into an underwriting agreement (the “Underwriting Agreement”) with Canaccord Genuity LLC as underwriter, pursuant to which we agreed to issue and sell an aggregate of</w:t>
      </w:r>
    </w:p>
    <w:p>
      <w:pPr>
        <w:ind w:left="580" w:right="779" w:hanging="6"/>
        <w:spacing w:after="0" w:line="273" w:lineRule="auto"/>
        <w:tabs>
          <w:tab w:leader="none" w:pos="788" w:val="left"/>
        </w:tabs>
        <w:numPr>
          <w:ilvl w:val="0"/>
          <w:numId w:val="41"/>
        </w:numPr>
        <w:rPr>
          <w:rFonts w:ascii="Arial" w:cs="Arial" w:eastAsia="Arial" w:hAnsi="Arial"/>
          <w:sz w:val="16"/>
          <w:szCs w:val="16"/>
          <w:color w:val="auto"/>
        </w:rPr>
      </w:pPr>
      <w:r>
        <w:rPr>
          <w:rFonts w:ascii="Arial" w:cs="Arial" w:eastAsia="Arial" w:hAnsi="Arial"/>
          <w:sz w:val="16"/>
          <w:szCs w:val="16"/>
          <w:color w:val="auto"/>
        </w:rPr>
        <w:t>11,884,615 shares of Common Stock, and, in lieu of Common Stock to certain investors that so chose, pre-funded warrants (the “Pre-Funded Warrants”) to purchase 1,500,000 shares of Common Stock, and</w:t>
      </w:r>
    </w:p>
    <w:p>
      <w:pPr>
        <w:ind w:left="580" w:right="599" w:hanging="6"/>
        <w:spacing w:after="0" w:line="281" w:lineRule="auto"/>
        <w:tabs>
          <w:tab w:leader="none" w:pos="837"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accompanying warrants (the “Warrants”) to purchase 26,769,230 shares of Common Stock (the “Offering”). The combined public offering price for each share of Common Stock and accompanying two Common Warrants was $0.65, and the combined offering price for each Pre-Funded Warrant and accompanying two Warrants was $0.649, which equals the public offering price per share of the Common Stock and accompanying two Common Warrants, less the $0.001 per share exercise price of each Pre-Funded Warrant.</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Description of Warrants</w:t>
      </w:r>
    </w:p>
    <w:p>
      <w:pPr>
        <w:spacing w:after="0" w:line="151" w:lineRule="exact"/>
        <w:rPr>
          <w:sz w:val="20"/>
          <w:szCs w:val="20"/>
          <w:color w:val="auto"/>
        </w:rPr>
      </w:pPr>
    </w:p>
    <w:p>
      <w:pPr>
        <w:ind w:left="580" w:right="659" w:firstLine="419"/>
        <w:spacing w:after="0" w:line="263" w:lineRule="auto"/>
        <w:rPr>
          <w:sz w:val="20"/>
          <w:szCs w:val="20"/>
          <w:color w:val="auto"/>
        </w:rPr>
      </w:pPr>
      <w:r>
        <w:rPr>
          <w:rFonts w:ascii="Arial" w:cs="Arial" w:eastAsia="Arial" w:hAnsi="Arial"/>
          <w:sz w:val="17"/>
          <w:szCs w:val="17"/>
          <w:color w:val="auto"/>
        </w:rPr>
        <w:t>The Warrants have an exercise price of $0.65 per share, subject to adjustment for stock splits, reverse stock splits, stock dividends and similar transactions, will become exercisable upon approval of our stockholders at the Special Meeting permitting their exercise, have a term of five years from the date of such stockholder approval, and are exercisable on a cash basis, unless there is not an effective registration statement covering the resale of the shares issuable upon exercise of the Warrants, in which case the Warrants will also be exercisable on a cashless exercise basis at the holder’s election.</w:t>
      </w:r>
    </w:p>
    <w:p>
      <w:pPr>
        <w:spacing w:after="0" w:line="116" w:lineRule="exact"/>
        <w:rPr>
          <w:sz w:val="20"/>
          <w:szCs w:val="20"/>
          <w:color w:val="auto"/>
        </w:rPr>
      </w:pPr>
    </w:p>
    <w:p>
      <w:pPr>
        <w:ind w:left="580" w:right="639" w:firstLine="419"/>
        <w:spacing w:after="0" w:line="265" w:lineRule="auto"/>
        <w:rPr>
          <w:sz w:val="20"/>
          <w:szCs w:val="20"/>
          <w:color w:val="auto"/>
        </w:rPr>
      </w:pPr>
      <w:r>
        <w:rPr>
          <w:rFonts w:ascii="Arial" w:cs="Arial" w:eastAsia="Arial" w:hAnsi="Arial"/>
          <w:sz w:val="17"/>
          <w:szCs w:val="17"/>
          <w:color w:val="auto"/>
        </w:rPr>
        <w:t>Each Warrant’s exercise price will be reduced to the extent we issue securities for a lower purchase price (the “Warrant Reset”), in which case the exercise price per share will be reduced to the applicable lower purchase price, subject to certain exceptions. The Warrants provide that in the event of certain enumerated fundamental transactions, each holder of warrants will have the option to require us to purchase its Warrants for the Black-Scholes value of the Warrants in cash.</w:t>
      </w:r>
    </w:p>
    <w:p>
      <w:pPr>
        <w:spacing w:after="0" w:line="113" w:lineRule="exact"/>
        <w:rPr>
          <w:sz w:val="20"/>
          <w:szCs w:val="20"/>
          <w:color w:val="auto"/>
        </w:rPr>
      </w:pPr>
    </w:p>
    <w:p>
      <w:pPr>
        <w:ind w:left="580" w:right="679" w:firstLine="419"/>
        <w:spacing w:after="0" w:line="295" w:lineRule="auto"/>
        <w:rPr>
          <w:sz w:val="20"/>
          <w:szCs w:val="20"/>
          <w:color w:val="auto"/>
        </w:rPr>
      </w:pPr>
      <w:r>
        <w:rPr>
          <w:rFonts w:ascii="Arial" w:cs="Arial" w:eastAsia="Arial" w:hAnsi="Arial"/>
          <w:sz w:val="15"/>
          <w:szCs w:val="15"/>
          <w:color w:val="auto"/>
        </w:rPr>
        <w:t>Each Warrant provides that in no event will the number of shares of Common Stock issued upon exercise of such Warrant result in the holder’s beneficial ownership exceeding 4.99% of our shares of common stock outstanding at the time of exercise (which percentage may be decreased or increased by the holder, but to no greater than 9.99%, and provided that any increase above 4.99% will not be effective until the sixty-first</w:t>
      </w:r>
    </w:p>
    <w:p>
      <w:pPr>
        <w:spacing w:after="0" w:line="2" w:lineRule="exact"/>
        <w:rPr>
          <w:sz w:val="20"/>
          <w:szCs w:val="20"/>
          <w:color w:val="auto"/>
        </w:rPr>
      </w:pPr>
    </w:p>
    <w:p>
      <w:pPr>
        <w:jc w:val="both"/>
        <w:ind w:left="580" w:right="639"/>
        <w:spacing w:after="0" w:line="248" w:lineRule="auto"/>
        <w:rPr>
          <w:sz w:val="20"/>
          <w:szCs w:val="20"/>
          <w:color w:val="auto"/>
        </w:rPr>
      </w:pPr>
      <w:r>
        <w:rPr>
          <w:rFonts w:ascii="Arial" w:cs="Arial" w:eastAsia="Arial" w:hAnsi="Arial"/>
          <w:sz w:val="17"/>
          <w:szCs w:val="17"/>
          <w:color w:val="auto"/>
        </w:rPr>
        <w:t>(61</w:t>
      </w:r>
      <w:r>
        <w:rPr>
          <w:rFonts w:ascii="Arial" w:cs="Arial" w:eastAsia="Arial" w:hAnsi="Arial"/>
          <w:sz w:val="20"/>
          <w:szCs w:val="20"/>
          <w:color w:val="auto"/>
          <w:vertAlign w:val="superscript"/>
        </w:rPr>
        <w:t>st</w:t>
      </w:r>
      <w:r>
        <w:rPr>
          <w:rFonts w:ascii="Arial" w:cs="Arial" w:eastAsia="Arial" w:hAnsi="Arial"/>
          <w:sz w:val="17"/>
          <w:szCs w:val="17"/>
          <w:color w:val="auto"/>
        </w:rPr>
        <w:t>) day after notice of such request by the Holder to increase its beneficial ownership limit has been delivered to us). Additionally, Warrants may not be exercised unless and until shareholder approval is obtained, which we agreed to use reasonable best efforts to obtain such shareholder approval at the next meeting of stockholders of the Company, but in no event later than February 28, 2023.</w:t>
      </w:r>
    </w:p>
    <w:p>
      <w:pPr>
        <w:spacing w:after="0" w:line="114" w:lineRule="exact"/>
        <w:rPr>
          <w:sz w:val="20"/>
          <w:szCs w:val="20"/>
          <w:color w:val="auto"/>
        </w:rPr>
      </w:pPr>
    </w:p>
    <w:p>
      <w:pPr>
        <w:ind w:left="580" w:right="599" w:firstLine="419"/>
        <w:spacing w:after="0" w:line="305" w:lineRule="auto"/>
        <w:rPr>
          <w:sz w:val="20"/>
          <w:szCs w:val="20"/>
          <w:color w:val="auto"/>
        </w:rPr>
      </w:pPr>
      <w:r>
        <w:rPr>
          <w:rFonts w:ascii="Arial" w:cs="Arial" w:eastAsia="Arial" w:hAnsi="Arial"/>
          <w:sz w:val="15"/>
          <w:szCs w:val="15"/>
          <w:color w:val="auto"/>
        </w:rPr>
        <w:t>We do not plan on making an application to list the Warrants on The Nasdaq Capital Market, any national securities exchange or other nationally recognized trading system. Except as otherwise provided in the Warrants or by virtue of such holder’s ownership of shares of our Common Stock, the holders of the Warrants do not have the rights or privileges of holders of our Common Stock, including any voting rights, until they exercise their Warrants. No fractional shares of Common Stock will be issued upon the exercise of the Warrants. Rather, the number of shares of Common Stock to be issued will be rounded up to the nearest whole number.</w:t>
      </w:r>
    </w:p>
    <w:p>
      <w:pPr>
        <w:spacing w:after="0" w:line="86" w:lineRule="exact"/>
        <w:rPr>
          <w:sz w:val="20"/>
          <w:szCs w:val="20"/>
          <w:color w:val="auto"/>
        </w:rPr>
      </w:pPr>
    </w:p>
    <w:p>
      <w:pPr>
        <w:ind w:left="580" w:right="819" w:firstLine="419"/>
        <w:spacing w:after="0" w:line="267" w:lineRule="auto"/>
        <w:rPr>
          <w:sz w:val="20"/>
          <w:szCs w:val="20"/>
          <w:color w:val="auto"/>
        </w:rPr>
      </w:pPr>
      <w:r>
        <w:rPr>
          <w:rFonts w:ascii="Arial" w:cs="Arial" w:eastAsia="Arial" w:hAnsi="Arial"/>
          <w:sz w:val="17"/>
          <w:szCs w:val="17"/>
          <w:color w:val="auto"/>
        </w:rPr>
        <w:t>The foregoing description of the Warrants is not complete and is qualified in its entirety by reference to the full text of the form of the Warrant, a copy of which is attached as Exhibit 4.2 to the Current Report on Form 8-K that we filed with the Securities and Exchange Commission on December 16, 2022, which is incorporated by reference herein.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1" w:name="page12"/>
    <w:bookmarkEnd w:id="1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Purpose of Proposal No. 1</w:t>
      </w:r>
    </w:p>
    <w:p>
      <w:pPr>
        <w:spacing w:after="0" w:line="151" w:lineRule="exact"/>
        <w:rPr>
          <w:sz w:val="20"/>
          <w:szCs w:val="20"/>
          <w:color w:val="auto"/>
        </w:rPr>
      </w:pPr>
    </w:p>
    <w:p>
      <w:pPr>
        <w:ind w:left="580" w:right="619" w:firstLine="419"/>
        <w:spacing w:after="0" w:line="279" w:lineRule="auto"/>
        <w:rPr>
          <w:sz w:val="20"/>
          <w:szCs w:val="20"/>
          <w:color w:val="auto"/>
        </w:rPr>
      </w:pPr>
      <w:r>
        <w:rPr>
          <w:rFonts w:ascii="Arial" w:cs="Arial" w:eastAsia="Arial" w:hAnsi="Arial"/>
          <w:sz w:val="16"/>
          <w:szCs w:val="16"/>
          <w:color w:val="auto"/>
        </w:rPr>
        <w:t>Our Common Stock is listed on The Nasdaq Capital Stock Market and trades under the ticker symbol “AGFY”. Nasdaq Listing Rule 5635(d) requires stockholder approval of transactions other than public offerings of greater than 20% of the outstanding common stock or voting power of the issuer prior to the offering. In determining whether an offering qualifies as a public offering, Nasdaq considers all relevant factors, including the extent of any discount to market price. In determining discount, Nasdaq generally attributes a value of $0.125 for each warrant offered with a share of Common Stock, which value is generally deemed to be a discount. In order to ensure that the Offering qualifies as a public offering under Rule 5635 due to the value attributable to the Warrants, the Warrants provide they may not be exercised — and therefore have no value — until stockholder approval of their exercise is obtained.</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Potential Consequences if Proposal No. 1 is Not Approved</w:t>
      </w:r>
    </w:p>
    <w:p>
      <w:pPr>
        <w:spacing w:after="0" w:line="164" w:lineRule="exact"/>
        <w:rPr>
          <w:sz w:val="20"/>
          <w:szCs w:val="20"/>
          <w:color w:val="auto"/>
        </w:rPr>
      </w:pPr>
    </w:p>
    <w:p>
      <w:pPr>
        <w:ind w:left="580" w:right="759" w:firstLine="419"/>
        <w:spacing w:after="0" w:line="305" w:lineRule="auto"/>
        <w:rPr>
          <w:sz w:val="20"/>
          <w:szCs w:val="20"/>
          <w:color w:val="auto"/>
        </w:rPr>
      </w:pPr>
      <w:r>
        <w:rPr>
          <w:rFonts w:ascii="Arial" w:cs="Arial" w:eastAsia="Arial" w:hAnsi="Arial"/>
          <w:sz w:val="15"/>
          <w:szCs w:val="15"/>
          <w:color w:val="auto"/>
        </w:rPr>
        <w:t>The board of directors is not seeking the approval of our stockholders to authorize our entry into the Underwriting Agreement, as the issuance and sale of the Warrants has already occurred. The failure of our stockholders to approve this Proposal No. 1 will mean that we cannot permit exercise of the Warrants. If all of the Warrants are exercised, we would realize an aggregate of approximately $17.4 million in gross proceeds, assuming no adjustment to the exercise price of the Warrants as described above. If the Warrants cannot be exercised, we will not receive such proceeds, which could adversely impact our ability to fund our operations.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Potential Adverse Effects of Proposal No. 1</w:t>
      </w:r>
    </w:p>
    <w:p>
      <w:pPr>
        <w:spacing w:after="0" w:line="164" w:lineRule="exact"/>
        <w:rPr>
          <w:sz w:val="20"/>
          <w:szCs w:val="20"/>
          <w:color w:val="auto"/>
        </w:rPr>
      </w:pPr>
    </w:p>
    <w:p>
      <w:pPr>
        <w:ind w:left="580" w:right="639" w:firstLine="419"/>
        <w:spacing w:after="0" w:line="261" w:lineRule="auto"/>
        <w:rPr>
          <w:sz w:val="20"/>
          <w:szCs w:val="20"/>
          <w:color w:val="auto"/>
        </w:rPr>
      </w:pPr>
      <w:r>
        <w:rPr>
          <w:rFonts w:ascii="Arial" w:cs="Arial" w:eastAsia="Arial" w:hAnsi="Arial"/>
          <w:sz w:val="17"/>
          <w:szCs w:val="17"/>
          <w:color w:val="auto"/>
        </w:rPr>
        <w:t>If this Proposal No. 1 is approved, existing stockholders will suffer dilution in their ownership interests in the future as a result of the potential issuance of shares of Common Stock upon exercise of the Warrants. Assuming exercise in full of all Warrants, an aggregate of 26,769,230 additional shares of Common Stock will be outstanding, and the ownership interest of our existing stockholders would be correspondingly reduced. The number of shares of Common Stock described above does not give effect to (i) the issuance of shares of Common Stock pursuant to other outstanding options and warrants or (ii) any other future issuances of our Common Stock. The sale into the public market of these shares also could materially and adversely affect the market price of our Common Stock.</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Interests of Certain Persons</w:t>
      </w:r>
    </w:p>
    <w:p>
      <w:pPr>
        <w:spacing w:after="0" w:line="151" w:lineRule="exact"/>
        <w:rPr>
          <w:sz w:val="20"/>
          <w:szCs w:val="20"/>
          <w:color w:val="auto"/>
        </w:rPr>
      </w:pPr>
    </w:p>
    <w:p>
      <w:pPr>
        <w:ind w:left="580" w:right="619" w:firstLine="419"/>
        <w:spacing w:after="0" w:line="314" w:lineRule="auto"/>
        <w:rPr>
          <w:sz w:val="20"/>
          <w:szCs w:val="20"/>
          <w:color w:val="auto"/>
        </w:rPr>
      </w:pPr>
      <w:r>
        <w:rPr>
          <w:rFonts w:ascii="Arial" w:cs="Arial" w:eastAsia="Arial" w:hAnsi="Arial"/>
          <w:sz w:val="15"/>
          <w:szCs w:val="15"/>
          <w:color w:val="auto"/>
        </w:rPr>
        <w:t>Raymond Chang, our Chairman and Chief Executive Officer, participated in the Offering and purchased 2,307,692 shares of Common Stock and 4,615,384 Warrants for an aggregate purchase price of approximately $1.5 million. Consequently, Mr. Chang cannot currently exercise the Warrants he purchased in the Offering, and will benefit if this Item 1 is approved, as the Warrants that he holds will then become exercisable.</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Vote Required</w:t>
      </w:r>
    </w:p>
    <w:p>
      <w:pPr>
        <w:spacing w:after="0" w:line="164" w:lineRule="exact"/>
        <w:rPr>
          <w:sz w:val="20"/>
          <w:szCs w:val="20"/>
          <w:color w:val="auto"/>
        </w:rPr>
      </w:pPr>
    </w:p>
    <w:p>
      <w:pPr>
        <w:ind w:left="580" w:right="759" w:firstLine="419"/>
        <w:spacing w:after="0" w:line="267" w:lineRule="auto"/>
        <w:rPr>
          <w:sz w:val="20"/>
          <w:szCs w:val="20"/>
          <w:color w:val="auto"/>
        </w:rPr>
      </w:pPr>
      <w:r>
        <w:rPr>
          <w:rFonts w:ascii="Arial" w:cs="Arial" w:eastAsia="Arial" w:hAnsi="Arial"/>
          <w:sz w:val="17"/>
          <w:szCs w:val="17"/>
          <w:color w:val="auto"/>
        </w:rPr>
        <w:t>If a quorum is present, the affirmative vote of a majority of the votes cast on the matter, excluding any shares of Common Stock held by parties that hold the Warrants, will be required to approve the issuance of up to 26,769,230 shares of our Common Stock upon the exercise of Warrants. Broker non-votes and abstentions will have no effect on the outcome of the vote.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of the Board</w:t>
      </w:r>
    </w:p>
    <w:p>
      <w:pPr>
        <w:spacing w:after="0" w:line="158" w:lineRule="exact"/>
        <w:rPr>
          <w:sz w:val="20"/>
          <w:szCs w:val="20"/>
          <w:color w:val="auto"/>
        </w:rPr>
      </w:pPr>
    </w:p>
    <w:p>
      <w:pPr>
        <w:ind w:left="580" w:right="959" w:firstLine="419"/>
        <w:spacing w:after="0" w:line="296" w:lineRule="auto"/>
        <w:rPr>
          <w:sz w:val="20"/>
          <w:szCs w:val="20"/>
          <w:color w:val="auto"/>
        </w:rPr>
      </w:pPr>
      <w:r>
        <w:rPr>
          <w:rFonts w:ascii="Arial" w:cs="Arial" w:eastAsia="Arial" w:hAnsi="Arial"/>
          <w:sz w:val="17"/>
          <w:szCs w:val="17"/>
          <w:b w:val="1"/>
          <w:bCs w:val="1"/>
          <w:color w:val="auto"/>
        </w:rPr>
        <w:t>Our Board of Directors recommends that you vote “FOR” the approval of the issuance of up to 26,769,230 shares of our Common Stock upon the exercise of Warrants.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2" w:name="page13"/>
    <w:bookmarkEnd w:id="1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2 — APPROVAL OF AN AMENDMENT TO THE COMPANY’S ARTICLES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INCORPORATION</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General</w:t>
      </w:r>
    </w:p>
    <w:p>
      <w:pPr>
        <w:spacing w:after="0" w:line="151" w:lineRule="exact"/>
        <w:rPr>
          <w:sz w:val="20"/>
          <w:szCs w:val="20"/>
          <w:color w:val="auto"/>
        </w:rPr>
      </w:pPr>
    </w:p>
    <w:p>
      <w:pPr>
        <w:ind w:left="580" w:right="839" w:firstLine="419"/>
        <w:spacing w:after="0" w:line="267" w:lineRule="auto"/>
        <w:rPr>
          <w:sz w:val="20"/>
          <w:szCs w:val="20"/>
          <w:color w:val="auto"/>
        </w:rPr>
      </w:pPr>
      <w:r>
        <w:rPr>
          <w:rFonts w:ascii="Arial" w:cs="Arial" w:eastAsia="Arial" w:hAnsi="Arial"/>
          <w:sz w:val="17"/>
          <w:szCs w:val="17"/>
          <w:color w:val="auto"/>
        </w:rPr>
        <w:t>This section provides a summary of the proposal to amend our Articles of Incorporation to increase the number of authorized shares of Common Stock from 100,000,000 to 200,000,000, and to correspondingly increase the total authorized shares of stock from 103,000,000 to 203,000,000 (the “Increase in Authorized Shares”).</w:t>
      </w:r>
    </w:p>
    <w:p>
      <w:pPr>
        <w:spacing w:after="0" w:line="113" w:lineRule="exact"/>
        <w:rPr>
          <w:sz w:val="20"/>
          <w:szCs w:val="20"/>
          <w:color w:val="auto"/>
        </w:rPr>
      </w:pPr>
    </w:p>
    <w:p>
      <w:pPr>
        <w:ind w:left="580" w:right="719" w:firstLine="419"/>
        <w:spacing w:after="0" w:line="265" w:lineRule="auto"/>
        <w:rPr>
          <w:sz w:val="20"/>
          <w:szCs w:val="20"/>
          <w:color w:val="auto"/>
        </w:rPr>
      </w:pPr>
      <w:r>
        <w:rPr>
          <w:rFonts w:ascii="Arial" w:cs="Arial" w:eastAsia="Arial" w:hAnsi="Arial"/>
          <w:sz w:val="17"/>
          <w:szCs w:val="17"/>
          <w:color w:val="auto"/>
        </w:rPr>
        <w:t>On January 23, 2023, our Board voted to recommend an amendment to our Articles of Incorporation to increase the number of authorized shares of Common Stock, as described below (the “Charter Amendment”). Under the terms of our Articles of Incorporation and Nevada law, this amendment must be approved by the holders of a majority of the outstanding shares of Common Stock. This amendment makes no other changes to our Articles of Incorporation.</w:t>
      </w:r>
    </w:p>
    <w:p>
      <w:pPr>
        <w:spacing w:after="0" w:line="113" w:lineRule="exact"/>
        <w:rPr>
          <w:sz w:val="20"/>
          <w:szCs w:val="20"/>
          <w:color w:val="auto"/>
        </w:rPr>
      </w:pPr>
    </w:p>
    <w:p>
      <w:pPr>
        <w:ind w:left="580" w:right="799" w:firstLine="419"/>
        <w:spacing w:after="0" w:line="280" w:lineRule="auto"/>
        <w:rPr>
          <w:sz w:val="20"/>
          <w:szCs w:val="20"/>
          <w:color w:val="auto"/>
        </w:rPr>
      </w:pPr>
      <w:r>
        <w:rPr>
          <w:rFonts w:ascii="Arial" w:cs="Arial" w:eastAsia="Arial" w:hAnsi="Arial"/>
          <w:sz w:val="16"/>
          <w:szCs w:val="16"/>
          <w:color w:val="auto"/>
        </w:rPr>
        <w:t>This proposal is intended to give us flexibility to issue Common Stock or securities convertible into Common Stock if an attractive opportunity to do so arises. In particular, the proposal would allow us to move quickly if an increase in the market price of our Common Stock allows us to replace, reduce or eliminate our existing indebtedness by selling Common Stock or convertible securities on terms that we and our Board believe enhance long-term value for our stockholders. In addition, the newly authorized shares of Common Stock would be issuable for any other proper corporate purpose, including, but not limited to, capital raising transactions, grants under equity compensation plans, potential strategic transactions, including mergers, acquisitions, and other general corporate transactions.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Description of the Amendment</w:t>
      </w:r>
    </w:p>
    <w:p>
      <w:pPr>
        <w:spacing w:after="0" w:line="15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of January 18, 2023, our current authorized capital stock of 103,000,000 consisted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100,000,000 shares of Common Stock, of which 20,740,977 shares were outstanding, and 3,000,000 shares of</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preferred stock, none of which were outstanding. Approximately 31,263,599 shares may be issued under</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existing obligations associated with outstanding warrants, options, restricted stock units and issuances under the</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Company’s Employee Stock Purchase Plan. Our Board proposes to amend the first full sentence of Article 3 of</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Articles of Incorporation so that it would read in its entirety as follows:</w:t>
      </w:r>
    </w:p>
    <w:p>
      <w:pPr>
        <w:spacing w:after="0" w:line="146" w:lineRule="exact"/>
        <w:rPr>
          <w:sz w:val="20"/>
          <w:szCs w:val="20"/>
          <w:color w:val="auto"/>
        </w:rPr>
      </w:pPr>
    </w:p>
    <w:p>
      <w:pPr>
        <w:ind w:left="1000" w:right="779"/>
        <w:spacing w:after="0" w:line="297" w:lineRule="auto"/>
        <w:rPr>
          <w:sz w:val="20"/>
          <w:szCs w:val="20"/>
          <w:color w:val="auto"/>
        </w:rPr>
      </w:pPr>
      <w:r>
        <w:rPr>
          <w:rFonts w:ascii="Arial" w:cs="Arial" w:eastAsia="Arial" w:hAnsi="Arial"/>
          <w:sz w:val="16"/>
          <w:szCs w:val="16"/>
          <w:color w:val="auto"/>
        </w:rPr>
        <w:t>“The total number of shares of stock that the Corporation shall have authority to issue is 203 million, consisting of: 200 million shares of Common Stock, par value $0.001 per share (“Common Stock”) and 3 million shares of Preferred Stock, par value $0.001 per share (“Preferred Stock”).”</w:t>
      </w:r>
    </w:p>
    <w:p>
      <w:pPr>
        <w:spacing w:after="0" w:line="90" w:lineRule="exact"/>
        <w:rPr>
          <w:sz w:val="20"/>
          <w:szCs w:val="20"/>
          <w:color w:val="auto"/>
        </w:rPr>
      </w:pPr>
    </w:p>
    <w:p>
      <w:pPr>
        <w:ind w:left="580" w:right="719" w:firstLine="419"/>
        <w:spacing w:after="0" w:line="297" w:lineRule="auto"/>
        <w:rPr>
          <w:sz w:val="20"/>
          <w:szCs w:val="20"/>
          <w:color w:val="auto"/>
        </w:rPr>
      </w:pPr>
      <w:r>
        <w:rPr>
          <w:rFonts w:ascii="Arial" w:cs="Arial" w:eastAsia="Arial" w:hAnsi="Arial"/>
          <w:sz w:val="16"/>
          <w:szCs w:val="16"/>
          <w:color w:val="auto"/>
        </w:rPr>
        <w:t>Under the terms of the Charter Amendment, the total number of authorized shares of capital stock would be increased to 203,000,000. The number of shares of Common Stock authorized will be increased to 200,000,000. The number of shares of preferred stock would remain unchanged at 3,000,000.</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Rights of Additional Authorized Shares</w:t>
      </w:r>
    </w:p>
    <w:p>
      <w:pPr>
        <w:spacing w:after="0" w:line="151" w:lineRule="exact"/>
        <w:rPr>
          <w:sz w:val="20"/>
          <w:szCs w:val="20"/>
          <w:color w:val="auto"/>
        </w:rPr>
      </w:pPr>
    </w:p>
    <w:p>
      <w:pPr>
        <w:ind w:left="580" w:right="619" w:firstLine="419"/>
        <w:spacing w:after="0" w:line="297" w:lineRule="auto"/>
        <w:rPr>
          <w:sz w:val="20"/>
          <w:szCs w:val="20"/>
          <w:color w:val="auto"/>
        </w:rPr>
      </w:pPr>
      <w:r>
        <w:rPr>
          <w:rFonts w:ascii="Arial" w:cs="Arial" w:eastAsia="Arial" w:hAnsi="Arial"/>
          <w:sz w:val="15"/>
          <w:szCs w:val="15"/>
          <w:color w:val="auto"/>
        </w:rPr>
        <w:t>Any authorized shares of Common Stock, if and when issued, would be part of our existing class of Common Stock and would have the same rights and privileges as the shares of Common Stock currently outstanding. 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3" w:name="page14"/>
    <w:bookmarkEnd w:id="1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Potential Adverse Effects of the Charter Amendment</w:t>
      </w:r>
    </w:p>
    <w:p>
      <w:pPr>
        <w:spacing w:after="0" w:line="151" w:lineRule="exact"/>
        <w:rPr>
          <w:sz w:val="20"/>
          <w:szCs w:val="20"/>
          <w:color w:val="auto"/>
        </w:rPr>
      </w:pPr>
    </w:p>
    <w:p>
      <w:pPr>
        <w:ind w:left="580" w:right="659" w:firstLine="419"/>
        <w:spacing w:after="0" w:line="267" w:lineRule="auto"/>
        <w:rPr>
          <w:sz w:val="20"/>
          <w:szCs w:val="20"/>
          <w:color w:val="auto"/>
        </w:rPr>
      </w:pPr>
      <w:r>
        <w:rPr>
          <w:rFonts w:ascii="Arial" w:cs="Arial" w:eastAsia="Arial" w:hAnsi="Arial"/>
          <w:sz w:val="17"/>
          <w:szCs w:val="17"/>
          <w:color w:val="auto"/>
        </w:rPr>
        <w:t>Future issuances of Common Stock could have a dilutive effect on our earnings per share, book value per share and the voting power and interest of current stockholders. In addition, the availability of additional shares of Common Stock for issuance could, under certain circumstances, discourage or make more difficult any efforts to obtain control of Agrify.</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Appraisal Rights</w:t>
      </w:r>
    </w:p>
    <w:p>
      <w:pPr>
        <w:spacing w:after="0" w:line="164" w:lineRule="exact"/>
        <w:rPr>
          <w:sz w:val="20"/>
          <w:szCs w:val="20"/>
          <w:color w:val="auto"/>
        </w:rPr>
      </w:pPr>
    </w:p>
    <w:p>
      <w:pPr>
        <w:ind w:left="580" w:right="779" w:firstLine="419"/>
        <w:spacing w:after="0" w:line="289" w:lineRule="auto"/>
        <w:rPr>
          <w:sz w:val="20"/>
          <w:szCs w:val="20"/>
          <w:color w:val="auto"/>
        </w:rPr>
      </w:pPr>
      <w:r>
        <w:rPr>
          <w:rFonts w:ascii="Arial" w:cs="Arial" w:eastAsia="Arial" w:hAnsi="Arial"/>
          <w:sz w:val="17"/>
          <w:szCs w:val="17"/>
          <w:color w:val="auto"/>
        </w:rPr>
        <w:t>Pursuant to the Nevada Revised Statutes, stockholders are not entitled to appraisal rights with respect to the Charter Amendment.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Effectiveness of Amendment</w:t>
      </w:r>
    </w:p>
    <w:p>
      <w:pPr>
        <w:spacing w:after="0" w:line="164" w:lineRule="exact"/>
        <w:rPr>
          <w:sz w:val="20"/>
          <w:szCs w:val="20"/>
          <w:color w:val="auto"/>
        </w:rPr>
      </w:pPr>
    </w:p>
    <w:p>
      <w:pPr>
        <w:ind w:left="580" w:right="879" w:firstLine="419"/>
        <w:spacing w:after="0" w:line="267" w:lineRule="auto"/>
        <w:rPr>
          <w:sz w:val="20"/>
          <w:szCs w:val="20"/>
          <w:color w:val="auto"/>
        </w:rPr>
      </w:pPr>
      <w:r>
        <w:rPr>
          <w:rFonts w:ascii="Arial" w:cs="Arial" w:eastAsia="Arial" w:hAnsi="Arial"/>
          <w:sz w:val="17"/>
          <w:szCs w:val="17"/>
          <w:color w:val="auto"/>
        </w:rPr>
        <w:t>If the proposed amendment is adopted, it will become effective upon the filing of a certificate of amendment to our Articles of Incorporation with the Secretary of State of the State of Nevada, which Agrify expects to file promptly after the Special Meeting. If the proposed amendment is not approved by Agrify stockholders, the number of authorized shares of Common Stock will remain unchanged.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Vote Required</w:t>
      </w:r>
    </w:p>
    <w:p>
      <w:pPr>
        <w:spacing w:after="0" w:line="151" w:lineRule="exact"/>
        <w:rPr>
          <w:sz w:val="20"/>
          <w:szCs w:val="20"/>
          <w:color w:val="auto"/>
        </w:rPr>
      </w:pPr>
    </w:p>
    <w:p>
      <w:pPr>
        <w:ind w:left="580" w:right="599" w:firstLine="419"/>
        <w:spacing w:after="0" w:line="265" w:lineRule="auto"/>
        <w:rPr>
          <w:sz w:val="20"/>
          <w:szCs w:val="20"/>
          <w:color w:val="auto"/>
        </w:rPr>
      </w:pPr>
      <w:r>
        <w:rPr>
          <w:rFonts w:ascii="Arial" w:cs="Arial" w:eastAsia="Arial" w:hAnsi="Arial"/>
          <w:sz w:val="17"/>
          <w:szCs w:val="17"/>
          <w:color w:val="auto"/>
        </w:rPr>
        <w:t xml:space="preserve">If a quorum is present, the affirmative vote of holders of a majority of the outstanding shares of Common Stock will be required to approve the proposed Charter Amendment to effect the Increase in Authorized Shares. </w:t>
      </w:r>
      <w:r>
        <w:rPr>
          <w:rFonts w:ascii="Arial" w:cs="Arial" w:eastAsia="Arial" w:hAnsi="Arial"/>
          <w:sz w:val="17"/>
          <w:szCs w:val="17"/>
          <w:b w:val="1"/>
          <w:bCs w:val="1"/>
          <w:color w:val="auto"/>
        </w:rPr>
        <w:t>Any shares not voted (whether by abstention, broker non-vote or otherwise) will have the same</w:t>
      </w:r>
      <w:r>
        <w:rPr>
          <w:rFonts w:ascii="Arial" w:cs="Arial" w:eastAsia="Arial" w:hAnsi="Arial"/>
          <w:sz w:val="17"/>
          <w:szCs w:val="17"/>
          <w:color w:val="auto"/>
        </w:rPr>
        <w:t xml:space="preserve"> </w:t>
      </w:r>
      <w:r>
        <w:rPr>
          <w:rFonts w:ascii="Arial" w:cs="Arial" w:eastAsia="Arial" w:hAnsi="Arial"/>
          <w:sz w:val="17"/>
          <w:szCs w:val="17"/>
          <w:b w:val="1"/>
          <w:bCs w:val="1"/>
          <w:color w:val="auto"/>
        </w:rPr>
        <w:t>effect as a vote “against” Item 2. Accordingly, it is important that beneficial owners instruct their brokers how they wish to vote their shares on Item 2.</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of the Board</w:t>
      </w:r>
    </w:p>
    <w:p>
      <w:pPr>
        <w:spacing w:after="0" w:line="158" w:lineRule="exact"/>
        <w:rPr>
          <w:sz w:val="20"/>
          <w:szCs w:val="20"/>
          <w:color w:val="auto"/>
        </w:rPr>
      </w:pPr>
    </w:p>
    <w:p>
      <w:pPr>
        <w:ind w:left="580" w:right="619" w:firstLine="419"/>
        <w:spacing w:after="0" w:line="296" w:lineRule="auto"/>
        <w:rPr>
          <w:sz w:val="20"/>
          <w:szCs w:val="20"/>
          <w:color w:val="auto"/>
        </w:rPr>
      </w:pPr>
      <w:r>
        <w:rPr>
          <w:rFonts w:ascii="Arial" w:cs="Arial" w:eastAsia="Arial" w:hAnsi="Arial"/>
          <w:sz w:val="17"/>
          <w:szCs w:val="17"/>
          <w:b w:val="1"/>
          <w:bCs w:val="1"/>
          <w:color w:val="auto"/>
        </w:rPr>
        <w:t>Our Board of Directors recommends that you vote “FOR” the approval of the Charter Amendment to effect the Increase in Authorized Shares.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4" w:name="page15"/>
    <w:bookmarkEnd w:id="1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left="580" w:right="599"/>
        <w:spacing w:after="0" w:line="277" w:lineRule="auto"/>
        <w:rPr>
          <w:sz w:val="20"/>
          <w:szCs w:val="20"/>
          <w:color w:val="auto"/>
        </w:rPr>
      </w:pPr>
      <w:r>
        <w:rPr>
          <w:rFonts w:ascii="Arial" w:cs="Arial" w:eastAsia="Arial" w:hAnsi="Arial"/>
          <w:sz w:val="17"/>
          <w:szCs w:val="17"/>
          <w:b w:val="1"/>
          <w:bCs w:val="1"/>
          <w:color w:val="auto"/>
        </w:rPr>
        <w:t>ITEM 3 — APPROVAL OF THE ADJOURNMENT OF THE SPECIAL MEETING IN ORDER TO SOLICIT ADDITIONAL PROXIES IF THERE ARE NOT SUFFICIENT SHARES VOTED IN FAVOR OF ANY OF ITEMS 1 OR 2 AT THE TIME OF THE SPECIAL MEETING</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Background of and Rationale for the Adjournment Proposal</w:t>
      </w:r>
    </w:p>
    <w:p>
      <w:pPr>
        <w:spacing w:after="0" w:line="151" w:lineRule="exact"/>
        <w:rPr>
          <w:sz w:val="20"/>
          <w:szCs w:val="20"/>
          <w:color w:val="auto"/>
        </w:rPr>
      </w:pPr>
    </w:p>
    <w:p>
      <w:pPr>
        <w:ind w:left="580" w:right="599" w:firstLine="419"/>
        <w:spacing w:after="0" w:line="267" w:lineRule="auto"/>
        <w:rPr>
          <w:sz w:val="20"/>
          <w:szCs w:val="20"/>
          <w:color w:val="auto"/>
        </w:rPr>
      </w:pPr>
      <w:r>
        <w:rPr>
          <w:rFonts w:ascii="Arial" w:cs="Arial" w:eastAsia="Arial" w:hAnsi="Arial"/>
          <w:sz w:val="17"/>
          <w:szCs w:val="17"/>
          <w:color w:val="auto"/>
        </w:rPr>
        <w:t>Our Board of Directors believes that, if the number of affirmative votes received from the holders of our common stock are insufficient to approve any of the other Items being considered at the Special Meeting, it is in the best interests of the stockholders to enable the Board to continue to seek to obtain a sufficient number of additional affirmative votes to approve that Item.</w:t>
      </w:r>
    </w:p>
    <w:p>
      <w:pPr>
        <w:spacing w:after="0" w:line="113" w:lineRule="exact"/>
        <w:rPr>
          <w:sz w:val="20"/>
          <w:szCs w:val="20"/>
          <w:color w:val="auto"/>
        </w:rPr>
      </w:pPr>
    </w:p>
    <w:p>
      <w:pPr>
        <w:jc w:val="both"/>
        <w:ind w:left="580" w:right="799" w:firstLine="419"/>
        <w:spacing w:after="0" w:line="289" w:lineRule="auto"/>
        <w:rPr>
          <w:sz w:val="20"/>
          <w:szCs w:val="20"/>
          <w:color w:val="auto"/>
        </w:rPr>
      </w:pPr>
      <w:r>
        <w:rPr>
          <w:rFonts w:ascii="Arial" w:cs="Arial" w:eastAsia="Arial" w:hAnsi="Arial"/>
          <w:sz w:val="16"/>
          <w:szCs w:val="16"/>
          <w:color w:val="auto"/>
        </w:rPr>
        <w:t>In this Item 3, we are asking stockholders to authorize the holder of any proxy solicited by the Board to vote in favor of adjourning the Special Meeting or any adjournment thereof. If our stockholders approve this proposal, we could adjourn the Special Meeting, and any adjourned session of the Special Meeting, to use the additional time to solicit additional proxies in favor of the other applicable Items.</w:t>
      </w:r>
    </w:p>
    <w:p>
      <w:pPr>
        <w:spacing w:after="0" w:line="96" w:lineRule="exact"/>
        <w:rPr>
          <w:sz w:val="20"/>
          <w:szCs w:val="20"/>
          <w:color w:val="auto"/>
        </w:rPr>
      </w:pPr>
    </w:p>
    <w:p>
      <w:pPr>
        <w:ind w:left="580" w:right="799" w:firstLine="419"/>
        <w:spacing w:after="0" w:line="308" w:lineRule="auto"/>
        <w:rPr>
          <w:sz w:val="20"/>
          <w:szCs w:val="20"/>
          <w:color w:val="auto"/>
        </w:rPr>
      </w:pPr>
      <w:r>
        <w:rPr>
          <w:rFonts w:ascii="Arial" w:cs="Arial" w:eastAsia="Arial" w:hAnsi="Arial"/>
          <w:sz w:val="15"/>
          <w:szCs w:val="15"/>
          <w:color w:val="auto"/>
        </w:rPr>
        <w:t>Additionally, approval of the Adjournment Proposal could mean that, in the event we receive proxies indicating that a majority of the voting power of the outstanding voting stock present in person or represented by proxy at the Special Meeting and entitled to vote thereon have voted against any of Items 1 and/or 2 or abstained from voting on such proposals, we could adjourn the Special Meeting without a vote on such Items and use the additional time to solicit the holders of those shares to change their vote in favor of such Items.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Vote Required</w:t>
      </w:r>
    </w:p>
    <w:p>
      <w:pPr>
        <w:spacing w:after="0" w:line="151" w:lineRule="exact"/>
        <w:rPr>
          <w:sz w:val="20"/>
          <w:szCs w:val="20"/>
          <w:color w:val="auto"/>
        </w:rPr>
      </w:pPr>
    </w:p>
    <w:p>
      <w:pPr>
        <w:ind w:left="580" w:right="619" w:firstLine="419"/>
        <w:spacing w:after="0" w:line="297" w:lineRule="auto"/>
        <w:rPr>
          <w:sz w:val="20"/>
          <w:szCs w:val="20"/>
          <w:color w:val="auto"/>
        </w:rPr>
      </w:pPr>
      <w:r>
        <w:rPr>
          <w:rFonts w:ascii="Arial" w:cs="Arial" w:eastAsia="Arial" w:hAnsi="Arial"/>
          <w:sz w:val="16"/>
          <w:szCs w:val="16"/>
          <w:color w:val="auto"/>
        </w:rPr>
        <w:t>If a quorum is present, the affirmative vote of a majority of the votes cast on the matter will be required to approve the adjournment of the Special Meeting in order to solicit additional proxies if there are not sufficient shares to be voted in favor of Item 1 and/or Item 2. Abstentions will have no effect on the outcome of the vote.</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Recommendation of the Board</w:t>
      </w:r>
    </w:p>
    <w:p>
      <w:pPr>
        <w:spacing w:after="0" w:line="158" w:lineRule="exact"/>
        <w:rPr>
          <w:sz w:val="20"/>
          <w:szCs w:val="20"/>
          <w:color w:val="auto"/>
        </w:rPr>
      </w:pPr>
    </w:p>
    <w:p>
      <w:pPr>
        <w:jc w:val="both"/>
        <w:ind w:left="580" w:right="679" w:firstLine="419"/>
        <w:spacing w:after="0" w:line="277" w:lineRule="auto"/>
        <w:rPr>
          <w:sz w:val="20"/>
          <w:szCs w:val="20"/>
          <w:color w:val="auto"/>
        </w:rPr>
      </w:pPr>
      <w:r>
        <w:rPr>
          <w:rFonts w:ascii="Arial" w:cs="Arial" w:eastAsia="Arial" w:hAnsi="Arial"/>
          <w:sz w:val="17"/>
          <w:szCs w:val="17"/>
          <w:b w:val="1"/>
          <w:bCs w:val="1"/>
          <w:color w:val="auto"/>
        </w:rPr>
        <w:t>Our Board of Directors recommends that you vote “FOR” the approval of the adjournment of the Special Meeting in order to solicit additional proxies if there are not sufficient shares to be voted in favor of Item 1 and/or Item 2.</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5" w:name="page16"/>
    <w:bookmarkEnd w:id="1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left="2020" w:right="200"/>
        <w:spacing w:after="0" w:line="296" w:lineRule="auto"/>
        <w:rPr>
          <w:sz w:val="20"/>
          <w:szCs w:val="20"/>
          <w:color w:val="auto"/>
        </w:rPr>
      </w:pPr>
      <w:r>
        <w:rPr>
          <w:rFonts w:ascii="Arial" w:cs="Arial" w:eastAsia="Arial" w:hAnsi="Arial"/>
          <w:sz w:val="17"/>
          <w:szCs w:val="17"/>
          <w:b w:val="1"/>
          <w:bCs w:val="1"/>
          <w:color w:val="auto"/>
        </w:rPr>
        <w:t>BENEFICIAL OWNERSHIP OF CERTAIN STOCKHOLDERS, DIRECTORS AND EXECUTIVE OFFICERS</w:t>
      </w:r>
    </w:p>
    <w:p>
      <w:pPr>
        <w:spacing w:after="0" w:line="74" w:lineRule="exact"/>
        <w:rPr>
          <w:sz w:val="20"/>
          <w:szCs w:val="20"/>
          <w:color w:val="auto"/>
        </w:rPr>
      </w:pPr>
    </w:p>
    <w:p>
      <w:pPr>
        <w:ind w:left="580" w:right="699" w:firstLine="419"/>
        <w:spacing w:after="0" w:line="283" w:lineRule="auto"/>
        <w:rPr>
          <w:sz w:val="20"/>
          <w:szCs w:val="20"/>
          <w:color w:val="auto"/>
        </w:rPr>
      </w:pPr>
      <w:r>
        <w:rPr>
          <w:rFonts w:ascii="Arial" w:cs="Arial" w:eastAsia="Arial" w:hAnsi="Arial"/>
          <w:sz w:val="16"/>
          <w:szCs w:val="16"/>
          <w:color w:val="auto"/>
        </w:rPr>
        <w:t>The following table provides information, as of January 18, 2023,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January 18, 2023, there were 56 record holders and 20,740,977 outstanding shares of our Common Stock.</w:t>
      </w:r>
    </w:p>
    <w:p>
      <w:pPr>
        <w:spacing w:after="0" w:line="100" w:lineRule="exact"/>
        <w:rPr>
          <w:sz w:val="20"/>
          <w:szCs w:val="20"/>
          <w:color w:val="auto"/>
        </w:rPr>
      </w:pPr>
    </w:p>
    <w:p>
      <w:pPr>
        <w:ind w:left="580" w:right="599" w:firstLine="419"/>
        <w:spacing w:after="0" w:line="278" w:lineRule="auto"/>
        <w:rPr>
          <w:sz w:val="20"/>
          <w:szCs w:val="20"/>
          <w:color w:val="auto"/>
        </w:rPr>
      </w:pPr>
      <w:r>
        <w:rPr>
          <w:rFonts w:ascii="Arial" w:cs="Arial" w:eastAsia="Arial" w:hAnsi="Arial"/>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January 18, 2023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January 18, 2023, are deemed outstanding for the purpose of computing the percentage ownership of the person holding those options or warrants, but are not deemed outstanding for computing the percentage ownership of any other person.</w:t>
      </w:r>
    </w:p>
    <w:p>
      <w:pPr>
        <w:spacing w:after="0" w:line="109" w:lineRule="exact"/>
        <w:rPr>
          <w:sz w:val="20"/>
          <w:szCs w:val="20"/>
          <w:color w:val="auto"/>
        </w:rPr>
      </w:pPr>
    </w:p>
    <w:p>
      <w:pPr>
        <w:ind w:left="580" w:right="719" w:firstLine="419"/>
        <w:spacing w:after="0" w:line="273" w:lineRule="auto"/>
        <w:rPr>
          <w:sz w:val="20"/>
          <w:szCs w:val="20"/>
          <w:color w:val="auto"/>
        </w:rPr>
      </w:pPr>
      <w:r>
        <w:rPr>
          <w:rFonts w:ascii="Arial" w:cs="Arial" w:eastAsia="Arial" w:hAnsi="Arial"/>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5420" w:type="dxa"/>
            <w:vAlign w:val="bottom"/>
          </w:tcPr>
          <w:p>
            <w:pPr>
              <w:spacing w:after="0"/>
              <w:rPr>
                <w:sz w:val="17"/>
                <w:szCs w:val="17"/>
                <w:color w:val="auto"/>
              </w:rPr>
            </w:pPr>
          </w:p>
        </w:tc>
        <w:tc>
          <w:tcPr>
            <w:tcW w:w="2440" w:type="dxa"/>
            <w:vAlign w:val="bottom"/>
            <w:gridSpan w:val="3"/>
          </w:tcPr>
          <w:p>
            <w:pPr>
              <w:jc w:val="right"/>
              <w:ind w:right="414"/>
              <w:spacing w:after="0"/>
              <w:rPr>
                <w:sz w:val="20"/>
                <w:szCs w:val="20"/>
                <w:color w:val="auto"/>
              </w:rPr>
            </w:pPr>
            <w:r>
              <w:rPr>
                <w:rFonts w:ascii="Arial" w:cs="Arial" w:eastAsia="Arial" w:hAnsi="Arial"/>
                <w:sz w:val="16"/>
                <w:szCs w:val="16"/>
                <w:b w:val="1"/>
                <w:bCs w:val="1"/>
                <w:color w:val="auto"/>
              </w:rPr>
              <w:t>Beneficial Ownership</w:t>
            </w:r>
          </w:p>
        </w:tc>
      </w:tr>
      <w:tr>
        <w:trPr>
          <w:trHeight w:val="46"/>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6"/>
        </w:trPr>
        <w:tc>
          <w:tcPr>
            <w:tcW w:w="5420" w:type="dxa"/>
            <w:vAlign w:val="bottom"/>
          </w:tcPr>
          <w:p>
            <w:pPr>
              <w:spacing w:after="0"/>
              <w:rPr>
                <w:sz w:val="15"/>
                <w:szCs w:val="15"/>
                <w:color w:val="auto"/>
              </w:rPr>
            </w:pPr>
          </w:p>
        </w:tc>
        <w:tc>
          <w:tcPr>
            <w:tcW w:w="1180" w:type="dxa"/>
            <w:vAlign w:val="bottom"/>
            <w:gridSpan w:val="2"/>
          </w:tcPr>
          <w:p>
            <w:pPr>
              <w:jc w:val="center"/>
              <w:ind w:right="80"/>
              <w:spacing w:after="0" w:line="176" w:lineRule="exact"/>
              <w:rPr>
                <w:sz w:val="20"/>
                <w:szCs w:val="20"/>
                <w:color w:val="auto"/>
              </w:rPr>
            </w:pPr>
            <w:r>
              <w:rPr>
                <w:rFonts w:ascii="Arial" w:cs="Arial" w:eastAsia="Arial" w:hAnsi="Arial"/>
                <w:sz w:val="16"/>
                <w:szCs w:val="16"/>
                <w:b w:val="1"/>
                <w:bCs w:val="1"/>
                <w:color w:val="auto"/>
                <w:w w:val="92"/>
              </w:rPr>
              <w:t>Number of</w:t>
            </w:r>
          </w:p>
        </w:tc>
        <w:tc>
          <w:tcPr>
            <w:tcW w:w="1260" w:type="dxa"/>
            <w:vAlign w:val="bottom"/>
          </w:tcPr>
          <w:p>
            <w:pPr>
              <w:jc w:val="right"/>
              <w:ind w:right="214"/>
              <w:spacing w:after="0" w:line="176" w:lineRule="exact"/>
              <w:rPr>
                <w:sz w:val="20"/>
                <w:szCs w:val="20"/>
                <w:color w:val="auto"/>
              </w:rPr>
            </w:pPr>
            <w:r>
              <w:rPr>
                <w:rFonts w:ascii="Arial" w:cs="Arial" w:eastAsia="Arial" w:hAnsi="Arial"/>
                <w:sz w:val="16"/>
                <w:szCs w:val="16"/>
                <w:b w:val="1"/>
                <w:bCs w:val="1"/>
                <w:color w:val="auto"/>
              </w:rPr>
              <w:t>Percent of</w:t>
            </w:r>
          </w:p>
        </w:tc>
      </w:tr>
      <w:tr>
        <w:trPr>
          <w:trHeight w:val="204"/>
        </w:trPr>
        <w:tc>
          <w:tcPr>
            <w:tcW w:w="542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1260" w:type="dxa"/>
            <w:vAlign w:val="bottom"/>
          </w:tcPr>
          <w:p>
            <w:pPr>
              <w:jc w:val="right"/>
              <w:ind w:right="374"/>
              <w:spacing w:after="0"/>
              <w:rPr>
                <w:sz w:val="20"/>
                <w:szCs w:val="20"/>
                <w:color w:val="auto"/>
              </w:rPr>
            </w:pPr>
            <w:r>
              <w:rPr>
                <w:rFonts w:ascii="Arial" w:cs="Arial" w:eastAsia="Arial" w:hAnsi="Arial"/>
                <w:sz w:val="16"/>
                <w:szCs w:val="16"/>
                <w:b w:val="1"/>
                <w:bCs w:val="1"/>
                <w:color w:val="auto"/>
              </w:rPr>
              <w:t>Total</w:t>
            </w:r>
          </w:p>
        </w:tc>
      </w:tr>
      <w:tr>
        <w:trPr>
          <w:trHeight w:val="46"/>
        </w:trPr>
        <w:tc>
          <w:tcPr>
            <w:tcW w:w="54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8"/>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Raymond Chang</w:t>
            </w:r>
          </w:p>
        </w:tc>
        <w:tc>
          <w:tcPr>
            <w:tcW w:w="1100" w:type="dxa"/>
            <w:vAlign w:val="bottom"/>
          </w:tcPr>
          <w:p>
            <w:pPr>
              <w:jc w:val="right"/>
              <w:spacing w:after="0"/>
              <w:rPr>
                <w:sz w:val="20"/>
                <w:szCs w:val="20"/>
                <w:color w:val="auto"/>
              </w:rPr>
            </w:pPr>
            <w:r>
              <w:rPr>
                <w:rFonts w:ascii="Arial" w:cs="Arial" w:eastAsia="Arial" w:hAnsi="Arial"/>
                <w:sz w:val="17"/>
                <w:szCs w:val="17"/>
                <w:color w:val="auto"/>
              </w:rPr>
              <w:t>2,495,914</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Guichao Hua</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73,542</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David Kessler</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14,233</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Timothy Oakes</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11,753</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Stuart Wilcox</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9,816</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Krishnan Varier</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7,587</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Timothy Mahoney</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7,587</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Leonard J. Sokolow</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1,946</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Timothy Hayden</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Maxwell Holtzman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35"/>
        </w:trPr>
        <w:tc>
          <w:tcPr>
            <w:tcW w:w="5420" w:type="dxa"/>
            <w:vAlign w:val="bottom"/>
          </w:tcPr>
          <w:p>
            <w:pPr>
              <w:spacing w:after="0"/>
              <w:rPr>
                <w:sz w:val="20"/>
                <w:szCs w:val="20"/>
                <w:color w:val="auto"/>
              </w:rPr>
            </w:pPr>
            <w:r>
              <w:rPr>
                <w:rFonts w:ascii="Arial" w:cs="Arial" w:eastAsia="Arial" w:hAnsi="Arial"/>
                <w:sz w:val="17"/>
                <w:szCs w:val="17"/>
                <w:color w:val="auto"/>
              </w:rPr>
              <w:t>All Directors and Executive Officers as a Group (10 persons)</w:t>
            </w:r>
          </w:p>
        </w:tc>
        <w:tc>
          <w:tcPr>
            <w:tcW w:w="1100" w:type="dxa"/>
            <w:vAlign w:val="bottom"/>
          </w:tcPr>
          <w:p>
            <w:pPr>
              <w:jc w:val="right"/>
              <w:spacing w:after="0"/>
              <w:rPr>
                <w:sz w:val="20"/>
                <w:szCs w:val="20"/>
                <w:color w:val="auto"/>
              </w:rPr>
            </w:pPr>
            <w:r>
              <w:rPr>
                <w:rFonts w:ascii="Arial" w:cs="Arial" w:eastAsia="Arial" w:hAnsi="Arial"/>
                <w:sz w:val="17"/>
                <w:szCs w:val="17"/>
                <w:color w:val="auto"/>
              </w:rPr>
              <w:t>2,622,378</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w:t>
            </w:r>
          </w:p>
        </w:tc>
      </w:tr>
    </w:tbl>
    <w:p>
      <w:pPr>
        <w:spacing w:after="0" w:line="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6" w:lineRule="exact"/>
        <w:rPr>
          <w:sz w:val="20"/>
          <w:szCs w:val="20"/>
          <w:color w:val="auto"/>
        </w:rPr>
      </w:pPr>
    </w:p>
    <w:p>
      <w:pPr>
        <w:ind w:left="1000" w:hanging="426"/>
        <w:spacing w:after="0"/>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percentages shown with respect to any identified individual or group are calculated by dividing: (i) the sum of</w:t>
      </w:r>
    </w:p>
    <w:p>
      <w:pPr>
        <w:spacing w:after="0" w:line="46" w:lineRule="exact"/>
        <w:rPr>
          <w:rFonts w:ascii="Arial" w:cs="Arial" w:eastAsia="Arial" w:hAnsi="Arial"/>
          <w:sz w:val="13"/>
          <w:szCs w:val="13"/>
          <w:color w:val="auto"/>
        </w:rPr>
      </w:pPr>
    </w:p>
    <w:p>
      <w:pPr>
        <w:ind w:left="1000" w:right="799"/>
        <w:spacing w:after="0" w:line="315" w:lineRule="auto"/>
        <w:rPr>
          <w:rFonts w:ascii="Arial" w:cs="Arial" w:eastAsia="Arial" w:hAnsi="Arial"/>
          <w:sz w:val="13"/>
          <w:szCs w:val="13"/>
          <w:color w:val="auto"/>
        </w:rPr>
      </w:pPr>
      <w:r>
        <w:rPr>
          <w:rFonts w:ascii="Arial" w:cs="Arial" w:eastAsia="Arial" w:hAnsi="Arial"/>
          <w:sz w:val="13"/>
          <w:szCs w:val="13"/>
          <w:color w:val="auto"/>
        </w:rPr>
        <w:t>(a) the number of shares of Common Stock actually owned as of January 18, 2023 plus (b) the number of shares of Common Stock that may be acquired through the exercise of stock options, warrants or any other rights within</w:t>
      </w:r>
    </w:p>
    <w:p>
      <w:pPr>
        <w:ind w:left="1000" w:right="619"/>
        <w:spacing w:after="0" w:line="273" w:lineRule="auto"/>
        <w:rPr>
          <w:rFonts w:ascii="Arial" w:cs="Arial" w:eastAsia="Arial" w:hAnsi="Arial"/>
          <w:sz w:val="13"/>
          <w:szCs w:val="13"/>
          <w:color w:val="auto"/>
        </w:rPr>
      </w:pPr>
      <w:r>
        <w:rPr>
          <w:rFonts w:ascii="Arial" w:cs="Arial" w:eastAsia="Arial" w:hAnsi="Arial"/>
          <w:sz w:val="15"/>
          <w:szCs w:val="15"/>
          <w:color w:val="auto"/>
        </w:rPr>
        <w:t>60 days thereof (“Currently Exercisable Awards”) by (ii) the sum of 20,740,977 shares of Common Stock outstanding as of January 18, 2022, plus the amount referenced in clause (i)(b) for such individual or group.</w:t>
      </w:r>
    </w:p>
    <w:p>
      <w:pPr>
        <w:ind w:left="1000" w:right="879" w:hanging="426"/>
        <w:spacing w:after="0" w:line="256"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address of each of the directors and executive officers listed above is c/o Agrify Corporation, 76 Treble Cove Road, Building No. 3, Billerica, Massachusetts 01862.</w:t>
      </w:r>
    </w:p>
    <w:p>
      <w:pPr>
        <w:ind w:left="1000" w:right="699" w:hanging="426"/>
        <w:spacing w:after="0" w:line="260"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(i) options to purchase 7,154 shares of Common Stock that are exercisable within 60 days of January 13, 2023, (ii)2,361,538 shares of common stock held by RTC3 2020 Irrevocable Family Trust, of which Mr. Chang retains the authority to remove the independent trustee, (iii) 12,955 shares of common stock held by NXT3J Capital, LLC, an entity controlled by Mr. Chan(1)g, (iv) warrants to purchase 6,322 shares of common stock associated with our 2020 convertible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6" w:name="page17"/>
    <w:bookmarkEnd w:id="1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6" w:lineRule="exact"/>
        <w:rPr>
          <w:sz w:val="20"/>
          <w:szCs w:val="20"/>
          <w:color w:val="auto"/>
        </w:rPr>
      </w:pPr>
    </w:p>
    <w:p>
      <w:pPr>
        <w:ind w:left="1000" w:right="679"/>
        <w:spacing w:after="0" w:line="310" w:lineRule="auto"/>
        <w:rPr>
          <w:sz w:val="20"/>
          <w:szCs w:val="20"/>
          <w:color w:val="auto"/>
        </w:rPr>
      </w:pPr>
      <w:r>
        <w:rPr>
          <w:rFonts w:ascii="Arial" w:cs="Arial" w:eastAsia="Arial" w:hAnsi="Arial"/>
          <w:sz w:val="13"/>
          <w:szCs w:val="13"/>
          <w:color w:val="auto"/>
        </w:rPr>
        <w:t>promissory notes held by RTC3 2020 Irrevocable Family Trust, (v) warrants to purchase 2,718 shares of common stock associated with our January 2022 private placement offering held by RTC3 2020 Irrevocable Family Trust, and</w:t>
      </w:r>
    </w:p>
    <w:p>
      <w:pPr>
        <w:spacing w:after="0" w:line="1" w:lineRule="exact"/>
        <w:rPr>
          <w:sz w:val="20"/>
          <w:szCs w:val="20"/>
          <w:color w:val="auto"/>
        </w:rPr>
      </w:pPr>
    </w:p>
    <w:p>
      <w:pPr>
        <w:ind w:left="1000" w:right="619"/>
        <w:spacing w:after="0" w:line="256" w:lineRule="auto"/>
        <w:rPr>
          <w:sz w:val="20"/>
          <w:szCs w:val="20"/>
          <w:color w:val="auto"/>
        </w:rPr>
      </w:pPr>
      <w:r>
        <w:rPr>
          <w:rFonts w:ascii="Arial" w:cs="Arial" w:eastAsia="Arial" w:hAnsi="Arial"/>
          <w:sz w:val="16"/>
          <w:szCs w:val="16"/>
          <w:color w:val="auto"/>
        </w:rPr>
        <w:t>(vi) options to purchase 4,059 shares of common stock held by Mr. Chang’s son that are exercisable within 60 days of January 13, 2022, but excluding warrants to purchase 4,618,101 shares of Common Stock that are held by RTC3 but that are not exercisable due to a 9.99% beneficial ownership limitation.</w:t>
      </w:r>
    </w:p>
    <w:p>
      <w:pPr>
        <w:ind w:left="1000" w:right="639" w:hanging="426"/>
        <w:spacing w:after="0" w:line="256"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(i) options to purchase 278 shares of Common Stock that are exercisable within 60 days of January 13, 2023 and (ii) warrants to purchase 2,718 shares of common stock associated with our January 2022 private placement offering.</w:t>
      </w:r>
    </w:p>
    <w:p>
      <w:pPr>
        <w:ind w:left="1000" w:right="699" w:hanging="426"/>
        <w:spacing w:after="0" w:line="306" w:lineRule="auto"/>
        <w:tabs>
          <w:tab w:leader="none" w:pos="10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the following shares subject to options that are exercisable within 60 days of September 13, 2023: Mr. Hua, 364; Mr. Kessler, 562; Mr. Oakes 363; Mr. Varier 363; Mr. Mahoney, 363; and Mr. Sokolow, 278.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7" w:name="page18"/>
    <w:bookmarkEnd w:id="1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EXPENSES OF SOLICITATION</w:t>
      </w:r>
    </w:p>
    <w:p>
      <w:pPr>
        <w:spacing w:after="0" w:line="151" w:lineRule="exact"/>
        <w:rPr>
          <w:sz w:val="20"/>
          <w:szCs w:val="20"/>
          <w:color w:val="auto"/>
        </w:rPr>
      </w:pPr>
    </w:p>
    <w:p>
      <w:pPr>
        <w:ind w:left="580" w:right="619" w:firstLine="419"/>
        <w:spacing w:after="0" w:line="301" w:lineRule="auto"/>
        <w:rPr>
          <w:sz w:val="20"/>
          <w:szCs w:val="20"/>
          <w:color w:val="auto"/>
        </w:rPr>
      </w:pPr>
      <w:r>
        <w:rPr>
          <w:rFonts w:ascii="Arial" w:cs="Arial" w:eastAsia="Arial" w:hAnsi="Arial"/>
          <w:sz w:val="15"/>
          <w:szCs w:val="15"/>
          <w:color w:val="auto"/>
        </w:rPr>
        <w:t>We will pay the entire expense of soliciting proxies for the Special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We have engaged Alliance Advisors, LLC to assist in the solicitation of proxies, for a services fee and the reimbursement of customary disbursements, which are not expected to exceed $8,500 in total.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8" w:name="page19"/>
    <w:bookmarkEnd w:id="1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ACCOUNTING FIRM</w:t>
      </w:r>
    </w:p>
    <w:p>
      <w:pPr>
        <w:spacing w:after="0" w:line="151" w:lineRule="exact"/>
        <w:rPr>
          <w:sz w:val="20"/>
          <w:szCs w:val="20"/>
          <w:color w:val="auto"/>
        </w:rPr>
      </w:pPr>
    </w:p>
    <w:p>
      <w:pPr>
        <w:ind w:left="580" w:right="599" w:firstLine="419"/>
        <w:spacing w:after="0" w:line="273" w:lineRule="auto"/>
        <w:rPr>
          <w:sz w:val="20"/>
          <w:szCs w:val="20"/>
          <w:color w:val="auto"/>
        </w:rPr>
      </w:pPr>
      <w:r>
        <w:rPr>
          <w:rFonts w:ascii="Arial" w:cs="Arial" w:eastAsia="Arial" w:hAnsi="Arial"/>
          <w:sz w:val="17"/>
          <w:szCs w:val="17"/>
          <w:color w:val="auto"/>
        </w:rPr>
        <w:t>The following table sets forth the aggregate fees billed by Marcum LLP (“Marcum”), our independent registered public accounting firm, for professional services rendered during the fiscal years ended December 31, 2022 and 2021:</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5360" w:type="dxa"/>
            <w:vAlign w:val="bottom"/>
          </w:tcPr>
          <w:p>
            <w:pPr>
              <w:spacing w:after="0"/>
              <w:rPr>
                <w:sz w:val="20"/>
                <w:szCs w:val="20"/>
                <w:color w:val="auto"/>
              </w:rPr>
            </w:pPr>
            <w:r>
              <w:rPr>
                <w:rFonts w:ascii="Arial" w:cs="Arial" w:eastAsia="Arial" w:hAnsi="Arial"/>
                <w:sz w:val="16"/>
                <w:szCs w:val="16"/>
                <w:b w:val="1"/>
                <w:bCs w:val="1"/>
                <w:color w:val="auto"/>
              </w:rPr>
              <w:t>Types of Fees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46"/>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Audit Fees</w:t>
            </w:r>
          </w:p>
        </w:tc>
        <w:tc>
          <w:tcPr>
            <w:tcW w:w="3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335,000</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352,450</w:t>
            </w: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r>
              <w:rPr>
                <w:rFonts w:ascii="Arial" w:cs="Arial" w:eastAsia="Arial" w:hAnsi="Arial"/>
                <w:sz w:val="17"/>
                <w:szCs w:val="17"/>
                <w:color w:val="auto"/>
              </w:rPr>
              <w:t>Audit-Related Fees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55,100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85,500</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Tax Fees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22,750</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Total Fees</w:t>
            </w: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412,850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452,950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580" w:right="619" w:firstLine="419"/>
        <w:spacing w:after="0" w:line="278" w:lineRule="auto"/>
        <w:rPr>
          <w:sz w:val="20"/>
          <w:szCs w:val="20"/>
          <w:color w:val="auto"/>
        </w:rPr>
      </w:pPr>
      <w:r>
        <w:rPr>
          <w:rFonts w:ascii="Arial" w:cs="Arial" w:eastAsia="Arial" w:hAnsi="Arial"/>
          <w:sz w:val="16"/>
          <w:szCs w:val="16"/>
          <w:color w:val="auto"/>
        </w:rPr>
        <w:t>In the table above, “Audit Fees” are fees our Company paid to Marcum for professional services rendered connection with the audit of the Company’s consolidated financial statements and the operating effectiveness of internal control over financial reporting included in the Company’s Annual Report on Form 10-K,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S-1 and S-3 fillings) and proxy statements; and “Tax Fees” are fees billed by Marcum either for corporate income tax return preparation and filing services and/or individual expatriate income tax services and advice.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Policy on Audit Committee Pre-Approval of Audit and Non-Audit Services of Independent Auditor</w:t>
      </w:r>
    </w:p>
    <w:p>
      <w:pPr>
        <w:spacing w:after="0" w:line="164" w:lineRule="exact"/>
        <w:rPr>
          <w:sz w:val="20"/>
          <w:szCs w:val="20"/>
          <w:color w:val="auto"/>
        </w:rPr>
      </w:pPr>
    </w:p>
    <w:p>
      <w:pPr>
        <w:ind w:left="580" w:right="599" w:firstLine="419"/>
        <w:spacing w:after="0" w:line="300" w:lineRule="auto"/>
        <w:rPr>
          <w:sz w:val="20"/>
          <w:szCs w:val="20"/>
          <w:color w:val="auto"/>
        </w:rPr>
      </w:pPr>
      <w:r>
        <w:rPr>
          <w:rFonts w:ascii="Arial" w:cs="Arial" w:eastAsia="Arial" w:hAnsi="Arial"/>
          <w:sz w:val="15"/>
          <w:szCs w:val="15"/>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77" w:lineRule="exact"/>
        <w:rPr>
          <w:sz w:val="20"/>
          <w:szCs w:val="20"/>
          <w:color w:val="auto"/>
        </w:rPr>
      </w:pPr>
    </w:p>
    <w:p>
      <w:pPr>
        <w:ind w:left="580" w:right="659" w:firstLine="419"/>
        <w:spacing w:after="0" w:line="322" w:lineRule="auto"/>
        <w:rPr>
          <w:sz w:val="20"/>
          <w:szCs w:val="20"/>
          <w:color w:val="auto"/>
        </w:rPr>
      </w:pPr>
      <w:r>
        <w:rPr>
          <w:rFonts w:ascii="Arial" w:cs="Arial" w:eastAsia="Arial" w:hAnsi="Arial"/>
          <w:sz w:val="16"/>
          <w:szCs w:val="16"/>
          <w:color w:val="auto"/>
        </w:rPr>
        <w:t>The Audit Committee considers whether the provisions of these services are compatible with maintaining the auditor’s independence, and it determined such services for 2022 and 2021 were compatible.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19" w:name="page20"/>
    <w:bookmarkEnd w:id="1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MATTERS</w:t>
      </w:r>
    </w:p>
    <w:p>
      <w:pPr>
        <w:spacing w:after="0" w:line="151" w:lineRule="exact"/>
        <w:rPr>
          <w:sz w:val="20"/>
          <w:szCs w:val="20"/>
          <w:color w:val="auto"/>
        </w:rPr>
      </w:pPr>
    </w:p>
    <w:p>
      <w:pPr>
        <w:ind w:left="580" w:right="699" w:firstLine="419"/>
        <w:spacing w:after="0" w:line="289" w:lineRule="auto"/>
        <w:rPr>
          <w:sz w:val="20"/>
          <w:szCs w:val="20"/>
          <w:color w:val="auto"/>
        </w:rPr>
      </w:pPr>
      <w:r>
        <w:rPr>
          <w:rFonts w:ascii="Arial" w:cs="Arial" w:eastAsia="Arial" w:hAnsi="Arial"/>
          <w:sz w:val="17"/>
          <w:szCs w:val="17"/>
          <w:color w:val="auto"/>
        </w:rPr>
        <w:t>Pursuant to our bylaws, only those matters described in this Proxy Statement will be presented for action at the Special Meeting.</w:t>
      </w:r>
    </w:p>
    <w:p>
      <w:pPr>
        <w:spacing w:after="0" w:line="152" w:lineRule="exact"/>
        <w:rPr>
          <w:sz w:val="20"/>
          <w:szCs w:val="20"/>
          <w:color w:val="auto"/>
        </w:rPr>
      </w:pPr>
    </w:p>
    <w:p>
      <w:pPr>
        <w:ind w:left="1620"/>
        <w:spacing w:after="0"/>
        <w:rPr>
          <w:sz w:val="20"/>
          <w:szCs w:val="20"/>
          <w:color w:val="auto"/>
        </w:rPr>
      </w:pPr>
      <w:r>
        <w:rPr>
          <w:rFonts w:ascii="Arial" w:cs="Arial" w:eastAsia="Arial" w:hAnsi="Arial"/>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Advance Notice Procedures</w:t>
      </w:r>
    </w:p>
    <w:p>
      <w:pPr>
        <w:spacing w:after="0" w:line="164" w:lineRule="exact"/>
        <w:rPr>
          <w:sz w:val="20"/>
          <w:szCs w:val="20"/>
          <w:color w:val="auto"/>
        </w:rPr>
      </w:pPr>
    </w:p>
    <w:p>
      <w:pPr>
        <w:ind w:left="580" w:right="659" w:firstLine="419"/>
        <w:spacing w:after="0" w:line="265" w:lineRule="auto"/>
        <w:rPr>
          <w:sz w:val="20"/>
          <w:szCs w:val="20"/>
          <w:color w:val="auto"/>
        </w:rPr>
      </w:pPr>
      <w:r>
        <w:rPr>
          <w:rFonts w:ascii="Arial" w:cs="Arial" w:eastAsia="Arial" w:hAnsi="Arial"/>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13" w:lineRule="exact"/>
        <w:rPr>
          <w:sz w:val="20"/>
          <w:szCs w:val="20"/>
          <w:color w:val="auto"/>
        </w:rPr>
      </w:pPr>
    </w:p>
    <w:p>
      <w:pPr>
        <w:ind w:left="580" w:right="699" w:firstLine="419"/>
        <w:spacing w:after="0" w:line="293" w:lineRule="auto"/>
        <w:rPr>
          <w:sz w:val="20"/>
          <w:szCs w:val="20"/>
          <w:color w:val="auto"/>
        </w:rPr>
      </w:pPr>
      <w:r>
        <w:rPr>
          <w:rFonts w:ascii="Arial" w:cs="Arial" w:eastAsia="Arial" w:hAnsi="Arial"/>
          <w:sz w:val="15"/>
          <w:szCs w:val="15"/>
          <w:color w:val="auto"/>
        </w:rPr>
        <w:t>For nominations or other business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sixty days nor more than ninety days prior to the first anniversary of the preceding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w:t>
      </w:r>
    </w:p>
    <w:p>
      <w:pPr>
        <w:spacing w:after="0" w:line="3" w:lineRule="exact"/>
        <w:rPr>
          <w:sz w:val="20"/>
          <w:szCs w:val="20"/>
          <w:color w:val="auto"/>
        </w:rPr>
      </w:pPr>
    </w:p>
    <w:p>
      <w:pPr>
        <w:ind w:left="580" w:right="679" w:hanging="6"/>
        <w:spacing w:after="0" w:line="291" w:lineRule="auto"/>
        <w:tabs>
          <w:tab w:leader="none" w:pos="827"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w:t>
      </w:r>
    </w:p>
    <w:p>
      <w:pPr>
        <w:spacing w:after="0" w:line="1" w:lineRule="exact"/>
        <w:rPr>
          <w:rFonts w:ascii="Arial" w:cs="Arial" w:eastAsia="Arial" w:hAnsi="Arial"/>
          <w:sz w:val="15"/>
          <w:szCs w:val="15"/>
          <w:color w:val="auto"/>
        </w:rPr>
      </w:pPr>
    </w:p>
    <w:p>
      <w:pPr>
        <w:ind w:left="580" w:right="699"/>
        <w:spacing w:after="0" w:line="260" w:lineRule="auto"/>
        <w:rPr>
          <w:rFonts w:ascii="Arial" w:cs="Arial" w:eastAsia="Arial" w:hAnsi="Arial"/>
          <w:sz w:val="15"/>
          <w:szCs w:val="15"/>
          <w:color w:val="auto"/>
        </w:rPr>
      </w:pPr>
      <w:r>
        <w:rPr>
          <w:rFonts w:ascii="Arial" w:cs="Arial" w:eastAsia="Arial" w:hAnsi="Arial"/>
          <w:sz w:val="17"/>
          <w:szCs w:val="17"/>
          <w:color w:val="auto"/>
        </w:rPr>
        <w:t>(B)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06" w:lineRule="exact"/>
        <w:rPr>
          <w:sz w:val="20"/>
          <w:szCs w:val="20"/>
          <w:color w:val="auto"/>
        </w:rPr>
      </w:pPr>
    </w:p>
    <w:p>
      <w:pPr>
        <w:ind w:left="580" w:right="619" w:firstLine="419"/>
        <w:spacing w:after="0" w:line="273" w:lineRule="auto"/>
        <w:rPr>
          <w:sz w:val="20"/>
          <w:szCs w:val="20"/>
          <w:color w:val="auto"/>
        </w:rPr>
      </w:pPr>
      <w:r>
        <w:rPr>
          <w:rFonts w:ascii="Arial" w:cs="Arial" w:eastAsia="Arial" w:hAnsi="Arial"/>
          <w:sz w:val="17"/>
          <w:szCs w:val="17"/>
          <w:color w:val="auto"/>
        </w:rPr>
        <w:t>These requirements are separate and distinct from the SEC’s requirements that a stockholder must meet in order to have a stockholder proposal included in the Company’s proxy statement pursuant to Rule 14a-8 under the Exchange Act.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Stockholder Proposals For 2023 Annual Meeting of Stockholders</w:t>
      </w:r>
    </w:p>
    <w:p>
      <w:pPr>
        <w:spacing w:after="0" w:line="164" w:lineRule="exact"/>
        <w:rPr>
          <w:sz w:val="20"/>
          <w:szCs w:val="20"/>
          <w:color w:val="auto"/>
        </w:rPr>
      </w:pPr>
    </w:p>
    <w:p>
      <w:pPr>
        <w:ind w:left="580" w:right="599" w:firstLine="419"/>
        <w:spacing w:after="0" w:line="260" w:lineRule="auto"/>
        <w:rPr>
          <w:sz w:val="20"/>
          <w:szCs w:val="20"/>
          <w:color w:val="auto"/>
        </w:rPr>
      </w:pPr>
      <w:r>
        <w:rPr>
          <w:rFonts w:ascii="Arial" w:cs="Arial" w:eastAsia="Arial" w:hAnsi="Arial"/>
          <w:sz w:val="17"/>
          <w:szCs w:val="17"/>
          <w:color w:val="auto"/>
        </w:rPr>
        <w:t>To be considered for presentation at our 2023 Annual Meeting of Stockholders, inclusion in the proxy statement and on the proxy card, a stockholder proposal must have been received at our offices no later than December 30, 2022. For stockholder proposals or other business matters that may be raised at the 2023 Annual Meeting of Stockholders, but not included in the proxy statement or on the proxy card that are submitted outside the proposal process identified in the preceding sentence, if we do not receive notice of any such matter that a stockholder wishes to raise at the 2023 Annual Meeting of Stockholders during the period commencing March 10, 2023 and ending April 9, 2023, then no business matters, other than those included in the notice of Annual Meeting for the 2023 Annual Meeting of Stockholders, may properly come before the 2023 Annual Meeting of Stockholders. All proposals and notifications for the 2023 Annual Meeting of Stockholders should be addressed in writing to the attention of the Corporate Secretary, Agrify Corporation, 76 Treble Cove Road, Building No. 3, Billerica, MA 01862 and should satisfy the particular requirements of our Amended and Restated Bylaws.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0" w:name="page21"/>
    <w:bookmarkEnd w:id="2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Report on Form 10-K</w:t>
      </w:r>
    </w:p>
    <w:p>
      <w:pPr>
        <w:spacing w:after="0" w:line="151" w:lineRule="exact"/>
        <w:rPr>
          <w:sz w:val="20"/>
          <w:szCs w:val="20"/>
          <w:color w:val="auto"/>
        </w:rPr>
      </w:pPr>
    </w:p>
    <w:p>
      <w:pPr>
        <w:ind w:left="580" w:right="679" w:firstLine="419"/>
        <w:spacing w:after="0" w:line="265" w:lineRule="auto"/>
        <w:rPr>
          <w:sz w:val="20"/>
          <w:szCs w:val="20"/>
          <w:color w:val="auto"/>
        </w:rPr>
      </w:pPr>
      <w:r>
        <w:rPr>
          <w:rFonts w:ascii="Arial" w:cs="Arial" w:eastAsia="Arial" w:hAnsi="Arial"/>
          <w:sz w:val="17"/>
          <w:szCs w:val="17"/>
          <w:color w:val="auto"/>
        </w:rPr>
        <w:t xml:space="preserve">Our Annual Report Form 10-K for the year ended December 31, 2021 was filed with the SEC on March 31, 2022. </w:t>
      </w:r>
      <w:r>
        <w:rPr>
          <w:rFonts w:ascii="Arial" w:cs="Arial" w:eastAsia="Arial" w:hAnsi="Arial"/>
          <w:sz w:val="17"/>
          <w:szCs w:val="17"/>
          <w:b w:val="1"/>
          <w:bCs w:val="1"/>
          <w:color w:val="auto"/>
        </w:rPr>
        <w:t>We will furnish, upon written request of any stockholder and the payment of an</w:t>
      </w:r>
      <w:r>
        <w:rPr>
          <w:rFonts w:ascii="Arial" w:cs="Arial" w:eastAsia="Arial" w:hAnsi="Arial"/>
          <w:sz w:val="17"/>
          <w:szCs w:val="17"/>
          <w:color w:val="auto"/>
        </w:rPr>
        <w:t xml:space="preserve"> </w:t>
      </w:r>
      <w:r>
        <w:rPr>
          <w:rFonts w:ascii="Arial" w:cs="Arial" w:eastAsia="Arial" w:hAnsi="Arial"/>
          <w:sz w:val="17"/>
          <w:szCs w:val="17"/>
          <w:b w:val="1"/>
          <w:bCs w:val="1"/>
          <w:color w:val="auto"/>
        </w:rPr>
        <w:t>appropriate processing fee, copies of the exhibits to our Annual Report on Form 10-K. Please address all such requests to Agrify Corporation, 76 Treble Cove Road, Building No. 3, Billerica, Massachusetts 01862, Attention: Corporate Secretary.</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Householding of Special Meeting Materials</w:t>
      </w:r>
    </w:p>
    <w:p>
      <w:pPr>
        <w:spacing w:after="0" w:line="164" w:lineRule="exact"/>
        <w:rPr>
          <w:sz w:val="20"/>
          <w:szCs w:val="20"/>
          <w:color w:val="auto"/>
        </w:rPr>
      </w:pPr>
    </w:p>
    <w:p>
      <w:pPr>
        <w:ind w:left="580" w:right="579" w:firstLine="419"/>
        <w:spacing w:after="0" w:line="299" w:lineRule="auto"/>
        <w:rPr>
          <w:sz w:val="20"/>
          <w:szCs w:val="20"/>
          <w:color w:val="auto"/>
        </w:rPr>
      </w:pPr>
      <w:r>
        <w:rPr>
          <w:rFonts w:ascii="Arial" w:cs="Arial" w:eastAsia="Arial" w:hAnsi="Arial"/>
          <w:sz w:val="15"/>
          <w:szCs w:val="15"/>
          <w:color w:val="auto"/>
        </w:rPr>
        <w:t xml:space="preserve">Some banks, brokers and other nominee record holders may be participating in the practice of “householding” proxy statements, annual reports and notices of Internet availability of proxy materials. This means that only one copy of such materials may have been sent to multiple stockholders in your household. We will promptly deliver a separate copy of any such document to you if you write or call us at the following address or telephone number: Agrify Corporation, 76 Treble Cove Road, Building No. 3, Billerica, MA 01862, Attention: Corporate Secretary, (617) 896-5243, or you can request a copy of any such document by visiting the Special Meeting page of our Internet website at </w:t>
      </w:r>
      <w:r>
        <w:rPr>
          <w:rFonts w:ascii="Arial" w:cs="Arial" w:eastAsia="Arial" w:hAnsi="Arial"/>
          <w:sz w:val="15"/>
          <w:szCs w:val="15"/>
          <w:i w:val="1"/>
          <w:iCs w:val="1"/>
          <w:color w:val="auto"/>
        </w:rPr>
        <w:t>www.proxyvote.com</w:t>
      </w:r>
      <w:r>
        <w:rPr>
          <w:rFonts w:ascii="Arial" w:cs="Arial" w:eastAsia="Arial" w:hAnsi="Arial"/>
          <w:sz w:val="15"/>
          <w:szCs w:val="15"/>
          <w:color w:val="auto"/>
        </w:rPr>
        <w:t>. If you want to receive separate copies of any annual report, proxy statement or notice of Internet availability of proxy materials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50" w:lineRule="exact"/>
        <w:rPr>
          <w:sz w:val="20"/>
          <w:szCs w:val="20"/>
          <w:color w:val="auto"/>
        </w:rPr>
      </w:pPr>
    </w:p>
    <w:p>
      <w:pPr>
        <w:jc w:val="center"/>
        <w:ind w:left="580" w:right="599"/>
        <w:spacing w:after="0" w:line="270" w:lineRule="auto"/>
        <w:rPr>
          <w:sz w:val="20"/>
          <w:szCs w:val="20"/>
          <w:color w:val="auto"/>
        </w:rPr>
      </w:pPr>
      <w:r>
        <w:rPr>
          <w:rFonts w:ascii="Arial" w:cs="Arial" w:eastAsia="Arial" w:hAnsi="Arial"/>
          <w:sz w:val="17"/>
          <w:szCs w:val="17"/>
          <w:b w:val="1"/>
          <w:bCs w:val="1"/>
          <w:color w:val="auto"/>
        </w:rPr>
        <w:t>YOUR VOTE IS IMPORTANT PLEASE SIGN, DATE AND RETURN YOUR PROXY CARD OR VOTE BY TELEPHONE OR VOTE THROUGH THE INTERNET AS SOON AS POSSIBLE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1" w:name="page22"/>
    <w:bookmarkEnd w:id="21"/>
    <w:p>
      <w:pPr>
        <w:ind w:left="580"/>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114300</wp:posOffset>
            </wp:positionV>
            <wp:extent cx="7264400" cy="9980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4400" cy="9980930"/>
                    </a:xfrm>
                    <a:prstGeom prst="rect">
                      <a:avLst/>
                    </a:prstGeom>
                    <a:noFill/>
                  </pic:spPr>
                </pic:pic>
              </a:graphicData>
            </a:graphic>
          </wp:anchor>
        </w:drawing>
      </w:r>
    </w:p>
    <w:p>
      <w:pPr>
        <w:sectPr>
          <w:pgSz w:w="11900" w:h="16838" w:orient="portrait"/>
          <w:cols w:equalWidth="0" w:num="1">
            <w:col w:w="9019"/>
          </w:cols>
          <w:pgMar w:left="1440" w:top="271" w:right="1440" w:bottom="1440" w:gutter="0" w:footer="0" w:header="0"/>
        </w:sectPr>
      </w:pPr>
    </w:p>
    <w:bookmarkStart w:id="22" w:name="page23"/>
    <w:bookmarkEnd w:id="22"/>
    <w:p>
      <w:pPr>
        <w:ind w:left="580"/>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114300</wp:posOffset>
            </wp:positionV>
            <wp:extent cx="7264400" cy="1019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4400" cy="10197465"/>
                    </a:xfrm>
                    <a:prstGeom prst="rect">
                      <a:avLst/>
                    </a:prstGeom>
                    <a:noFill/>
                  </pic:spPr>
                </pic:pic>
              </a:graphicData>
            </a:graphic>
          </wp:anchor>
        </w:drawing>
      </w:r>
    </w:p>
    <w:sectPr>
      <w:pgSz w:w="11900" w:h="16838" w:orient="portrait"/>
      <w:cols w:equalWidth="0" w:num="1">
        <w:col w:w="9019"/>
      </w:cols>
      <w:pgMar w:left="14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upperLetter"/>
      <w:start w:val="17"/>
    </w:lvl>
  </w:abstractNum>
  <w:abstractNum w:abstractNumId="7">
    <w:nsid w:val="189A769B"/>
    <w:multiLevelType w:val="hybridMultilevel"/>
    <w:lvl w:ilvl="0">
      <w:lvlJc w:val="left"/>
      <w:lvlText w:val="%1:"/>
      <w:numFmt w:val="upperLetter"/>
      <w:start w:val="1"/>
    </w:lvl>
  </w:abstractNum>
  <w:abstractNum w:abstractNumId="8">
    <w:nsid w:val="54E49EB4"/>
    <w:multiLevelType w:val="hybridMultilevel"/>
    <w:lvl w:ilvl="0">
      <w:lvlJc w:val="left"/>
      <w:lvlText w:val="%1:"/>
      <w:numFmt w:val="upperLetter"/>
      <w:start w:val="17"/>
    </w:lvl>
  </w:abstractNum>
  <w:abstractNum w:abstractNumId="9">
    <w:nsid w:val="71F32454"/>
    <w:multiLevelType w:val="hybridMultilevel"/>
    <w:lvl w:ilvl="0">
      <w:lvlJc w:val="left"/>
      <w:lvlText w:val="%1:"/>
      <w:numFmt w:val="upperLetter"/>
      <w:start w:val="1"/>
    </w:lvl>
  </w:abstractNum>
  <w:abstractNum w:abstractNumId="10">
    <w:nsid w:val="2CA88611"/>
    <w:multiLevelType w:val="hybridMultilevel"/>
    <w:lvl w:ilvl="0">
      <w:lvlJc w:val="left"/>
      <w:lvlText w:val="%1:"/>
      <w:numFmt w:val="upperLetter"/>
      <w:start w:val="17"/>
    </w:lvl>
  </w:abstractNum>
  <w:abstractNum w:abstractNumId="11">
    <w:nsid w:val="836C40E"/>
    <w:multiLevelType w:val="hybridMultilevel"/>
    <w:lvl w:ilvl="0">
      <w:lvlJc w:val="left"/>
      <w:lvlText w:val="%1:"/>
      <w:numFmt w:val="upperLetter"/>
      <w:start w:val="1"/>
    </w:lvl>
    <w:lvl w:ilvl="1">
      <w:lvlJc w:val="left"/>
      <w:lvlText w:val="•"/>
      <w:numFmt w:val="bullet"/>
      <w:start w:val="1"/>
    </w:lvl>
  </w:abstractNum>
  <w:abstractNum w:abstractNumId="12">
    <w:nsid w:val="2901D82"/>
    <w:multiLevelType w:val="hybridMultilevel"/>
    <w:lvl w:ilvl="0">
      <w:lvlJc w:val="left"/>
      <w:lvlText w:val="%1:"/>
      <w:numFmt w:val="upperLetter"/>
      <w:start w:val="17"/>
    </w:lvl>
  </w:abstractNum>
  <w:abstractNum w:abstractNumId="13">
    <w:nsid w:val="3A95F874"/>
    <w:multiLevelType w:val="hybridMultilevel"/>
    <w:lvl w:ilvl="0">
      <w:lvlJc w:val="left"/>
      <w:lvlText w:val="%1:"/>
      <w:numFmt w:val="upperLetter"/>
      <w:start w:val="1"/>
    </w:lvl>
  </w:abstractNum>
  <w:abstractNum w:abstractNumId="14">
    <w:nsid w:val="8138641"/>
    <w:multiLevelType w:val="hybridMultilevel"/>
    <w:lvl w:ilvl="0">
      <w:lvlJc w:val="left"/>
      <w:lvlText w:val="%1:"/>
      <w:numFmt w:val="upperLetter"/>
      <w:start w:val="17"/>
    </w:lvl>
  </w:abstractNum>
  <w:abstractNum w:abstractNumId="15">
    <w:nsid w:val="1E7FF521"/>
    <w:multiLevelType w:val="hybridMultilevel"/>
    <w:lvl w:ilvl="0">
      <w:lvlJc w:val="left"/>
      <w:lvlText w:val="%1:"/>
      <w:numFmt w:val="upperLetter"/>
      <w:start w:val="1"/>
    </w:lvl>
  </w:abstractNum>
  <w:abstractNum w:abstractNumId="16">
    <w:nsid w:val="7C3DBD3D"/>
    <w:multiLevelType w:val="hybridMultilevel"/>
    <w:lvl w:ilvl="0">
      <w:lvlJc w:val="left"/>
      <w:lvlText w:val="%1:"/>
      <w:numFmt w:val="upperLetter"/>
      <w:start w:val="17"/>
    </w:lvl>
  </w:abstractNum>
  <w:abstractNum w:abstractNumId="17">
    <w:nsid w:val="737B8DDC"/>
    <w:multiLevelType w:val="hybridMultilevel"/>
    <w:lvl w:ilvl="0">
      <w:lvlJc w:val="left"/>
      <w:lvlText w:val="%1:"/>
      <w:numFmt w:val="upperLetter"/>
      <w:start w:val="1"/>
    </w:lvl>
  </w:abstractNum>
  <w:abstractNum w:abstractNumId="18">
    <w:nsid w:val="6CEAF087"/>
    <w:multiLevelType w:val="hybridMultilevel"/>
    <w:lvl w:ilvl="0">
      <w:lvlJc w:val="left"/>
      <w:lvlText w:val="%1:"/>
      <w:numFmt w:val="upperLetter"/>
      <w:start w:val="17"/>
    </w:lvl>
  </w:abstractNum>
  <w:abstractNum w:abstractNumId="19">
    <w:nsid w:val="22221A70"/>
    <w:multiLevelType w:val="hybridMultilevel"/>
    <w:lvl w:ilvl="0">
      <w:lvlJc w:val="left"/>
      <w:lvlText w:val="%1:"/>
      <w:numFmt w:val="upperLetter"/>
      <w:start w:val="1"/>
    </w:lvl>
  </w:abstractNum>
  <w:abstractNum w:abstractNumId="20">
    <w:nsid w:val="4516DDE9"/>
    <w:multiLevelType w:val="hybridMultilevel"/>
    <w:lvl w:ilvl="0">
      <w:lvlJc w:val="left"/>
      <w:lvlText w:val="%1:"/>
      <w:numFmt w:val="upperLetter"/>
      <w:start w:val="17"/>
    </w:lvl>
  </w:abstractNum>
  <w:abstractNum w:abstractNumId="21">
    <w:nsid w:val="3006C83E"/>
    <w:multiLevelType w:val="hybridMultilevel"/>
    <w:lvl w:ilvl="0">
      <w:lvlJc w:val="left"/>
      <w:lvlText w:val="%1:"/>
      <w:numFmt w:val="upperLetter"/>
      <w:start w:val="1"/>
    </w:lvl>
  </w:abstractNum>
  <w:abstractNum w:abstractNumId="22">
    <w:nsid w:val="614FD4A1"/>
    <w:multiLevelType w:val="hybridMultilevel"/>
    <w:lvl w:ilvl="0">
      <w:lvlJc w:val="left"/>
      <w:lvlText w:val="%1:"/>
      <w:numFmt w:val="upperLetter"/>
      <w:start w:val="17"/>
    </w:lvl>
  </w:abstractNum>
  <w:abstractNum w:abstractNumId="23">
    <w:nsid w:val="419AC241"/>
    <w:multiLevelType w:val="hybridMultilevel"/>
    <w:lvl w:ilvl="0">
      <w:lvlJc w:val="left"/>
      <w:lvlText w:val="%1:"/>
      <w:numFmt w:val="upperLetter"/>
      <w:start w:val="1"/>
    </w:lvl>
  </w:abstractNum>
  <w:abstractNum w:abstractNumId="24">
    <w:nsid w:val="5577F8E1"/>
    <w:multiLevelType w:val="hybridMultilevel"/>
    <w:lvl w:ilvl="0">
      <w:lvlJc w:val="left"/>
      <w:lvlText w:val="%1:"/>
      <w:numFmt w:val="upperLetter"/>
      <w:start w:val="17"/>
    </w:lvl>
  </w:abstractNum>
  <w:abstractNum w:abstractNumId="25">
    <w:nsid w:val="440BADFC"/>
    <w:multiLevelType w:val="hybridMultilevel"/>
    <w:lvl w:ilvl="0">
      <w:lvlJc w:val="left"/>
      <w:lvlText w:val="%1:"/>
      <w:numFmt w:val="upperLetter"/>
      <w:start w:val="1"/>
    </w:lvl>
  </w:abstractNum>
  <w:abstractNum w:abstractNumId="26">
    <w:nsid w:val="5072367"/>
    <w:multiLevelType w:val="hybridMultilevel"/>
    <w:lvl w:ilvl="0">
      <w:lvlJc w:val="left"/>
      <w:lvlText w:val="%1:"/>
      <w:numFmt w:val="upperLetter"/>
      <w:start w:val="17"/>
    </w:lvl>
  </w:abstractNum>
  <w:abstractNum w:abstractNumId="27">
    <w:nsid w:val="3804823E"/>
    <w:multiLevelType w:val="hybridMultilevel"/>
    <w:lvl w:ilvl="0">
      <w:lvlJc w:val="left"/>
      <w:lvlText w:val="%1:"/>
      <w:numFmt w:val="upperLetter"/>
      <w:start w:val="1"/>
    </w:lvl>
  </w:abstractNum>
  <w:abstractNum w:abstractNumId="28">
    <w:nsid w:val="77465F01"/>
    <w:multiLevelType w:val="hybridMultilevel"/>
    <w:lvl w:ilvl="0">
      <w:lvlJc w:val="left"/>
      <w:lvlText w:val="%1:"/>
      <w:numFmt w:val="upperLetter"/>
      <w:start w:val="17"/>
    </w:lvl>
  </w:abstractNum>
  <w:abstractNum w:abstractNumId="29">
    <w:nsid w:val="7724C67E"/>
    <w:multiLevelType w:val="hybridMultilevel"/>
    <w:lvl w:ilvl="0">
      <w:lvlJc w:val="left"/>
      <w:lvlText w:val="%1:"/>
      <w:numFmt w:val="upperLetter"/>
      <w:start w:val="1"/>
    </w:lvl>
    <w:lvl w:ilvl="1">
      <w:lvlJc w:val="left"/>
      <w:lvlText w:val="•"/>
      <w:numFmt w:val="bullet"/>
      <w:start w:val="1"/>
    </w:lvl>
  </w:abstractNum>
  <w:abstractNum w:abstractNumId="30">
    <w:nsid w:val="5C482A97"/>
    <w:multiLevelType w:val="hybridMultilevel"/>
    <w:lvl w:ilvl="0">
      <w:lvlJc w:val="left"/>
      <w:lvlText w:val="%1:"/>
      <w:numFmt w:val="upperLetter"/>
      <w:start w:val="17"/>
    </w:lvl>
  </w:abstractNum>
  <w:abstractNum w:abstractNumId="31">
    <w:nsid w:val="2463B9EA"/>
    <w:multiLevelType w:val="hybridMultilevel"/>
    <w:lvl w:ilvl="0">
      <w:lvlJc w:val="left"/>
      <w:lvlText w:val="%1:"/>
      <w:numFmt w:val="upperLetter"/>
      <w:start w:val="1"/>
    </w:lvl>
  </w:abstractNum>
  <w:abstractNum w:abstractNumId="32">
    <w:nsid w:val="5E884ADC"/>
    <w:multiLevelType w:val="hybridMultilevel"/>
    <w:lvl w:ilvl="0">
      <w:lvlJc w:val="left"/>
      <w:lvlText w:val="%1:"/>
      <w:numFmt w:val="upperLetter"/>
      <w:start w:val="17"/>
    </w:lvl>
  </w:abstractNum>
  <w:abstractNum w:abstractNumId="33">
    <w:nsid w:val="51EAD36B"/>
    <w:multiLevelType w:val="hybridMultilevel"/>
    <w:lvl w:ilvl="0">
      <w:lvlJc w:val="left"/>
      <w:lvlText w:val="%1:"/>
      <w:numFmt w:val="upperLetter"/>
      <w:start w:val="1"/>
    </w:lvl>
  </w:abstractNum>
  <w:abstractNum w:abstractNumId="34">
    <w:nsid w:val="2D517796"/>
    <w:multiLevelType w:val="hybridMultilevel"/>
    <w:lvl w:ilvl="0">
      <w:lvlJc w:val="left"/>
      <w:lvlText w:val="%1:"/>
      <w:numFmt w:val="upperLetter"/>
      <w:start w:val="17"/>
    </w:lvl>
  </w:abstractNum>
  <w:abstractNum w:abstractNumId="35">
    <w:nsid w:val="580BD78F"/>
    <w:multiLevelType w:val="hybridMultilevel"/>
    <w:lvl w:ilvl="0">
      <w:lvlJc w:val="left"/>
      <w:lvlText w:val="%1:"/>
      <w:numFmt w:val="upperLetter"/>
      <w:start w:val="1"/>
    </w:lvl>
    <w:lvl w:ilvl="1">
      <w:lvlJc w:val="left"/>
      <w:lvlText w:val="•"/>
      <w:numFmt w:val="bullet"/>
      <w:start w:val="1"/>
    </w:lvl>
  </w:abstractNum>
  <w:abstractNum w:abstractNumId="36">
    <w:nsid w:val="153EA438"/>
    <w:multiLevelType w:val="hybridMultilevel"/>
    <w:lvl w:ilvl="0">
      <w:lvlJc w:val="left"/>
      <w:lvlText w:val="%1:"/>
      <w:numFmt w:val="upperLetter"/>
      <w:start w:val="16"/>
    </w:lvl>
    <w:lvl w:ilvl="1">
      <w:lvlJc w:val="left"/>
      <w:lvlText w:val="•"/>
      <w:numFmt w:val="bullet"/>
      <w:start w:val="1"/>
    </w:lvl>
  </w:abstractNum>
  <w:abstractNum w:abstractNumId="37">
    <w:nsid w:val="3855585C"/>
    <w:multiLevelType w:val="hybridMultilevel"/>
    <w:lvl w:ilvl="0">
      <w:lvlJc w:val="left"/>
      <w:lvlText w:val="%1:"/>
      <w:numFmt w:val="upperLetter"/>
      <w:start w:val="1"/>
    </w:lvl>
  </w:abstractNum>
  <w:abstractNum w:abstractNumId="38">
    <w:nsid w:val="70A64E2A"/>
    <w:multiLevelType w:val="hybridMultilevel"/>
    <w:lvl w:ilvl="0">
      <w:lvlJc w:val="left"/>
      <w:lvlText w:val="%1:"/>
      <w:numFmt w:val="upperLetter"/>
      <w:start w:val="17"/>
    </w:lvl>
  </w:abstractNum>
  <w:abstractNum w:abstractNumId="39">
    <w:nsid w:val="6A2342EC"/>
    <w:multiLevelType w:val="hybridMultilevel"/>
    <w:lvl w:ilvl="0">
      <w:lvlJc w:val="left"/>
      <w:lvlText w:val="%1:"/>
      <w:numFmt w:val="upperLetter"/>
      <w:start w:val="1"/>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4"/>
    </w:lvl>
  </w:abstractNum>
  <w:abstractNum w:abstractNumId="44">
    <w:nsid w:val="57E4CCAF"/>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2023-01-27T17:48:39Z</dcterms:created>
  <dcterms:modified xsi:type="dcterms:W3CDTF">2023-01-27T17:48:39Z</dcterms:modified>
</cp:coreProperties>
</file>