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12,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Ticker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12, 2021, Agrify Corporation (the “Company”) issued a press release announcing financial results for the quarter ended June 30, 2021. A copy of the release is attached as Exhibit 99.1.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0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Agrify Corporation dated August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040" w:type="dxa"/>
            <w:vAlign w:val="bottom"/>
            <w:gridSpan w:val="2"/>
          </w:tcPr>
          <w:p>
            <w:pPr>
              <w:ind w:left="256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Date: August 12, 2021</w:t>
            </w:r>
          </w:p>
        </w:tc>
        <w:tc>
          <w:tcPr>
            <w:tcW w:w="3120" w:type="dxa"/>
            <w:vAlign w:val="bottom"/>
          </w:tcPr>
          <w:p>
            <w:pPr>
              <w:ind w:left="25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200" w:type="dxa"/>
            <w:vAlign w:val="bottom"/>
          </w:tcPr>
          <w:p>
            <w:pPr>
              <w:spacing w:after="0"/>
              <w:rPr>
                <w:sz w:val="17"/>
                <w:szCs w:val="17"/>
                <w:color w:val="auto"/>
              </w:rPr>
            </w:pPr>
          </w:p>
        </w:tc>
        <w:tc>
          <w:tcPr>
            <w:tcW w:w="312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4200" w:type="dxa"/>
            <w:vAlign w:val="bottom"/>
          </w:tcPr>
          <w:p>
            <w:pPr>
              <w:spacing w:after="0"/>
              <w:rPr>
                <w:sz w:val="20"/>
                <w:szCs w:val="20"/>
                <w:color w:val="auto"/>
              </w:rPr>
            </w:pPr>
          </w:p>
        </w:tc>
        <w:tc>
          <w:tcPr>
            <w:tcW w:w="3120" w:type="dxa"/>
            <w:vAlign w:val="bottom"/>
          </w:tcPr>
          <w:p>
            <w:pPr>
              <w:ind w:left="25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74"/>
        </w:trPr>
        <w:tc>
          <w:tcPr>
            <w:tcW w:w="4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154305</wp:posOffset>
            </wp:positionV>
            <wp:extent cx="16116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Record Second Quarter 2021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203% year-over-year and 69% sequentially to $11.8 million in Q2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bookings were $30.7 million, bringing total backlog up to record $101.1 million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BILLERICA, Mass., August 12, 2021 - Agrify Corporation (NasdaqCM:AGFY) (“Agrify” or the “Company”), a developer of highly advanced and proprietary precision hardware and software cultivation solutions for the indoor agriculture marketplace, today announced financial results for the period ended June 30, 2021 (“Q2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Highlights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203% to $11.8 million for Q2 2021 compared to $3.9 million for Q2 2020 and increased 69% sequentially from $7 million in Q1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bookings were $30.7 million for Q2 2021, which is the highest quarterly bookings total for the Company to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backlog increased to $101.1 million from $82.2 million at the end of Q1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the first Agrify Total Turn-Key Solution (“Agrify TTK Solution”) customer partnership:</w:t>
      </w:r>
    </w:p>
    <w:p>
      <w:pPr>
        <w:spacing w:after="0" w:line="225" w:lineRule="exact"/>
        <w:rPr>
          <w:sz w:val="20"/>
          <w:szCs w:val="20"/>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Signed a definitive agreement with Bud &amp; Mary’s Cultivation, Inc. to install up to 1,200 of Agrify’s Vertical Farming Units (“VFUs”) at its 50,000-square-foot facility</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partnership is anticipated to generate an estimated $28 million in annual revenue, with up to $280 million expected in the next 10 years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and amplified partnerships with existing customers, including:</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$3.5 million purchase contract from WhiteCloud Botanicals to triple its current flower production canopy, addressing increased product demand in the growing Nevada market</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Contract to include new phases of facility design and build-out, 132 additional VFUs, and three years of recurring SaaS revenue for use of the Agrify Insights™ software platform</w:t>
      </w:r>
    </w:p>
    <w:p>
      <w:pPr>
        <w:spacing w:after="0" w:line="170" w:lineRule="exact"/>
        <w:rPr>
          <w:rFonts w:ascii="Arial" w:cs="Arial" w:eastAsia="Arial" w:hAnsi="Arial"/>
          <w:sz w:val="18"/>
          <w:szCs w:val="18"/>
          <w:color w:val="auto"/>
        </w:rPr>
      </w:pPr>
    </w:p>
    <w:p>
      <w:pPr>
        <w:ind w:left="1960" w:hanging="332"/>
        <w:spacing w:after="0" w:line="342"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WhiteCloud Botanicals will also feature the Agrify licensed brand Western Cultured, as well as its own proprietary brand, WhiteCloud, at multiple top-tier dispensaries across Nevada, such as Planet 13, Green Thumb, Shango, Jardin, and ShowGrow</w:t>
      </w:r>
    </w:p>
    <w:p>
      <w:pPr>
        <w:spacing w:after="0" w:line="123"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up to $2.5 million contract with Greenstone to complete construction of a 25,000-square-foot expansion of its Denver, Colorado facility</w:t>
      </w:r>
    </w:p>
    <w:p>
      <w:pPr>
        <w:spacing w:after="0" w:line="170" w:lineRule="exact"/>
        <w:rPr>
          <w:rFonts w:ascii="Arial" w:cs="Arial" w:eastAsia="Arial" w:hAnsi="Arial"/>
          <w:sz w:val="18"/>
          <w:szCs w:val="18"/>
          <w:color w:val="auto"/>
        </w:rPr>
      </w:pPr>
    </w:p>
    <w:p>
      <w:pPr>
        <w:ind w:left="1960" w:right="20" w:hanging="332"/>
        <w:spacing w:after="0" w:line="277"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Under the terms of the agreement, Agrify will provide construction loans at 18% APR, to be repaid over a 24-month period following commencement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960" w:hanging="332"/>
        <w:spacing w:after="0" w:line="277"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 includes an estimated $11 million in production-based fees and consulting services over a 10-year period, and an option on a second expansion phase for up to an additional $37 million</w:t>
      </w:r>
    </w:p>
    <w:p>
      <w:pPr>
        <w:spacing w:after="0" w:line="170" w:lineRule="exact"/>
        <w:rPr>
          <w:sz w:val="20"/>
          <w:szCs w:val="20"/>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$12 million contract with Nevada Holistic Medicine for the build-out of a 12,400-square-foot facility and an additional five years of SaaS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pleased to share that our Q2 revenue grew to a record $11.8 million, a year-over-year increase of 203%, and sequential growth of 69%,” said Raymond Chang, Chief Executive Officer of Agrify. “At the beginning of the year, we set out to achieve $40 million in top-line revenue, secure a partnership with a major MSO, and launch our latest technology, VFU 3.6. I am proud to report that we have already exceeded these goals, and we are well on our way to realizing our expanded full year 2021 revenue guidance of $48-$50 million.”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Chang added, “In the second quarter, we launched our Agrify TTK Solution with our first partner, Bud &amp; Mary’s, representing potentially up to $280 million in revenue over the next 10 years. We also began the deployment of our most advanced VFU yet, version 3.6. Our decision to invest in our customers’ success is also contributing to our growth as we have expanded our engagements with our existing customer base, leading to an eightfold increase in the expected lifetime value of those relationships. As consistency and quality have become critical to our customers’ ability to grow their market share, our hardware and software solutions are proving ever more valuable to major players in the indoor agriculture space.”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Chang concluded, “We are pleased to report our bookings for Q2 2021 were $30.7 million and our backlog stood at $101.1 million at the end of the quarter, up 23% from $82.2 million at the end of Q1 2021. Looking ahead to the second half of this year, we are confident that we will achieve or even exceed our revised $48-$50 million revenue target for 2021. We believe the last half of 2021 also has the potential to shape our future in powerful ways as we are currently in advanced discussions with a number of other MSOs, and we are exploring partnerships with 10 TTK candidates across eight states. In addition to our organic growth, we aim to further expand our operations through strategic M&amp;A, and we are in the final stages of performing due diligence on several exciting opportunities we hope to announce soon.”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Q3 2021 Developments, To Date</w:t>
      </w:r>
    </w:p>
    <w:p>
      <w:pPr>
        <w:spacing w:after="0" w:line="2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multi-year vertical farming research and development partnership with Curaleaf to study the impact of cultivation environment on plant health and harvest yields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Opened new cultivation and production facility, product showcase, and corporate office in Billerica, Massachusetts, following the Company’s receipt of a license for the cultivation and production of industrial hemp from the state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Agrify University, a 3,500-square-foot state-of-the-art indoor vertical farming facility featuring Agrify’s latest technology and advanced cultivation methods, and an innovative, project-based learning program providing participants with in-classroom, on-site, and on-demand learning options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Announced the second Agrify TTK Solution customer partnership with True House Cannabis LLC, a partnership that is anticipated to generate an estimated $45.3 million in expected revenue in the next 10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 and Guidance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continued strength of Agrify’s operations, the Company remains on track to achieve the upper target of its previously disclosed total revenue guidance of $48 to $50 million for the full year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jc w:val="right"/>
              <w:ind w:right="900"/>
              <w:spacing w:after="0"/>
              <w:rPr>
                <w:sz w:val="20"/>
                <w:szCs w:val="20"/>
                <w:color w:val="auto"/>
              </w:rPr>
            </w:pPr>
            <w:r>
              <w:rPr>
                <w:rFonts w:ascii="Arial" w:cs="Arial" w:eastAsia="Arial" w:hAnsi="Arial"/>
                <w:sz w:val="18"/>
                <w:szCs w:val="18"/>
                <w:color w:val="auto"/>
              </w:rPr>
              <w:t>Three Months Ended</w:t>
            </w:r>
          </w:p>
        </w:tc>
        <w:tc>
          <w:tcPr>
            <w:tcW w:w="2540" w:type="dxa"/>
            <w:vAlign w:val="bottom"/>
            <w:gridSpan w:val="7"/>
          </w:tcPr>
          <w:p>
            <w:pPr>
              <w:ind w:left="440"/>
              <w:spacing w:after="0"/>
              <w:rPr>
                <w:sz w:val="20"/>
                <w:szCs w:val="20"/>
                <w:color w:val="auto"/>
              </w:rPr>
            </w:pPr>
            <w:r>
              <w:rPr>
                <w:rFonts w:ascii="Arial" w:cs="Arial" w:eastAsia="Arial" w:hAnsi="Arial"/>
                <w:sz w:val="18"/>
                <w:szCs w:val="18"/>
                <w:color w:val="auto"/>
              </w:rPr>
              <w:t>Six Months Ended</w:t>
            </w:r>
          </w:p>
        </w:tc>
      </w:tr>
      <w:tr>
        <w:trPr>
          <w:trHeight w:val="202"/>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right"/>
              <w:ind w:right="540"/>
              <w:spacing w:after="0" w:line="201" w:lineRule="exact"/>
              <w:rPr>
                <w:sz w:val="20"/>
                <w:szCs w:val="20"/>
                <w:color w:val="auto"/>
              </w:rPr>
            </w:pPr>
            <w:r>
              <w:rPr>
                <w:rFonts w:ascii="Arial" w:cs="Arial" w:eastAsia="Arial" w:hAnsi="Arial"/>
                <w:sz w:val="18"/>
                <w:szCs w:val="18"/>
                <w:color w:val="auto"/>
                <w:w w:val="99"/>
              </w:rPr>
              <w:t>Jun. 30,</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6"/>
              </w:rPr>
              <w:t>Jun. 30,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480"/>
              <w:spacing w:after="0" w:line="201" w:lineRule="exact"/>
              <w:rPr>
                <w:sz w:val="20"/>
                <w:szCs w:val="20"/>
                <w:color w:val="auto"/>
              </w:rPr>
            </w:pPr>
            <w:r>
              <w:rPr>
                <w:rFonts w:ascii="Arial" w:cs="Arial" w:eastAsia="Arial" w:hAnsi="Arial"/>
                <w:sz w:val="18"/>
                <w:szCs w:val="18"/>
                <w:color w:val="auto"/>
                <w:w w:val="87"/>
              </w:rPr>
              <w:t>Jun. 30,</w:t>
            </w:r>
          </w:p>
        </w:tc>
        <w:tc>
          <w:tcPr>
            <w:tcW w:w="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90"/>
              <w:spacing w:after="0" w:line="201" w:lineRule="exact"/>
              <w:rPr>
                <w:sz w:val="20"/>
                <w:szCs w:val="20"/>
                <w:color w:val="auto"/>
              </w:rPr>
            </w:pPr>
            <w:r>
              <w:rPr>
                <w:rFonts w:ascii="Arial" w:cs="Arial" w:eastAsia="Arial" w:hAnsi="Arial"/>
                <w:sz w:val="18"/>
                <w:szCs w:val="18"/>
                <w:color w:val="auto"/>
              </w:rPr>
              <w:t>Jun.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82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080" w:type="dxa"/>
            <w:vAlign w:val="bottom"/>
            <w:gridSpan w:val="3"/>
          </w:tcPr>
          <w:p>
            <w:pPr>
              <w:jc w:val="right"/>
              <w:ind w:right="2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11,825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83"/>
              </w:rPr>
              <w:t>18,833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12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527</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1,059</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2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5,955</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3,456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11,911</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6,946</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10,255</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Research &amp; Development</w:t>
            </w: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Agrify Corporation</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(5,636)</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(9,446)</w:t>
            </w:r>
          </w:p>
        </w:tc>
        <w:tc>
          <w:tcPr>
            <w:tcW w:w="1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(5,857)</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jc w:val="right"/>
              <w:ind w:right="700"/>
              <w:spacing w:after="0"/>
              <w:rPr>
                <w:sz w:val="20"/>
                <w:szCs w:val="20"/>
                <w:color w:val="auto"/>
              </w:rPr>
            </w:pPr>
            <w:r>
              <w:rPr>
                <w:rFonts w:ascii="Arial" w:cs="Arial" w:eastAsia="Arial" w:hAnsi="Arial"/>
                <w:sz w:val="18"/>
                <w:szCs w:val="18"/>
                <w:color w:val="auto"/>
              </w:rPr>
              <w:t>Three Months Ended</w:t>
            </w:r>
          </w:p>
        </w:tc>
        <w:tc>
          <w:tcPr>
            <w:tcW w:w="2540" w:type="dxa"/>
            <w:vAlign w:val="bottom"/>
            <w:gridSpan w:val="7"/>
          </w:tcPr>
          <w:p>
            <w:pPr>
              <w:jc w:val="right"/>
              <w:ind w:right="660"/>
              <w:spacing w:after="0"/>
              <w:rPr>
                <w:sz w:val="20"/>
                <w:szCs w:val="20"/>
                <w:color w:val="auto"/>
              </w:rPr>
            </w:pPr>
            <w:r>
              <w:rPr>
                <w:rFonts w:ascii="Arial" w:cs="Arial" w:eastAsia="Arial" w:hAnsi="Arial"/>
                <w:sz w:val="18"/>
                <w:szCs w:val="18"/>
                <w:color w:val="auto"/>
              </w:rPr>
              <w:t>Six Months Ended</w:t>
            </w:r>
          </w:p>
        </w:tc>
      </w:tr>
      <w:tr>
        <w:trPr>
          <w:trHeight w:val="202"/>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gridSpan w:val="3"/>
          </w:tcPr>
          <w:p>
            <w:pPr>
              <w:jc w:val="right"/>
              <w:ind w:right="380"/>
              <w:spacing w:after="0" w:line="201" w:lineRule="exact"/>
              <w:rPr>
                <w:sz w:val="20"/>
                <w:szCs w:val="20"/>
                <w:color w:val="auto"/>
              </w:rPr>
            </w:pPr>
            <w:r>
              <w:rPr>
                <w:rFonts w:ascii="Arial" w:cs="Arial" w:eastAsia="Arial" w:hAnsi="Arial"/>
                <w:sz w:val="18"/>
                <w:szCs w:val="18"/>
                <w:color w:val="auto"/>
              </w:rPr>
              <w:t>Jun. 30,</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Jun. 30,</w:t>
            </w:r>
          </w:p>
        </w:tc>
        <w:tc>
          <w:tcPr>
            <w:tcW w:w="220" w:type="dxa"/>
            <w:vAlign w:val="bottom"/>
            <w:gridSpan w:val="2"/>
          </w:tcPr>
          <w:p>
            <w:pPr>
              <w:spacing w:after="0"/>
              <w:rPr>
                <w:sz w:val="17"/>
                <w:szCs w:val="17"/>
                <w:color w:val="auto"/>
              </w:rPr>
            </w:pPr>
          </w:p>
        </w:tc>
        <w:tc>
          <w:tcPr>
            <w:tcW w:w="1280" w:type="dxa"/>
            <w:vAlign w:val="bottom"/>
            <w:tcBorders>
              <w:top w:val="single" w:sz="8" w:color="auto"/>
            </w:tcBorders>
            <w:gridSpan w:val="3"/>
          </w:tcPr>
          <w:p>
            <w:pPr>
              <w:jc w:val="center"/>
              <w:ind w:right="200"/>
              <w:spacing w:after="0" w:line="201" w:lineRule="exact"/>
              <w:rPr>
                <w:sz w:val="20"/>
                <w:szCs w:val="20"/>
                <w:color w:val="auto"/>
              </w:rPr>
            </w:pPr>
            <w:r>
              <w:rPr>
                <w:rFonts w:ascii="Arial" w:cs="Arial" w:eastAsia="Arial" w:hAnsi="Arial"/>
                <w:sz w:val="18"/>
                <w:szCs w:val="18"/>
                <w:color w:val="auto"/>
                <w:w w:val="87"/>
              </w:rPr>
              <w:t>Jun. 30,</w:t>
            </w: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rPr>
              <w:t>Jun. 30,</w:t>
            </w:r>
          </w:p>
        </w:tc>
        <w:tc>
          <w:tcPr>
            <w:tcW w:w="100" w:type="dxa"/>
            <w:vAlign w:val="bottom"/>
          </w:tcPr>
          <w:p>
            <w:pPr>
              <w:spacing w:after="0"/>
              <w:rPr>
                <w:sz w:val="17"/>
                <w:szCs w:val="17"/>
                <w:color w:val="auto"/>
              </w:rPr>
            </w:pPr>
          </w:p>
        </w:tc>
      </w:tr>
      <w:tr>
        <w:trPr>
          <w:trHeight w:val="237"/>
        </w:trPr>
        <w:tc>
          <w:tcPr>
            <w:tcW w:w="582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080" w:type="dxa"/>
            <w:vAlign w:val="bottom"/>
            <w:gridSpan w:val="3"/>
          </w:tcPr>
          <w:p>
            <w:pPr>
              <w:jc w:val="right"/>
              <w:ind w:right="9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Pro Forma Adjusted Net Income (Loss)</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3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(5,636)</w:t>
            </w:r>
          </w:p>
        </w:tc>
        <w:tc>
          <w:tcPr>
            <w:tcW w:w="15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(9,446)</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(5,857)</w:t>
            </w: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Interest expense (income), net</w:t>
            </w:r>
          </w:p>
        </w:tc>
        <w:tc>
          <w:tcPr>
            <w:tcW w:w="1360" w:type="dxa"/>
            <w:vAlign w:val="bottom"/>
            <w:gridSpan w:val="5"/>
          </w:tcPr>
          <w:p>
            <w:pPr>
              <w:jc w:val="right"/>
              <w:ind w:right="20"/>
              <w:spacing w:after="0"/>
              <w:rPr>
                <w:sz w:val="20"/>
                <w:szCs w:val="20"/>
                <w:color w:val="auto"/>
              </w:rPr>
            </w:pPr>
            <w:r>
              <w:rPr>
                <w:rFonts w:ascii="Arial" w:cs="Arial" w:eastAsia="Arial" w:hAnsi="Arial"/>
                <w:sz w:val="18"/>
                <w:szCs w:val="18"/>
                <w:color w:val="auto"/>
              </w:rPr>
              <w:t>(55)</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5"/>
          </w:tcPr>
          <w:p>
            <w:pPr>
              <w:jc w:val="right"/>
              <w:ind w:right="80"/>
              <w:spacing w:after="0"/>
              <w:rPr>
                <w:sz w:val="20"/>
                <w:szCs w:val="20"/>
                <w:color w:val="auto"/>
              </w:rPr>
            </w:pPr>
            <w:r>
              <w:rPr>
                <w:rFonts w:ascii="Arial" w:cs="Arial" w:eastAsia="Arial" w:hAnsi="Arial"/>
                <w:sz w:val="18"/>
                <w:szCs w:val="18"/>
                <w:color w:val="auto"/>
              </w:rPr>
              <w:t>166</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313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debt extinguishment</w:t>
            </w: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(2,685)</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Loss from write-off</w:t>
            </w:r>
          </w:p>
        </w:tc>
        <w:tc>
          <w:tcPr>
            <w:tcW w:w="136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3,066</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(4,531)</w:t>
            </w:r>
          </w:p>
        </w:tc>
        <w:tc>
          <w:tcPr>
            <w:tcW w:w="152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(1,780)</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(8,712)</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(4,409)</w:t>
            </w: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our financial results in accordance with generally accepted accounting principles in the United States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supplement our audited consolidated financial statements which are prepared in accordance with GAAP, we use “Adjusted EBITDA”, which is a non-GAAP financial measure.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(loss) excluding interest expense, income taxes, depreciation and amortization, share-based compensation and other unusual and/or infrequent costs (i.e., change in fair value of derivatives liabilities, loss on debt extinguishment, one-time loss from write off and sale of fixed assets, costs associated with efforts to become public, acquisition related fees), which we do not consider in our evaluation of ongoing operating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Agrify will host a conference call and webcast to review its financial results for the second quarter ended June 30, 2021, today, August 12, 2021 at 5:00 p.m. Eastern Time (ET). The call will be hosted by Raymond Chang, Chief Executive Officer and Niv Krikov, Chief Financial Officer.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conference call will be webcast with an accompanying slide deck, which can be accessed by visiting Agrify’s investor relations website at ir.agrify.com. All interested parties are invited to listen to the live conference call and presentation by dialing the number below or by clicking the webcast link.</w:t>
      </w:r>
    </w:p>
    <w:p>
      <w:pPr>
        <w:sectPr>
          <w:pgSz w:w="11900" w:h="16838" w:orient="portrait"/>
          <w:cols w:equalWidth="0" w:num="1">
            <w:col w:w="11240"/>
          </w:cols>
          <w:pgMar w:left="320" w:top="904"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DIAL-IN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12,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p.m.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 792-4409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Click here to join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1493498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(855) 859-2056 or (404) 537-3406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Available until 08:00 p.m. ET Sunday, August 15,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Replay Code: 1493498</w:t>
      </w:r>
    </w:p>
    <w:p>
      <w:pPr>
        <w:spacing w:after="0" w:line="200" w:lineRule="exact"/>
        <w:rPr>
          <w:sz w:val="20"/>
          <w:szCs w:val="20"/>
          <w:color w:val="auto"/>
        </w:rPr>
      </w:pPr>
    </w:p>
    <w:p>
      <w:pPr>
        <w:sectPr>
          <w:pgSz w:w="11900" w:h="16838" w:orient="portrait"/>
          <w:cols w:equalWidth="0" w:num="2">
            <w:col w:w="1880" w:space="720"/>
            <w:col w:w="86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(NasdaqCM:AGFY)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Agrify is a developer of premium grow solutions for the indoor agriculture marketplace. The Company uses data, science, and technology to empower its customers to be more efficient, more productive, and more intelligent about how they run their businesses. Agrify’s highly advanced and proprietary hardware and software solutions have been designed to help its customers achieve the highest quality, consistency, and yield, all at the lowest possible cost. For more information, please visit Agrify’s website at www.agrify.com.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the Agrify TTK Solution, our order backlog and sales pipeline,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niv.krikov@agrify.com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 Kelly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(416) 992-4539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Renee Cotsis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renee@mattio.com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2021-08-12T15:40:24Z</dcterms:created>
  <dcterms:modified xsi:type="dcterms:W3CDTF">2021-08-12T15:40:24Z</dcterms:modified>
</cp:coreProperties>
</file>