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Raymond Nobu</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AGRIFY CORPORATION</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 TREBLE COVE RD.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CEO &amp; Chairman of the Board</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BURLINGTON MA</w:t>
            </w:r>
          </w:p>
        </w:tc>
        <w:tc>
          <w:tcPr>
            <w:tcW w:w="1600" w:type="dxa"/>
            <w:vAlign w:val="bottom"/>
          </w:tcPr>
          <w:p>
            <w:pPr>
              <w:ind w:left="400"/>
              <w:spacing w:after="0"/>
              <w:rPr>
                <w:sz w:val="20"/>
                <w:szCs w:val="20"/>
                <w:color w:val="auto"/>
              </w:rPr>
            </w:pPr>
            <w:r>
              <w:rPr>
                <w:rFonts w:ascii="Arial" w:cs="Arial" w:eastAsia="Arial" w:hAnsi="Arial"/>
                <w:sz w:val="17"/>
                <w:szCs w:val="17"/>
                <w:color w:val="0000FF"/>
              </w:rPr>
              <w:t>01862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08/26/2021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7"/>
                <w:szCs w:val="17"/>
                <w:color w:val="0000FF"/>
              </w:rPr>
              <w:t>42,899</w:t>
            </w:r>
          </w:p>
        </w:tc>
        <w:tc>
          <w:tcPr>
            <w:tcW w:w="340" w:type="dxa"/>
            <w:vAlign w:val="bottom"/>
          </w:tcPr>
          <w:p>
            <w:pPr>
              <w:ind w:left="2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18"/>
                <w:szCs w:val="18"/>
                <w:color w:val="auto"/>
              </w:rPr>
            </w:pPr>
          </w:p>
        </w:tc>
        <w:tc>
          <w:tcPr>
            <w:tcW w:w="88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30.5212</w:t>
            </w:r>
            <w:r>
              <w:rPr>
                <w:rFonts w:ascii="Arial" w:cs="Arial" w:eastAsia="Arial" w:hAnsi="Arial"/>
                <w:sz w:val="22"/>
                <w:szCs w:val="22"/>
                <w:color w:val="008000"/>
                <w:w w:val="87"/>
                <w:vertAlign w:val="superscript"/>
              </w:rPr>
              <w:t>(1)</w:t>
            </w:r>
          </w:p>
        </w:tc>
        <w:tc>
          <w:tcPr>
            <w:tcW w:w="1240" w:type="dxa"/>
            <w:vAlign w:val="bottom"/>
            <w:gridSpan w:val="3"/>
          </w:tcPr>
          <w:p>
            <w:pPr>
              <w:ind w:left="340"/>
              <w:spacing w:after="0"/>
              <w:rPr>
                <w:sz w:val="20"/>
                <w:szCs w:val="20"/>
                <w:color w:val="auto"/>
              </w:rPr>
            </w:pPr>
            <w:r>
              <w:rPr>
                <w:rFonts w:ascii="Arial" w:cs="Arial" w:eastAsia="Arial" w:hAnsi="Arial"/>
                <w:sz w:val="17"/>
                <w:szCs w:val="17"/>
                <w:color w:val="0000FF"/>
              </w:rPr>
              <w:t>467,622</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Price represents the weighted average sale price of the shares sold ranging from $30.50 to $30.60 per share. Upon request by the staff of the Securities and Exchange Commission, the issuer, or a security holder of the issuer, the reporting person will provide full information regarding the number of shares sold at each separate price within the range set forth in this footnote.</w:t>
      </w: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Raymond Chang</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08/30/2021</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2021-08-30T16:14:15Z</dcterms:created>
  <dcterms:modified xsi:type="dcterms:W3CDTF">2021-08-30T16:14:15Z</dcterms:modified>
</cp:coreProperties>
</file>