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jc w:val="right"/>
        <w:ind w:right="459"/>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333-253005</w:t>
      </w:r>
    </w:p>
    <w:p>
      <w:pPr>
        <w:spacing w:after="0" w:line="200" w:lineRule="exact"/>
        <w:rPr>
          <w:sz w:val="24"/>
          <w:szCs w:val="24"/>
          <w:color w:val="auto"/>
        </w:rPr>
      </w:pPr>
    </w:p>
    <w:p>
      <w:pPr>
        <w:sectPr>
          <w:pgSz w:w="11900" w:h="16838" w:orient="portrait"/>
          <w:cols w:equalWidth="0" w:num="2">
            <w:col w:w="5340" w:space="720"/>
            <w:col w:w="2959"/>
          </w:cols>
          <w:pgMar w:left="1440" w:top="297" w:right="1440" w:bottom="1440" w:gutter="0" w:footer="0" w:header="0"/>
        </w:sectPr>
      </w:pP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5,555,555 Shares</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1334135</wp:posOffset>
            </wp:positionH>
            <wp:positionV relativeFrom="paragraph">
              <wp:posOffset>252095</wp:posOffset>
            </wp:positionV>
            <wp:extent cx="3051810"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are offering 5,555,555 shares of our common stock in a firm commitment underwritten public offering at offering price of $13.50 per share.</w:t>
      </w:r>
    </w:p>
    <w:p>
      <w:pPr>
        <w:spacing w:after="0" w:line="211" w:lineRule="exact"/>
        <w:rPr>
          <w:sz w:val="24"/>
          <w:szCs w:val="24"/>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Our shares of common stock are listed on The NASDAQ Capital Market under the symbol “AGFY.” The last reported sale price of our common stock on The NASDAQ Capital Market on February 16, 2021 was $16.01 per share.</w:t>
      </w:r>
    </w:p>
    <w:p>
      <w:pPr>
        <w:spacing w:after="0" w:line="207" w:lineRule="exact"/>
        <w:rPr>
          <w:sz w:val="24"/>
          <w:szCs w:val="24"/>
          <w:color w:val="auto"/>
        </w:rPr>
      </w:pPr>
    </w:p>
    <w:p>
      <w:pPr>
        <w:ind w:left="460" w:right="679" w:firstLine="432"/>
        <w:spacing w:after="0" w:line="314" w:lineRule="auto"/>
        <w:rPr>
          <w:sz w:val="20"/>
          <w:szCs w:val="20"/>
          <w:color w:val="auto"/>
        </w:rPr>
      </w:pPr>
      <w:r>
        <w:rPr>
          <w:rFonts w:ascii="Arial" w:cs="Arial" w:eastAsia="Arial" w:hAnsi="Arial"/>
          <w:sz w:val="16"/>
          <w:szCs w:val="16"/>
          <w:b w:val="1"/>
          <w:bCs w:val="1"/>
          <w:color w:val="auto"/>
        </w:rPr>
        <w:t>We are an “emerging growth company,” as defined under the federal securities laws and, as such, we have elected to comply with certain reduced public company reporting requirements for this prospectus and future filings. See “Prospectus Summary — Emerging Growth Company Status.”</w:t>
      </w:r>
    </w:p>
    <w:p>
      <w:pPr>
        <w:spacing w:after="0" w:line="182" w:lineRule="exact"/>
        <w:rPr>
          <w:sz w:val="24"/>
          <w:szCs w:val="24"/>
          <w:color w:val="auto"/>
        </w:rPr>
      </w:pPr>
    </w:p>
    <w:p>
      <w:pPr>
        <w:ind w:left="460" w:right="479" w:firstLine="432"/>
        <w:spacing w:after="0" w:line="266" w:lineRule="auto"/>
        <w:rPr>
          <w:sz w:val="20"/>
          <w:szCs w:val="20"/>
          <w:color w:val="auto"/>
        </w:rPr>
      </w:pPr>
      <w:r>
        <w:rPr>
          <w:rFonts w:ascii="Arial" w:cs="Arial" w:eastAsia="Arial" w:hAnsi="Arial"/>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pacing w:after="0" w:line="140"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Underwriting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Discounts and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3"/>
        </w:trPr>
        <w:tc>
          <w:tcPr>
            <w:tcW w:w="436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Price to Public</w:t>
            </w:r>
          </w:p>
        </w:tc>
        <w:tc>
          <w:tcPr>
            <w:tcW w:w="60" w:type="dxa"/>
            <w:vAlign w:val="bottom"/>
          </w:tcPr>
          <w:p>
            <w:pPr>
              <w:spacing w:after="0"/>
              <w:rPr>
                <w:sz w:val="21"/>
                <w:szCs w:val="21"/>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Commissions</w:t>
            </w:r>
            <w:r>
              <w:rPr>
                <w:rFonts w:ascii="Arial" w:cs="Arial" w:eastAsia="Arial" w:hAnsi="Arial"/>
                <w:sz w:val="18"/>
                <w:szCs w:val="18"/>
                <w:b w:val="1"/>
                <w:bCs w:val="1"/>
                <w:color w:val="auto"/>
                <w:w w:val="96"/>
                <w:vertAlign w:val="superscript"/>
              </w:rPr>
              <w:t>(1)</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w w:val="85"/>
              </w:rPr>
              <w:t>Proceeds to Us</w:t>
            </w:r>
          </w:p>
        </w:tc>
      </w:tr>
      <w:tr>
        <w:trPr>
          <w:trHeight w:val="248"/>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12.555</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75,000,000</w:t>
            </w:r>
          </w:p>
        </w:tc>
        <w:tc>
          <w:tcPr>
            <w:tcW w:w="3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5,250,000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69,750,000</w:t>
            </w:r>
          </w:p>
        </w:tc>
      </w:tr>
    </w:tbl>
    <w:p>
      <w:pPr>
        <w:spacing w:after="0" w:line="8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4"/>
          <w:szCs w:val="24"/>
          <w:color w:val="auto"/>
        </w:rPr>
      </w:pPr>
    </w:p>
    <w:p>
      <w:pPr>
        <w:ind w:left="880" w:right="959" w:hanging="426"/>
        <w:spacing w:after="0" w:line="273"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to the underwriting discount of 7% of the public offering price,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225" w:lineRule="exact"/>
        <w:rPr>
          <w:sz w:val="24"/>
          <w:szCs w:val="24"/>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have granted the representative of the underwriters the right to purchase an additional 833,333 shares of our common stock to cover over-allotments.</w:t>
      </w:r>
    </w:p>
    <w:p>
      <w:pPr>
        <w:spacing w:after="0" w:line="193" w:lineRule="exact"/>
        <w:rPr>
          <w:sz w:val="24"/>
          <w:szCs w:val="24"/>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underwriters expect to deliver the shares of common stock to purchasers on February 19, 2021.</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Maxim Group LLC</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Roth Capital Partners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February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Experts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5"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4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7310" cy="82423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9" w:lineRule="exact"/>
        <w:rPr>
          <w:sz w:val="20"/>
          <w:szCs w:val="20"/>
          <w:color w:val="auto"/>
        </w:rPr>
      </w:pPr>
    </w:p>
    <w:p>
      <w:pPr>
        <w:jc w:val="both"/>
        <w:ind w:left="540" w:right="879" w:firstLine="432"/>
        <w:spacing w:after="0" w:line="263" w:lineRule="auto"/>
        <w:rPr>
          <w:sz w:val="20"/>
          <w:szCs w:val="20"/>
          <w:color w:val="auto"/>
        </w:rPr>
      </w:pPr>
      <w:r>
        <w:rPr>
          <w:rFonts w:ascii="Arial" w:cs="Arial" w:eastAsia="Arial" w:hAnsi="Arial"/>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103"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On January 12, 2021, we implemented 1-for-1.581804 reverse stock split of our outstanding common stock. Unless the context expressly dictates otherwise, all references to share and per share amounts referred to herein reflect the reverse stock split.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Public Offering</w:t>
      </w:r>
    </w:p>
    <w:p>
      <w:pPr>
        <w:spacing w:after="0" w:line="162" w:lineRule="exact"/>
        <w:rPr>
          <w:sz w:val="20"/>
          <w:szCs w:val="20"/>
          <w:color w:val="auto"/>
        </w:rPr>
      </w:pPr>
    </w:p>
    <w:p>
      <w:pPr>
        <w:ind w:left="540" w:right="759" w:firstLine="432"/>
        <w:spacing w:after="0" w:line="273" w:lineRule="auto"/>
        <w:rPr>
          <w:sz w:val="20"/>
          <w:szCs w:val="20"/>
          <w:color w:val="auto"/>
        </w:rPr>
      </w:pPr>
      <w:r>
        <w:rPr>
          <w:rFonts w:ascii="Arial" w:cs="Arial" w:eastAsia="Arial" w:hAnsi="Arial"/>
          <w:sz w:val="17"/>
          <w:szCs w:val="17"/>
          <w:color w:val="auto"/>
        </w:rPr>
        <w:t>On January 27, 2021, we entered into an underwriting agreement with Maxim Group LLC, as representative of the underwriters named therein, in connection with our initial public offering (“IPO”). On January 27, 2021, we announced the pricing of our IPO of 5,400,000 shares of common stock for a price of $10.00 per share, less certain underwriting discounts and commissions. We also granted the underwriters a 45-day option to purchase up to 810,000 additional shares of our common stock on the same terms and conditions for the purpose of covering any over-allotments in connection with the IPO.</w:t>
      </w:r>
    </w:p>
    <w:p>
      <w:pPr>
        <w:spacing w:after="0" w:line="110" w:lineRule="exact"/>
        <w:rPr>
          <w:sz w:val="20"/>
          <w:szCs w:val="20"/>
          <w:color w:val="auto"/>
        </w:rPr>
      </w:pPr>
    </w:p>
    <w:p>
      <w:pPr>
        <w:ind w:left="540" w:right="779" w:firstLine="432"/>
        <w:spacing w:after="0" w:line="296" w:lineRule="auto"/>
        <w:rPr>
          <w:sz w:val="20"/>
          <w:szCs w:val="20"/>
          <w:color w:val="auto"/>
        </w:rPr>
      </w:pPr>
      <w:r>
        <w:rPr>
          <w:rFonts w:ascii="Arial" w:cs="Arial" w:eastAsia="Arial" w:hAnsi="Arial"/>
          <w:sz w:val="16"/>
          <w:szCs w:val="16"/>
          <w:color w:val="auto"/>
        </w:rPr>
        <w:t>The IPO closed on February 1, 2021 (the “IPO Closing Date”) and was made pursuant to our registration statement on Form S-1 (File No. 333- 251616), which was declared effective by the Securities and Exchange Commission (the “SEC”) on January 27, 2021 under the Securities Act of 1933, as amended (the “Securities Act”), and our registration statement on Form S-1MEF (File No. 333-252490). A final prospectus describing the terms of the IPO was filed with the SEC on January 29, 2021.</w:t>
      </w:r>
    </w:p>
    <w:p>
      <w:pPr>
        <w:spacing w:after="0" w:line="80"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Subsequently, the underwriters exercised the over-allotment option, and on February 4, 2021, we closed on the sale of an additional 810,000 shares of common stock for a price of $10.00 per share, less a 7% underwriting commission. The exercise of the over-allotment option brings the total number of shares of common stock sold by us in connection with our IPO to 6,210,000 shares and the total net proceeds received in connection with the IPO to approximately $57 million, after deducting underwriting discounts and estimated offering expenses.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540" w:right="899" w:firstLine="432"/>
        <w:spacing w:after="0" w:line="263" w:lineRule="auto"/>
        <w:rPr>
          <w:sz w:val="20"/>
          <w:szCs w:val="20"/>
          <w:color w:val="auto"/>
        </w:rPr>
      </w:pPr>
      <w:r>
        <w:rPr>
          <w:rFonts w:ascii="Arial" w:cs="Arial" w:eastAsia="Arial" w:hAnsi="Arial"/>
          <w:sz w:val="18"/>
          <w:szCs w:val="18"/>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purpose and function of each of these entities is as follows:</w:t>
      </w:r>
    </w:p>
    <w:p>
      <w:pPr>
        <w:spacing w:after="0" w:line="144"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TriGrow Systems, LLC</w:t>
      </w:r>
      <w:r>
        <w:rPr>
          <w:rFonts w:ascii="Arial" w:cs="Arial" w:eastAsia="Arial" w:hAnsi="Arial"/>
          <w:sz w:val="18"/>
          <w:szCs w:val="18"/>
          <w:color w:val="auto"/>
        </w:rPr>
        <w:t>: We acquired TriGrow Systems, Inc. (“TriGrow”) in January 2020. TriGrow</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sole distributor of our vertical farming units. Following the acquisition of TriGrow, we began selling our products directly to end customers.</w:t>
      </w:r>
    </w:p>
    <w:p>
      <w:pPr>
        <w:spacing w:after="0" w:line="116" w:lineRule="exact"/>
        <w:rPr>
          <w:sz w:val="20"/>
          <w:szCs w:val="20"/>
          <w:color w:val="auto"/>
        </w:rPr>
      </w:pPr>
    </w:p>
    <w:p>
      <w:pPr>
        <w:ind w:left="540" w:right="1399" w:firstLine="432"/>
        <w:spacing w:after="0" w:line="342" w:lineRule="auto"/>
        <w:rPr>
          <w:sz w:val="20"/>
          <w:szCs w:val="20"/>
          <w:color w:val="auto"/>
        </w:rPr>
      </w:pPr>
      <w:r>
        <w:rPr>
          <w:rFonts w:ascii="Arial" w:cs="Arial" w:eastAsia="Arial" w:hAnsi="Arial"/>
          <w:sz w:val="16"/>
          <w:szCs w:val="16"/>
          <w:i w:val="1"/>
          <w:iCs w:val="1"/>
          <w:color w:val="auto"/>
        </w:rPr>
        <w:t>AGM Service Company LLC</w:t>
      </w:r>
      <w:r>
        <w:rPr>
          <w:rFonts w:ascii="Arial" w:cs="Arial" w:eastAsia="Arial" w:hAnsi="Arial"/>
          <w:sz w:val="16"/>
          <w:szCs w:val="16"/>
          <w:color w:val="auto"/>
        </w:rPr>
        <w:t>: AGM Service Company LLC serves as our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handling employment, benefits and other personnel matters for our company.</w:t>
      </w:r>
    </w:p>
    <w:p>
      <w:pPr>
        <w:spacing w:after="0" w:line="56" w:lineRule="exact"/>
        <w:rPr>
          <w:sz w:val="20"/>
          <w:szCs w:val="20"/>
          <w:color w:val="auto"/>
        </w:rPr>
      </w:pPr>
    </w:p>
    <w:p>
      <w:pPr>
        <w:jc w:val="both"/>
        <w:ind w:left="540" w:right="699" w:firstLine="432"/>
        <w:spacing w:after="0" w:line="263" w:lineRule="auto"/>
        <w:rPr>
          <w:sz w:val="20"/>
          <w:szCs w:val="20"/>
          <w:color w:val="auto"/>
        </w:rPr>
      </w:pPr>
      <w:r>
        <w:rPr>
          <w:rFonts w:ascii="Arial" w:cs="Arial" w:eastAsia="Arial" w:hAnsi="Arial"/>
          <w:sz w:val="18"/>
          <w:szCs w:val="18"/>
          <w:i w:val="1"/>
          <w:iCs w:val="1"/>
          <w:color w:val="auto"/>
        </w:rPr>
        <w:t>Agrify-Valiant, LLC</w:t>
      </w:r>
      <w:r>
        <w:rPr>
          <w:rFonts w:ascii="Arial" w:cs="Arial" w:eastAsia="Arial" w:hAnsi="Arial"/>
          <w:sz w:val="18"/>
          <w:szCs w:val="18"/>
          <w:color w:val="auto"/>
        </w:rPr>
        <w:t>: In December 2019, we established Agrify-Valiant, LLC as a joint venture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Valiant-America. Agrify Valiant, LLC was formed to expand our product offering to include various facility build-out, design, engineering and consulting services.</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 w:name="page4"/>
    <w:bookmarkEnd w:id="3"/>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08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859" w:firstLine="432"/>
        <w:spacing w:after="0" w:line="263" w:lineRule="auto"/>
        <w:rPr>
          <w:sz w:val="20"/>
          <w:szCs w:val="20"/>
          <w:color w:val="auto"/>
        </w:rPr>
      </w:pPr>
      <w:r>
        <w:rPr>
          <w:rFonts w:ascii="Arial" w:cs="Arial" w:eastAsia="Arial" w:hAnsi="Arial"/>
          <w:sz w:val="18"/>
          <w:szCs w:val="18"/>
          <w:i w:val="1"/>
          <w:iCs w:val="1"/>
          <w:color w:val="auto"/>
        </w:rPr>
        <w:t>Agrify Brands, LLC</w:t>
      </w:r>
      <w:r>
        <w:rPr>
          <w:rFonts w:ascii="Arial" w:cs="Arial" w:eastAsia="Arial" w:hAnsi="Arial"/>
          <w:sz w:val="18"/>
          <w:szCs w:val="18"/>
          <w:color w:val="auto"/>
        </w:rPr>
        <w:t>: As part of the acquisition of TriGrow, we received TriGrow’s 75%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Agrify Brands, LLC (formerly TriGrow Brands, LLC), a licensor of an established portfolio of consumer brands that utilize our grow technology.</w:t>
      </w:r>
    </w:p>
    <w:p>
      <w:pPr>
        <w:spacing w:after="0" w:line="116" w:lineRule="exact"/>
        <w:rPr>
          <w:sz w:val="20"/>
          <w:szCs w:val="20"/>
          <w:color w:val="auto"/>
        </w:rPr>
      </w:pPr>
    </w:p>
    <w:p>
      <w:pPr>
        <w:ind w:left="540" w:right="1359" w:firstLine="432"/>
        <w:spacing w:after="0" w:line="277" w:lineRule="auto"/>
        <w:rPr>
          <w:sz w:val="20"/>
          <w:szCs w:val="20"/>
          <w:color w:val="auto"/>
        </w:rPr>
      </w:pPr>
      <w:r>
        <w:rPr>
          <w:rFonts w:ascii="Arial" w:cs="Arial" w:eastAsia="Arial" w:hAnsi="Arial"/>
          <w:sz w:val="18"/>
          <w:szCs w:val="18"/>
          <w:i w:val="1"/>
          <w:iCs w:val="1"/>
          <w:color w:val="auto"/>
        </w:rPr>
        <w:t>Ariafy Finance, LLC</w:t>
      </w:r>
      <w:r>
        <w:rPr>
          <w:rFonts w:ascii="Arial" w:cs="Arial" w:eastAsia="Arial" w:hAnsi="Arial"/>
          <w:sz w:val="18"/>
          <w:szCs w:val="18"/>
          <w:color w:val="auto"/>
        </w:rPr>
        <w:t>: Ariafy Finance, LLC was set up to be used as the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financing to our customers.</w:t>
      </w:r>
    </w:p>
    <w:p>
      <w:pPr>
        <w:spacing w:after="0" w:line="89" w:lineRule="exact"/>
        <w:rPr>
          <w:sz w:val="20"/>
          <w:szCs w:val="20"/>
          <w:color w:val="auto"/>
        </w:rPr>
      </w:pPr>
    </w:p>
    <w:p>
      <w:pPr>
        <w:ind w:left="540" w:right="679" w:firstLine="432"/>
        <w:spacing w:after="0" w:line="277" w:lineRule="auto"/>
        <w:rPr>
          <w:sz w:val="20"/>
          <w:szCs w:val="20"/>
          <w:color w:val="auto"/>
        </w:rPr>
      </w:pPr>
      <w:r>
        <w:rPr>
          <w:rFonts w:ascii="Arial" w:cs="Arial" w:eastAsia="Arial" w:hAnsi="Arial"/>
          <w:sz w:val="18"/>
          <w:szCs w:val="18"/>
          <w:i w:val="1"/>
          <w:iCs w:val="1"/>
          <w:color w:val="auto"/>
        </w:rPr>
        <w:t>Agxiom, LLC</w:t>
      </w:r>
      <w:r>
        <w:rPr>
          <w:rFonts w:ascii="Arial" w:cs="Arial" w:eastAsia="Arial" w:hAnsi="Arial"/>
          <w:sz w:val="18"/>
          <w:szCs w:val="18"/>
          <w:color w:val="auto"/>
        </w:rPr>
        <w:t>: Agxiom, LLC houses the data that is imported from and exported to Metrc, a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state reporting platform.</w:t>
      </w:r>
    </w:p>
    <w:p>
      <w:pPr>
        <w:spacing w:after="0" w:line="103"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i w:val="1"/>
          <w:iCs w:val="1"/>
          <w:color w:val="auto"/>
        </w:rPr>
        <w:t>Harbor Mountain Holdings, LLC</w:t>
      </w:r>
      <w:r>
        <w:rPr>
          <w:rFonts w:ascii="Arial" w:cs="Arial" w:eastAsia="Arial" w:hAnsi="Arial"/>
          <w:sz w:val="18"/>
          <w:szCs w:val="18"/>
          <w:color w:val="auto"/>
        </w:rPr>
        <w:t>: In July 2020, we acquired Harbor Mountain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(HMH”), a company that has been producing and assembling many of our products.</w:t>
      </w:r>
    </w:p>
    <w:p>
      <w:pPr>
        <w:spacing w:after="0" w:line="103" w:lineRule="exact"/>
        <w:rPr>
          <w:sz w:val="20"/>
          <w:szCs w:val="20"/>
          <w:color w:val="auto"/>
        </w:rPr>
      </w:pPr>
    </w:p>
    <w:p>
      <w:pPr>
        <w:ind w:left="540" w:right="599" w:firstLine="432"/>
        <w:spacing w:after="0" w:line="272" w:lineRule="auto"/>
        <w:rPr>
          <w:sz w:val="20"/>
          <w:szCs w:val="20"/>
          <w:color w:val="auto"/>
        </w:rPr>
      </w:pPr>
      <w:r>
        <w:rPr>
          <w:rFonts w:ascii="Arial" w:cs="Arial" w:eastAsia="Arial" w:hAnsi="Arial"/>
          <w:sz w:val="17"/>
          <w:szCs w:val="17"/>
          <w:color w:val="auto"/>
        </w:rPr>
        <w:t>In addition to our subsidiaries described in our corporate structure diagram, in December 2018, we acquired the right to acquire a 50% interest in Teejan Podponics, LLC (“TPI”) as an ancillary component of an agreement with FoodHUB Atlanta, LLC. Under this agreement, in order to effect and formalize the transfer of the ownership interest to us, we are responsible to obtain TPI’s consent to the assignment and to make the necessary filings in the country of Oman, where TPI was formed. To date, we have not taken any such action to effectuate and formalize the transfer. Our relationship with TPI is solely as a vendor, providing software and related services in support of TPI’s container farms in Oman.</w:t>
      </w:r>
    </w:p>
    <w:p>
      <w:pPr>
        <w:spacing w:after="0" w:line="96"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Agrify-Valiant, LLC and Agrify Brands, LLC are VIEs as defined by ASC 810-10-25-38. While we own 60% of Agrify-Valiant,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Agrify-Valiant, LLC and Agrify Brands, LLC under the VIE rules and reflects the third parties’ interests in the consolidated financial statements as a non-controlling interest. In addition, we hold the right to acquire a 50% interest in TPI since December 2018. TPI is treated as an equity investment as we cannot exercise significant influence.</w:t>
      </w:r>
    </w:p>
    <w:p>
      <w:pPr>
        <w:spacing w:after="0" w:line="114" w:lineRule="exact"/>
        <w:rPr>
          <w:sz w:val="20"/>
          <w:szCs w:val="20"/>
          <w:color w:val="auto"/>
        </w:rPr>
      </w:pPr>
    </w:p>
    <w:p>
      <w:pPr>
        <w:ind w:left="540" w:right="739" w:firstLine="432"/>
        <w:spacing w:after="0" w:line="286" w:lineRule="auto"/>
        <w:rPr>
          <w:sz w:val="20"/>
          <w:szCs w:val="20"/>
          <w:color w:val="auto"/>
        </w:rPr>
      </w:pPr>
      <w:r>
        <w:rPr>
          <w:rFonts w:ascii="Arial" w:cs="Arial" w:eastAsia="Arial" w:hAnsi="Arial"/>
          <w:sz w:val="17"/>
          <w:szCs w:val="17"/>
          <w:color w:val="auto"/>
        </w:rPr>
        <w:t xml:space="preserve">Our principal address is 101 Middlesex Turnpike, Suite 6, PMB 326, Burlington, MA 01803. Our telephone number is (617) 896-5243. We maintain a website at </w:t>
      </w:r>
      <w:r>
        <w:rPr>
          <w:rFonts w:ascii="Arial" w:cs="Arial" w:eastAsia="Arial" w:hAnsi="Arial"/>
          <w:sz w:val="17"/>
          <w:szCs w:val="17"/>
          <w:i w:val="1"/>
          <w:iCs w:val="1"/>
          <w:color w:val="auto"/>
        </w:rPr>
        <w:t>www.agrify.com</w:t>
      </w:r>
      <w:r>
        <w:rPr>
          <w:rFonts w:ascii="Arial" w:cs="Arial" w:eastAsia="Arial" w:hAnsi="Arial"/>
          <w:sz w:val="17"/>
          <w:szCs w:val="17"/>
          <w:color w:val="auto"/>
        </w:rPr>
        <w:t>. The information contained on our website is not, and should not be interpreted to be, a part of this prospectus.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Arial" w:cs="Arial" w:eastAsia="Arial" w:hAnsi="Arial"/>
          <w:sz w:val="17"/>
          <w:szCs w:val="17"/>
          <w:i w:val="1"/>
          <w:iCs w:val="1"/>
          <w:color w:val="auto"/>
        </w:rPr>
        <w:t>Agrify “Precision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Elevated™” </w:t>
      </w:r>
      <w:r>
        <w:rPr>
          <w:rFonts w:ascii="Arial" w:cs="Arial" w:eastAsia="Arial" w:hAnsi="Arial"/>
          <w:sz w:val="17"/>
          <w:szCs w:val="17"/>
          <w:color w:val="auto"/>
        </w:rPr>
        <w:t>cultivation solution is vastly differentiated from anything else on the market in that it combines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04"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 w:name="page5"/>
    <w:bookmarkEnd w:id="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204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7204710"/>
                    </a:xfrm>
                    <a:prstGeom prst="rect">
                      <a:avLst/>
                    </a:prstGeom>
                    <a:noFill/>
                  </pic:spPr>
                </pic:pic>
              </a:graphicData>
            </a:graphic>
          </wp:anchor>
        </w:drawing>
      </w:r>
    </w:p>
    <w:p>
      <w:pPr>
        <w:spacing w:after="0" w:line="327"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99" w:lineRule="exact"/>
        <w:rPr>
          <w:sz w:val="20"/>
          <w:szCs w:val="20"/>
          <w:color w:val="auto"/>
        </w:rPr>
      </w:pPr>
    </w:p>
    <w:p>
      <w:pPr>
        <w:ind w:left="540" w:right="559" w:firstLine="432"/>
        <w:spacing w:after="0" w:line="289"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Agrify Vertical Farming Unit (AVFU), as well as our proprietary Software as a Service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 SaaS (also known as subscribeware or rentware) is a software licensing and delivery model wherein software is licensed on a subscription basis and is centrally hosted.</w:t>
      </w:r>
    </w:p>
    <w:p>
      <w:pPr>
        <w:spacing w:after="0" w:line="85" w:lineRule="exact"/>
        <w:rPr>
          <w:sz w:val="20"/>
          <w:szCs w:val="20"/>
          <w:color w:val="auto"/>
        </w:rPr>
      </w:pPr>
    </w:p>
    <w:p>
      <w:pPr>
        <w:ind w:left="540" w:right="579" w:firstLine="432"/>
        <w:spacing w:after="0" w:line="279" w:lineRule="auto"/>
        <w:rPr>
          <w:sz w:val="20"/>
          <w:szCs w:val="20"/>
          <w:color w:val="auto"/>
        </w:rPr>
      </w:pPr>
      <w:r>
        <w:rPr>
          <w:rFonts w:ascii="Arial" w:cs="Arial" w:eastAsia="Arial" w:hAnsi="Arial"/>
          <w:sz w:val="17"/>
          <w:szCs w:val="17"/>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104"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119" w:lineRule="exact"/>
        <w:rPr>
          <w:sz w:val="20"/>
          <w:szCs w:val="20"/>
          <w:color w:val="auto"/>
        </w:rPr>
      </w:pPr>
    </w:p>
    <w:p>
      <w:pPr>
        <w:ind w:left="540" w:right="779" w:firstLine="432"/>
        <w:spacing w:after="0" w:line="293"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83"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99" w:lineRule="exact"/>
        <w:rPr>
          <w:sz w:val="20"/>
          <w:szCs w:val="20"/>
          <w:color w:val="auto"/>
        </w:rPr>
      </w:pPr>
    </w:p>
    <w:p>
      <w:pPr>
        <w:ind w:left="540" w:right="61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27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62"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10" w:lineRule="exact"/>
        <w:rPr>
          <w:sz w:val="20"/>
          <w:szCs w:val="20"/>
          <w:color w:val="auto"/>
        </w:rPr>
      </w:pPr>
    </w:p>
    <w:p>
      <w:pPr>
        <w:jc w:val="both"/>
        <w:ind w:left="540" w:right="57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76" w:lineRule="exact"/>
        <w:rPr>
          <w:sz w:val="20"/>
          <w:szCs w:val="20"/>
          <w:color w:val="auto"/>
        </w:rPr>
      </w:pPr>
    </w:p>
    <w:p>
      <w:pPr>
        <w:ind w:left="540" w:right="579" w:firstLine="432"/>
        <w:spacing w:after="0" w:line="253" w:lineRule="auto"/>
        <w:rPr>
          <w:sz w:val="20"/>
          <w:szCs w:val="20"/>
          <w:color w:val="auto"/>
        </w:rPr>
      </w:pPr>
      <w:r>
        <w:rPr>
          <w:rFonts w:ascii="Arial" w:cs="Arial" w:eastAsia="Arial" w:hAnsi="Arial"/>
          <w:sz w:val="18"/>
          <w:szCs w:val="18"/>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129"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Agrify Vertical Farming Unit</w:t>
      </w:r>
    </w:p>
    <w:p>
      <w:pPr>
        <w:spacing w:after="0" w:line="162" w:lineRule="exact"/>
        <w:rPr>
          <w:sz w:val="20"/>
          <w:szCs w:val="20"/>
          <w:color w:val="auto"/>
        </w:rPr>
      </w:pPr>
    </w:p>
    <w:p>
      <w:pPr>
        <w:ind w:left="540" w:right="699" w:firstLine="432"/>
        <w:spacing w:after="0" w:line="255" w:lineRule="auto"/>
        <w:rPr>
          <w:sz w:val="20"/>
          <w:szCs w:val="20"/>
          <w:color w:val="auto"/>
        </w:rPr>
      </w:pPr>
      <w:r>
        <w:rPr>
          <w:rFonts w:ascii="Arial" w:cs="Arial" w:eastAsia="Arial" w:hAnsi="Arial"/>
          <w:sz w:val="18"/>
          <w:szCs w:val="18"/>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45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745095"/>
                    </a:xfrm>
                    <a:prstGeom prst="rect">
                      <a:avLst/>
                    </a:prstGeom>
                    <a:noFill/>
                  </pic:spPr>
                </pic:pic>
              </a:graphicData>
            </a:graphic>
          </wp:anchor>
        </w:drawing>
      </w:r>
    </w:p>
    <w:p>
      <w:pPr>
        <w:spacing w:after="0" w:line="327" w:lineRule="exact"/>
        <w:rPr>
          <w:sz w:val="20"/>
          <w:szCs w:val="20"/>
          <w:color w:val="auto"/>
        </w:rPr>
      </w:pPr>
    </w:p>
    <w:p>
      <w:pPr>
        <w:ind w:left="540" w:right="559"/>
        <w:spacing w:after="0" w:line="279" w:lineRule="auto"/>
        <w:rPr>
          <w:sz w:val="20"/>
          <w:szCs w:val="20"/>
          <w:color w:val="auto"/>
        </w:rPr>
      </w:pPr>
      <w:r>
        <w:rPr>
          <w:rFonts w:ascii="Arial" w:cs="Arial" w:eastAsia="Arial" w:hAnsi="Arial"/>
          <w:sz w:val="17"/>
          <w:szCs w:val="17"/>
          <w:color w:val="auto"/>
        </w:rPr>
        <w:t>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Insights™</w:t>
      </w:r>
    </w:p>
    <w:p>
      <w:pPr>
        <w:spacing w:after="0" w:line="135"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73"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Economic Implications of Our Agrify Vertical Farming Unit Cultivation Solution</w:t>
      </w:r>
    </w:p>
    <w:p>
      <w:pPr>
        <w:spacing w:after="0" w:line="121" w:lineRule="exact"/>
        <w:rPr>
          <w:sz w:val="20"/>
          <w:szCs w:val="20"/>
          <w:color w:val="auto"/>
        </w:rPr>
      </w:pPr>
    </w:p>
    <w:p>
      <w:pPr>
        <w:jc w:val="both"/>
        <w:ind w:left="540" w:right="679" w:firstLine="432"/>
        <w:spacing w:after="0" w:line="286" w:lineRule="auto"/>
        <w:rPr>
          <w:sz w:val="20"/>
          <w:szCs w:val="20"/>
          <w:color w:val="auto"/>
        </w:rPr>
      </w:pPr>
      <w:r>
        <w:rPr>
          <w:rFonts w:ascii="Arial" w:cs="Arial" w:eastAsia="Arial" w:hAnsi="Arial"/>
          <w:sz w:val="17"/>
          <w:szCs w:val="17"/>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57"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5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 Setup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Traditional Grow Room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59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25944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75" w:lineRule="exact"/>
        <w:rPr>
          <w:sz w:val="20"/>
          <w:szCs w:val="20"/>
          <w:color w:val="auto"/>
        </w:rPr>
      </w:pPr>
    </w:p>
    <w:p>
      <w:pPr>
        <w:ind w:left="540" w:right="127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32" w:lineRule="exact"/>
        <w:rPr>
          <w:sz w:val="20"/>
          <w:szCs w:val="20"/>
          <w:color w:val="auto"/>
        </w:rPr>
      </w:pPr>
    </w:p>
    <w:p>
      <w:pPr>
        <w:ind w:left="940" w:hanging="396"/>
        <w:spacing w:after="0"/>
        <w:tabs>
          <w:tab w:leader="none" w:pos="9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163" w:lineRule="exact"/>
        <w:rPr>
          <w:sz w:val="20"/>
          <w:szCs w:val="20"/>
          <w:color w:val="auto"/>
        </w:rPr>
      </w:pPr>
    </w:p>
    <w:p>
      <w:pPr>
        <w:ind w:left="540" w:right="57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103" w:lineRule="exact"/>
        <w:rPr>
          <w:sz w:val="20"/>
          <w:szCs w:val="20"/>
          <w:color w:val="auto"/>
        </w:rPr>
      </w:pPr>
    </w:p>
    <w:p>
      <w:pPr>
        <w:ind w:left="1400" w:right="599" w:hanging="424"/>
        <w:spacing w:after="0" w:line="271"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0" w:lineRule="exact"/>
        <w:rPr>
          <w:rFonts w:ascii="Arial" w:cs="Arial" w:eastAsia="Arial" w:hAnsi="Arial"/>
          <w:sz w:val="17"/>
          <w:szCs w:val="17"/>
          <w:color w:val="auto"/>
        </w:rPr>
      </w:pPr>
    </w:p>
    <w:p>
      <w:pPr>
        <w:ind w:left="1400" w:right="859" w:hanging="424"/>
        <w:spacing w:after="0" w:line="259" w:lineRule="auto"/>
        <w:tabs>
          <w:tab w:leader="none" w:pos="1391"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559" w:hanging="424"/>
        <w:spacing w:after="0" w:line="290" w:lineRule="auto"/>
        <w:tabs>
          <w:tab w:leader="none" w:pos="1391"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Emphasis on Precision and Consistency Through Our Proprietary Grow Solutions. </w:t>
      </w:r>
      <w:r>
        <w:rPr>
          <w:rFonts w:ascii="Arial" w:cs="Arial" w:eastAsia="Arial" w:hAnsi="Arial"/>
          <w:sz w:val="16"/>
          <w:szCs w:val="16"/>
          <w:color w:val="auto"/>
        </w:rPr>
        <w:t>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97" w:lineRule="exact"/>
        <w:rPr>
          <w:rFonts w:ascii="Arial" w:cs="Arial" w:eastAsia="Arial" w:hAnsi="Arial"/>
          <w:sz w:val="16"/>
          <w:szCs w:val="16"/>
          <w:b w:val="1"/>
          <w:bCs w:val="1"/>
          <w:i w:val="1"/>
          <w:iCs w:val="1"/>
          <w:color w:val="auto"/>
        </w:rPr>
      </w:pPr>
    </w:p>
    <w:p>
      <w:pPr>
        <w:ind w:left="1400" w:right="559" w:hanging="424"/>
        <w:spacing w:after="0" w:line="255"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400" w:right="559" w:hanging="424"/>
        <w:spacing w:after="0" w:line="293" w:lineRule="auto"/>
        <w:tabs>
          <w:tab w:leader="none" w:pos="1391"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96" w:lineRule="exact"/>
        <w:rPr>
          <w:rFonts w:ascii="Arial" w:cs="Arial" w:eastAsia="Arial" w:hAnsi="Arial"/>
          <w:sz w:val="16"/>
          <w:szCs w:val="16"/>
          <w:color w:val="auto"/>
        </w:rPr>
      </w:pPr>
    </w:p>
    <w:p>
      <w:pPr>
        <w:ind w:left="1400" w:right="559" w:hanging="424"/>
        <w:spacing w:after="0" w:line="268" w:lineRule="auto"/>
        <w:tabs>
          <w:tab w:leader="none" w:pos="1391"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Strategic Investment from and Deep Integration with Large Asian Manufacturer</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 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18" w:lineRule="exact"/>
        <w:rPr>
          <w:rFonts w:ascii="Arial" w:cs="Arial" w:eastAsia="Arial" w:hAnsi="Arial"/>
          <w:sz w:val="17"/>
          <w:szCs w:val="17"/>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Joint Venture with Experienced Consulting and General Contractor of Industrial</w:t>
      </w:r>
    </w:p>
    <w:p>
      <w:pPr>
        <w:spacing w:after="0" w:line="23" w:lineRule="exact"/>
        <w:rPr>
          <w:rFonts w:ascii="Arial" w:cs="Arial" w:eastAsia="Arial" w:hAnsi="Arial"/>
          <w:sz w:val="18"/>
          <w:szCs w:val="18"/>
          <w:color w:val="auto"/>
        </w:rPr>
      </w:pPr>
    </w:p>
    <w:p>
      <w:pPr>
        <w:ind w:left="1400" w:right="579"/>
        <w:spacing w:after="0" w:line="285"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Facilities. </w:t>
      </w:r>
      <w:r>
        <w:rPr>
          <w:rFonts w:ascii="Arial" w:cs="Arial" w:eastAsia="Arial" w:hAnsi="Arial"/>
          <w:sz w:val="16"/>
          <w:szCs w:val="16"/>
          <w:color w:val="auto"/>
        </w:rPr>
        <w:t>We formed a joint venture with Valiant-America in December 2019 recognizing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90" w:lineRule="exact"/>
        <w:rPr>
          <w:rFonts w:ascii="Arial" w:cs="Arial" w:eastAsia="Arial" w:hAnsi="Arial"/>
          <w:sz w:val="18"/>
          <w:szCs w:val="18"/>
          <w:color w:val="auto"/>
        </w:rPr>
      </w:pPr>
    </w:p>
    <w:p>
      <w:pPr>
        <w:ind w:left="1400" w:right="659" w:hanging="424"/>
        <w:spacing w:after="0" w:line="275" w:lineRule="auto"/>
        <w:tabs>
          <w:tab w:leader="none" w:pos="1391"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08" w:lineRule="exact"/>
        <w:rPr>
          <w:rFonts w:ascii="Arial" w:cs="Arial" w:eastAsia="Arial" w:hAnsi="Arial"/>
          <w:sz w:val="17"/>
          <w:szCs w:val="17"/>
          <w:color w:val="auto"/>
        </w:rPr>
      </w:pPr>
    </w:p>
    <w:p>
      <w:pPr>
        <w:ind w:left="1400" w:right="719" w:hanging="424"/>
        <w:spacing w:after="0" w:line="259" w:lineRule="auto"/>
        <w:tabs>
          <w:tab w:leader="none" w:pos="1391"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27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62774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Overview</w:t>
      </w:r>
    </w:p>
    <w:p>
      <w:pPr>
        <w:spacing w:after="0" w:line="162" w:lineRule="exact"/>
        <w:rPr>
          <w:sz w:val="20"/>
          <w:szCs w:val="20"/>
          <w:color w:val="auto"/>
        </w:rPr>
      </w:pPr>
    </w:p>
    <w:p>
      <w:pPr>
        <w:ind w:left="540" w:right="639" w:firstLine="432"/>
        <w:spacing w:after="0" w:line="255" w:lineRule="auto"/>
        <w:rPr>
          <w:sz w:val="20"/>
          <w:szCs w:val="20"/>
          <w:color w:val="auto"/>
        </w:rPr>
      </w:pPr>
      <w:r>
        <w:rPr>
          <w:rFonts w:ascii="Arial" w:cs="Arial" w:eastAsia="Arial" w:hAnsi="Arial"/>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98"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72" w:lineRule="exact"/>
        <w:rPr>
          <w:sz w:val="20"/>
          <w:szCs w:val="20"/>
          <w:color w:val="auto"/>
        </w:rPr>
      </w:pPr>
    </w:p>
    <w:p>
      <w:pPr>
        <w:ind w:left="540" w:right="599" w:firstLine="432"/>
        <w:spacing w:after="0" w:line="289" w:lineRule="auto"/>
        <w:rPr>
          <w:sz w:val="20"/>
          <w:szCs w:val="20"/>
          <w:color w:val="auto"/>
        </w:rPr>
      </w:pPr>
      <w:r>
        <w:rPr>
          <w:rFonts w:ascii="Arial" w:cs="Arial" w:eastAsia="Arial" w:hAnsi="Arial"/>
          <w:sz w:val="16"/>
          <w:szCs w:val="16"/>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85" w:lineRule="exact"/>
        <w:rPr>
          <w:sz w:val="20"/>
          <w:szCs w:val="20"/>
          <w:color w:val="auto"/>
        </w:rPr>
      </w:pPr>
    </w:p>
    <w:p>
      <w:pPr>
        <w:ind w:left="540" w:right="559" w:firstLine="432"/>
        <w:spacing w:after="0" w:line="254" w:lineRule="auto"/>
        <w:rPr>
          <w:sz w:val="20"/>
          <w:szCs w:val="20"/>
          <w:color w:val="auto"/>
        </w:rPr>
      </w:pPr>
      <w:r>
        <w:rPr>
          <w:rFonts w:ascii="Arial" w:cs="Arial" w:eastAsia="Arial" w:hAnsi="Arial"/>
          <w:sz w:val="18"/>
          <w:szCs w:val="18"/>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Additional Market Opportunity</w:t>
      </w:r>
    </w:p>
    <w:p>
      <w:pPr>
        <w:spacing w:after="0" w:line="144"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09" w:lineRule="exact"/>
        <w:rPr>
          <w:sz w:val="20"/>
          <w:szCs w:val="20"/>
          <w:color w:val="auto"/>
        </w:rPr>
      </w:pPr>
    </w:p>
    <w:p>
      <w:pPr>
        <w:ind w:left="540" w:right="619" w:firstLine="432"/>
        <w:spacing w:after="0" w:line="259" w:lineRule="auto"/>
        <w:rPr>
          <w:sz w:val="20"/>
          <w:szCs w:val="20"/>
          <w:color w:val="auto"/>
        </w:rPr>
      </w:pPr>
      <w:r>
        <w:rPr>
          <w:rFonts w:ascii="Arial" w:cs="Arial" w:eastAsia="Arial" w:hAnsi="Arial"/>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59"/>
        <w:spacing w:after="0" w:line="259" w:lineRule="auto"/>
        <w:rPr>
          <w:sz w:val="20"/>
          <w:szCs w:val="20"/>
          <w:color w:val="auto"/>
        </w:rPr>
      </w:pPr>
      <w:r>
        <w:rPr>
          <w:rFonts w:ascii="Arial" w:cs="Arial" w:eastAsia="Arial" w:hAnsi="Arial"/>
          <w:sz w:val="18"/>
          <w:szCs w:val="18"/>
          <w:color w:val="auto"/>
        </w:rPr>
        <w:t>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19" w:lineRule="exact"/>
        <w:rPr>
          <w:sz w:val="20"/>
          <w:szCs w:val="20"/>
          <w:color w:val="auto"/>
        </w:rPr>
      </w:pPr>
    </w:p>
    <w:p>
      <w:pPr>
        <w:ind w:left="540" w:right="55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13" w:lineRule="exact"/>
        <w:rPr>
          <w:sz w:val="20"/>
          <w:szCs w:val="20"/>
          <w:color w:val="auto"/>
        </w:rPr>
      </w:pPr>
    </w:p>
    <w:p>
      <w:pPr>
        <w:ind w:left="1400" w:right="6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Adhere to our rigorous sales process and continue to put a strong infrastructure in place to enable revenue growth;</w:t>
      </w:r>
    </w:p>
    <w:p>
      <w:pPr>
        <w:spacing w:after="0" w:line="102"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Align our marketing team with our sales force to maximize our industry visibility and create a robust lead generation engine to drive revenue;</w:t>
      </w:r>
    </w:p>
    <w:p>
      <w:pPr>
        <w:spacing w:after="0" w:line="89" w:lineRule="exact"/>
        <w:rPr>
          <w:rFonts w:ascii="Arial" w:cs="Arial" w:eastAsia="Arial" w:hAnsi="Arial"/>
          <w:sz w:val="18"/>
          <w:szCs w:val="18"/>
          <w:color w:val="auto"/>
        </w:rPr>
      </w:pPr>
    </w:p>
    <w:p>
      <w:pPr>
        <w:ind w:left="1400" w:right="699" w:hanging="424"/>
        <w:spacing w:after="0" w:line="25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20"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protocols, processes, and partnerships for scale-up manufacturing in order to meet the increasing demand for our grow solutions; and</w:t>
      </w:r>
    </w:p>
    <w:p>
      <w:pPr>
        <w:spacing w:after="0" w:line="102" w:lineRule="exact"/>
        <w:rPr>
          <w:rFonts w:ascii="Arial" w:cs="Arial" w:eastAsia="Arial" w:hAnsi="Arial"/>
          <w:sz w:val="18"/>
          <w:szCs w:val="18"/>
          <w:color w:val="auto"/>
        </w:rPr>
      </w:pPr>
    </w:p>
    <w:p>
      <w:pPr>
        <w:ind w:left="1400" w:right="879" w:hanging="424"/>
        <w:spacing w:after="0" w:line="286"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Risk Factors</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16" w:lineRule="exact"/>
        <w:rPr>
          <w:sz w:val="20"/>
          <w:szCs w:val="20"/>
          <w:color w:val="auto"/>
        </w:rPr>
      </w:pPr>
    </w:p>
    <w:p>
      <w:pPr>
        <w:ind w:left="1400" w:right="59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119" w:lineRule="exact"/>
        <w:rPr>
          <w:rFonts w:ascii="Arial" w:cs="Arial" w:eastAsia="Arial" w:hAnsi="Arial"/>
          <w:sz w:val="18"/>
          <w:szCs w:val="18"/>
          <w:color w:val="auto"/>
        </w:rPr>
      </w:pPr>
    </w:p>
    <w:p>
      <w:pPr>
        <w:ind w:left="1400" w:right="83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your investment;</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7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799" w:hanging="424"/>
        <w:spacing w:after="0" w:line="286"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97" w:lineRule="exact"/>
        <w:rPr>
          <w:rFonts w:ascii="Arial" w:cs="Arial" w:eastAsia="Arial" w:hAnsi="Arial"/>
          <w:sz w:val="17"/>
          <w:szCs w:val="17"/>
          <w:color w:val="auto"/>
        </w:rPr>
      </w:pPr>
    </w:p>
    <w:p>
      <w:pPr>
        <w:ind w:left="1400" w:right="639" w:hanging="424"/>
        <w:spacing w:after="0" w:line="308"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COVID-19 pandemic and the efforts to mitigate its impact may have an adverse effect on our business, liquidity, results of operations, financial condition and price of our securities;</w:t>
      </w:r>
    </w:p>
    <w:p>
      <w:pPr>
        <w:spacing w:after="0" w:line="65" w:lineRule="exact"/>
        <w:rPr>
          <w:rFonts w:ascii="Arial" w:cs="Arial" w:eastAsia="Arial" w:hAnsi="Arial"/>
          <w:sz w:val="17"/>
          <w:szCs w:val="17"/>
          <w:color w:val="auto"/>
        </w:rPr>
      </w:pPr>
    </w:p>
    <w:p>
      <w:pPr>
        <w:ind w:left="1400" w:right="115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company with clients operating in the cannabis industry, we face many particular and evolving risks associated with that industry;</w:t>
      </w:r>
    </w:p>
    <w:p>
      <w:pPr>
        <w:spacing w:after="0" w:line="102" w:lineRule="exact"/>
        <w:rPr>
          <w:rFonts w:ascii="Arial" w:cs="Arial" w:eastAsia="Arial" w:hAnsi="Arial"/>
          <w:sz w:val="18"/>
          <w:szCs w:val="18"/>
          <w:color w:val="auto"/>
        </w:rPr>
      </w:pPr>
    </w:p>
    <w:p>
      <w:pPr>
        <w:ind w:left="1400" w:right="899" w:hanging="424"/>
        <w:spacing w:after="0" w:line="342" w:lineRule="auto"/>
        <w:tabs>
          <w:tab w:leader="none" w:pos="1391"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concentration of customers exposes us to risks associated with the potential loss of one or more of these significant customers which could adversely affect our financial results;</w:t>
      </w:r>
    </w:p>
    <w:p>
      <w:pPr>
        <w:spacing w:after="0" w:line="56" w:lineRule="exact"/>
        <w:rPr>
          <w:rFonts w:ascii="Arial" w:cs="Arial" w:eastAsia="Arial" w:hAnsi="Arial"/>
          <w:sz w:val="16"/>
          <w:szCs w:val="16"/>
          <w:color w:val="auto"/>
        </w:rPr>
      </w:pPr>
    </w:p>
    <w:p>
      <w:pPr>
        <w:ind w:left="1400" w:right="69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a limited base of suppliers on certain of our products may result in disruptions to our supply chain and business and adversely affect our financial results;</w:t>
      </w:r>
    </w:p>
    <w:p>
      <w:pPr>
        <w:spacing w:after="0" w:line="89"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16"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intense competition that could prohibit us from developing or increasing our customer base;</w:t>
      </w:r>
    </w:p>
    <w:p>
      <w:pPr>
        <w:spacing w:after="0" w:line="102" w:lineRule="exact"/>
        <w:rPr>
          <w:rFonts w:ascii="Arial" w:cs="Arial" w:eastAsia="Arial" w:hAnsi="Arial"/>
          <w:sz w:val="18"/>
          <w:szCs w:val="18"/>
          <w:color w:val="auto"/>
        </w:rPr>
      </w:pPr>
    </w:p>
    <w:p>
      <w:pPr>
        <w:ind w:left="1400" w:right="55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success depends in part on our ability to protect our core technology and intellectual property.</w:t>
      </w:r>
    </w:p>
    <w:p>
      <w:pPr>
        <w:spacing w:after="0" w:line="24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62"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10" w:lineRule="exact"/>
        <w:rPr>
          <w:sz w:val="20"/>
          <w:szCs w:val="20"/>
          <w:color w:val="auto"/>
        </w:rPr>
      </w:pPr>
    </w:p>
    <w:p>
      <w:pPr>
        <w:ind w:left="1400" w:right="1359" w:hanging="424"/>
        <w:spacing w:after="0" w:line="342"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engage an auditor to report on our internal controls over financial reporting pursuant to Section 404(b) of the Sarbanes–Oxley Act of 2002, or the Sarbanes–Oxley Act;</w:t>
      </w:r>
    </w:p>
    <w:p>
      <w:pPr>
        <w:spacing w:after="0" w:line="42" w:lineRule="exact"/>
        <w:rPr>
          <w:rFonts w:ascii="Arial" w:cs="Arial" w:eastAsia="Arial" w:hAnsi="Arial"/>
          <w:sz w:val="16"/>
          <w:szCs w:val="16"/>
          <w:color w:val="auto"/>
        </w:rPr>
      </w:pPr>
    </w:p>
    <w:p>
      <w:pPr>
        <w:ind w:left="1400" w:right="619" w:hanging="424"/>
        <w:spacing w:after="0" w:line="259"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“say-on-golden parachutes;” or</w:t>
      </w:r>
    </w:p>
    <w:p>
      <w:pPr>
        <w:spacing w:after="0" w:line="102" w:lineRule="exact"/>
        <w:rPr>
          <w:rFonts w:ascii="Arial" w:cs="Arial" w:eastAsia="Arial" w:hAnsi="Arial"/>
          <w:sz w:val="18"/>
          <w:szCs w:val="18"/>
          <w:color w:val="auto"/>
        </w:rPr>
      </w:pPr>
    </w:p>
    <w:p>
      <w:pPr>
        <w:jc w:val="both"/>
        <w:ind w:left="1400" w:right="67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103" w:lineRule="exact"/>
        <w:rPr>
          <w:sz w:val="20"/>
          <w:szCs w:val="20"/>
          <w:color w:val="auto"/>
        </w:rPr>
      </w:pPr>
    </w:p>
    <w:p>
      <w:pPr>
        <w:ind w:left="540" w:right="579" w:firstLine="432"/>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44" w:lineRule="exact"/>
        <w:rPr>
          <w:sz w:val="20"/>
          <w:szCs w:val="20"/>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reporting $1 billion or more in annual gross revenues;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issuance, in a three-year period, of more than $1 billion in non-convertible debt;</w:t>
      </w:r>
    </w:p>
    <w:p>
      <w:pPr>
        <w:sectPr>
          <w:pgSz w:w="11900" w:h="16838" w:orient="portrait"/>
          <w:cols w:equalWidth="0" w:num="1">
            <w:col w:w="9019"/>
          </w:cols>
          <w:pgMar w:left="1440" w:top="274" w:right="1440"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267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2267585"/>
                    </a:xfrm>
                    <a:prstGeom prst="rect">
                      <a:avLst/>
                    </a:prstGeom>
                    <a:noFill/>
                  </pic:spPr>
                </pic:pic>
              </a:graphicData>
            </a:graphic>
          </wp:anchor>
        </w:drawing>
      </w:r>
    </w:p>
    <w:p>
      <w:pPr>
        <w:spacing w:after="0" w:line="327" w:lineRule="exact"/>
        <w:rPr>
          <w:sz w:val="20"/>
          <w:szCs w:val="20"/>
          <w:color w:val="auto"/>
        </w:rPr>
      </w:pPr>
    </w:p>
    <w:p>
      <w:pPr>
        <w:ind w:left="1400" w:right="779" w:hanging="424"/>
        <w:spacing w:after="0" w:line="308" w:lineRule="auto"/>
        <w:tabs>
          <w:tab w:leader="none" w:pos="139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end of the fiscal year in which the market value of our common stock held by non-affiliates exceeds $700 million on the last business day of our second fiscal quarter; and</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144"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16"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484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9484995"/>
                    </a:xfrm>
                    <a:prstGeom prst="rect">
                      <a:avLst/>
                    </a:prstGeom>
                    <a:noFill/>
                  </pic:spPr>
                </pic:pic>
              </a:graphicData>
            </a:graphic>
          </wp:anchor>
        </w:drawing>
      </w:r>
    </w:p>
    <w:p>
      <w:pPr>
        <w:sectPr>
          <w:pgSz w:w="11900" w:h="16838" w:orient="portrait"/>
          <w:cols w:equalWidth="0" w:num="1">
            <w:col w:w="9019"/>
          </w:cols>
          <w:pgMar w:left="1440" w:top="274" w:right="1440" w:bottom="493" w:gutter="0" w:footer="0" w:header="0"/>
        </w:sectPr>
      </w:pPr>
    </w:p>
    <w:p>
      <w:pPr>
        <w:spacing w:after="0" w:line="200" w:lineRule="exact"/>
        <w:rPr>
          <w:sz w:val="20"/>
          <w:szCs w:val="20"/>
          <w:color w:val="auto"/>
        </w:rPr>
      </w:pPr>
    </w:p>
    <w:p>
      <w:pPr>
        <w:spacing w:after="0" w:line="2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THE OFFERING</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being offered by us 5,555,555 shares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to be outstanding</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immediately after this offering</w:t>
      </w:r>
      <w:r>
        <w:rPr>
          <w:rFonts w:ascii="Arial" w:cs="Arial" w:eastAsia="Arial" w:hAnsi="Arial"/>
          <w:sz w:val="20"/>
          <w:szCs w:val="20"/>
          <w:color w:val="auto"/>
          <w:vertAlign w:val="superscript"/>
        </w:rPr>
        <w:t>(1)</w:t>
      </w:r>
      <w:r>
        <w:rPr>
          <w:rFonts w:ascii="Arial" w:cs="Arial" w:eastAsia="Arial" w:hAnsi="Arial"/>
          <w:sz w:val="18"/>
          <w:szCs w:val="18"/>
          <w:color w:val="auto"/>
        </w:rPr>
        <w:t xml:space="preserve">   19,221,568 shares</w:t>
      </w:r>
    </w:p>
    <w:p>
      <w:pPr>
        <w:spacing w:after="0" w:line="134"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Over-allotment option</w:t>
      </w:r>
      <w:r>
        <w:rPr>
          <w:sz w:val="20"/>
          <w:szCs w:val="20"/>
          <w:color w:val="auto"/>
        </w:rPr>
        <w:tab/>
      </w:r>
      <w:r>
        <w:rPr>
          <w:rFonts w:ascii="Arial" w:cs="Arial" w:eastAsia="Arial" w:hAnsi="Arial"/>
          <w:sz w:val="16"/>
          <w:szCs w:val="16"/>
          <w:color w:val="auto"/>
        </w:rPr>
        <w:t>We have granted Maxim Group LLC, the representative of the</w:t>
      </w:r>
    </w:p>
    <w:p>
      <w:pPr>
        <w:spacing w:after="0" w:line="23" w:lineRule="exact"/>
        <w:rPr>
          <w:sz w:val="20"/>
          <w:szCs w:val="20"/>
          <w:color w:val="auto"/>
        </w:rPr>
      </w:pPr>
    </w:p>
    <w:p>
      <w:pPr>
        <w:ind w:left="3180" w:right="759"/>
        <w:spacing w:after="0" w:line="253" w:lineRule="auto"/>
        <w:rPr>
          <w:sz w:val="20"/>
          <w:szCs w:val="20"/>
          <w:color w:val="auto"/>
        </w:rPr>
      </w:pPr>
      <w:r>
        <w:rPr>
          <w:rFonts w:ascii="Arial" w:cs="Arial" w:eastAsia="Arial" w:hAnsi="Arial"/>
          <w:sz w:val="18"/>
          <w:szCs w:val="18"/>
          <w:color w:val="auto"/>
        </w:rPr>
        <w:t>underwriters (or Maxim Group) an option to purchase up to 833,333 additional shares of common stock from us at the public offering price less the underwriting discount within 45 days from the date of this prospectus to cover over-allotments.</w:t>
      </w:r>
    </w:p>
    <w:p>
      <w:pPr>
        <w:spacing w:after="0" w:line="139"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for working capital</w:t>
      </w:r>
    </w:p>
    <w:p>
      <w:pPr>
        <w:spacing w:after="0" w:line="23" w:lineRule="exact"/>
        <w:rPr>
          <w:sz w:val="20"/>
          <w:szCs w:val="20"/>
          <w:color w:val="auto"/>
        </w:rPr>
      </w:pPr>
    </w:p>
    <w:p>
      <w:pPr>
        <w:ind w:left="3180" w:right="579"/>
        <w:spacing w:after="0" w:line="287" w:lineRule="auto"/>
        <w:rPr>
          <w:sz w:val="20"/>
          <w:szCs w:val="20"/>
          <w:color w:val="auto"/>
        </w:rPr>
      </w:pPr>
      <w:r>
        <w:rPr>
          <w:rFonts w:ascii="Arial" w:cs="Arial" w:eastAsia="Arial" w:hAnsi="Arial"/>
          <w:sz w:val="16"/>
          <w:szCs w:val="16"/>
          <w:color w:val="auto"/>
        </w:rPr>
        <w:t>and general corporate purposes, including investments in, or acquisitions of, complementary businesses, services or technologies that we believe would allow us to deliver better cultivation results, such as companies that focus on LED lighting solutions, environmental controls or nutrients (although we do not have any agreements, formal or informal, and we have not, nor has anyone on our behalf, held any discussions or negotiations, directly or indirectly, with respect to any potential acquisition targets). See “Use of Proceeds.”</w:t>
      </w:r>
    </w:p>
    <w:p>
      <w:pPr>
        <w:spacing w:after="0" w:line="116"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Representative’s warrants:</w:t>
      </w:r>
      <w:r>
        <w:rPr>
          <w:sz w:val="20"/>
          <w:szCs w:val="20"/>
          <w:color w:val="auto"/>
        </w:rPr>
        <w:tab/>
      </w:r>
      <w:r>
        <w:rPr>
          <w:rFonts w:ascii="Arial" w:cs="Arial" w:eastAsia="Arial" w:hAnsi="Arial"/>
          <w:sz w:val="16"/>
          <w:szCs w:val="16"/>
          <w:color w:val="auto"/>
        </w:rPr>
        <w:t>Upon the closing of this offering, we will issue to Maxim Group</w:t>
      </w:r>
    </w:p>
    <w:p>
      <w:pPr>
        <w:spacing w:after="0" w:line="23" w:lineRule="exact"/>
        <w:rPr>
          <w:sz w:val="20"/>
          <w:szCs w:val="20"/>
          <w:color w:val="auto"/>
        </w:rPr>
      </w:pPr>
    </w:p>
    <w:p>
      <w:pPr>
        <w:ind w:left="3180" w:right="619"/>
        <w:spacing w:after="0" w:line="268" w:lineRule="auto"/>
        <w:rPr>
          <w:sz w:val="20"/>
          <w:szCs w:val="20"/>
          <w:color w:val="auto"/>
        </w:rPr>
      </w:pPr>
      <w:r>
        <w:rPr>
          <w:rFonts w:ascii="Arial" w:cs="Arial" w:eastAsia="Arial" w:hAnsi="Arial"/>
          <w:sz w:val="17"/>
          <w:szCs w:val="17"/>
          <w:color w:val="auto"/>
        </w:rPr>
        <w:t>compensation warrants (or the Representative’s Warrants) entitling Maxim Group to purchase 3% of the aggregate number of shares of common stock issued in this offering at an exercise price of $16.875 per share (which is equal to 125% of the public offering price). The Representative’s Warrants will be subject to a lock-up for 180 days from the commencement of sales of this offering and will be exercisable commencing 180 days after the effective date, terminate on the five year anniversary of the commencement of sales of this offering and will contain a customary “cashless exercise” customary “piggyback” registration rights.</w:t>
      </w:r>
    </w:p>
    <w:p>
      <w:pPr>
        <w:spacing w:after="0" w:line="125"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NASDAQ trading symbol</w:t>
      </w:r>
      <w:r>
        <w:rPr>
          <w:sz w:val="20"/>
          <w:szCs w:val="20"/>
          <w:color w:val="auto"/>
        </w:rPr>
        <w:tab/>
      </w:r>
      <w:r>
        <w:rPr>
          <w:rFonts w:ascii="Arial" w:cs="Arial" w:eastAsia="Arial" w:hAnsi="Arial"/>
          <w:sz w:val="18"/>
          <w:szCs w:val="18"/>
          <w:color w:val="auto"/>
        </w:rPr>
        <w:t>“AGFY”</w:t>
      </w:r>
    </w:p>
    <w:p>
      <w:pPr>
        <w:spacing w:after="0" w:line="171"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Lock-up</w:t>
      </w:r>
      <w:r>
        <w:rPr>
          <w:sz w:val="20"/>
          <w:szCs w:val="20"/>
          <w:color w:val="auto"/>
        </w:rPr>
        <w:tab/>
      </w:r>
      <w:r>
        <w:rPr>
          <w:rFonts w:ascii="Arial" w:cs="Arial" w:eastAsia="Arial" w:hAnsi="Arial"/>
          <w:sz w:val="16"/>
          <w:szCs w:val="16"/>
          <w:color w:val="auto"/>
        </w:rPr>
        <w:t>We and our directors, officers and substantially all of our holders of one</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percent (1%) or more of our outstanding shares of common stock as of</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the date of our IPO prospectus (including securities exercisable for or</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convertible into shares of common stock) entered into customary “lock-</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up” agreements pursuant to which such persons and entities agreed not</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to offer, issue, sell, contract to sell, encumber, grant any option for the</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sale of or otherwise dispose of any of our securities for a period of</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180 days after the date of the IPO prospectus; provided, however, in the</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event that for 20 consecutive trading days the closing price of our</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common stock is in excess of 100% of the IPO price per share (the</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“Stock Price Milestone Date”), then the lock-up period shall be reduced</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to the later of 90 days after the date of the IPO prospectus and five</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trading days after the Stock Price Milestone Date.</w:t>
      </w:r>
    </w:p>
    <w:p>
      <w:pPr>
        <w:spacing w:after="0" w:line="153"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b w:val="1"/>
          <w:bCs w:val="1"/>
          <w:color w:val="auto"/>
        </w:rPr>
        <w:t>The securities offered by this prospectus are speculative and involve</w:t>
      </w:r>
    </w:p>
    <w:p>
      <w:pPr>
        <w:spacing w:after="0" w:line="27" w:lineRule="exact"/>
        <w:rPr>
          <w:sz w:val="20"/>
          <w:szCs w:val="20"/>
          <w:color w:val="auto"/>
        </w:rPr>
      </w:pPr>
    </w:p>
    <w:p>
      <w:pPr>
        <w:ind w:left="3180" w:right="959"/>
        <w:spacing w:after="0" w:line="277" w:lineRule="auto"/>
        <w:rPr>
          <w:sz w:val="20"/>
          <w:szCs w:val="20"/>
          <w:color w:val="auto"/>
        </w:rPr>
      </w:pPr>
      <w:r>
        <w:rPr>
          <w:rFonts w:ascii="Arial" w:cs="Arial" w:eastAsia="Arial" w:hAnsi="Arial"/>
          <w:sz w:val="17"/>
          <w:szCs w:val="17"/>
          <w:b w:val="1"/>
          <w:bCs w:val="1"/>
          <w:color w:val="auto"/>
        </w:rPr>
        <w:t>a high degree of risk</w:t>
      </w:r>
      <w:r>
        <w:rPr>
          <w:rFonts w:ascii="Arial" w:cs="Arial" w:eastAsia="Arial" w:hAnsi="Arial"/>
          <w:sz w:val="17"/>
          <w:szCs w:val="17"/>
          <w:color w:val="auto"/>
        </w:rPr>
        <w:t>. Investors purchasing securities should not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the securities unless they can afford the loss of their entire investment. See “Risk Factors” beginning on page17.</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of our common stock to be outstanding immediately after this offering excludes:</w:t>
      </w:r>
    </w:p>
    <w:p>
      <w:pPr>
        <w:spacing w:after="0" w:line="45" w:lineRule="exact"/>
        <w:rPr>
          <w:rFonts w:ascii="Arial" w:cs="Arial" w:eastAsia="Arial" w:hAnsi="Arial"/>
          <w:sz w:val="16"/>
          <w:szCs w:val="16"/>
          <w:color w:val="auto"/>
        </w:rPr>
      </w:pPr>
    </w:p>
    <w:p>
      <w:pPr>
        <w:ind w:left="1400" w:right="719" w:hanging="208"/>
        <w:spacing w:after="0" w:line="290" w:lineRule="auto"/>
        <w:tabs>
          <w:tab w:leader="none" w:pos="1362" w:val="left"/>
        </w:tabs>
        <w:numPr>
          <w:ilvl w:val="1"/>
          <w:numId w:val="11"/>
        </w:numPr>
        <w:rPr>
          <w:rFonts w:ascii="Arial" w:cs="Arial" w:eastAsia="Arial" w:hAnsi="Arial"/>
          <w:sz w:val="16"/>
          <w:szCs w:val="16"/>
          <w:color w:val="auto"/>
        </w:rPr>
      </w:pPr>
      <w:r>
        <w:rPr>
          <w:rFonts w:ascii="Arial" w:cs="Arial" w:eastAsia="Arial" w:hAnsi="Arial"/>
          <w:sz w:val="16"/>
          <w:szCs w:val="16"/>
          <w:color w:val="auto"/>
        </w:rPr>
        <w:t>2,842,990 shares of common stock issuable upon the exercise of outstanding options at a weighted average exercise price of $3.63 per share;</w:t>
      </w:r>
    </w:p>
    <w:p>
      <w:pPr>
        <w:ind w:left="1400" w:right="839" w:hanging="208"/>
        <w:spacing w:after="0" w:line="309" w:lineRule="auto"/>
        <w:tabs>
          <w:tab w:leader="none" w:pos="1443" w:val="left"/>
        </w:tabs>
        <w:numPr>
          <w:ilvl w:val="1"/>
          <w:numId w:val="11"/>
        </w:numPr>
        <w:rPr>
          <w:rFonts w:ascii="Arial" w:cs="Arial" w:eastAsia="Arial" w:hAnsi="Arial"/>
          <w:sz w:val="15"/>
          <w:szCs w:val="15"/>
          <w:color w:val="auto"/>
        </w:rPr>
      </w:pPr>
      <w:r>
        <w:rPr>
          <w:rFonts w:ascii="Arial" w:cs="Arial" w:eastAsia="Arial" w:hAnsi="Arial"/>
          <w:sz w:val="15"/>
          <w:szCs w:val="15"/>
          <w:color w:val="auto"/>
        </w:rPr>
        <w:t>828,173 shares of common stock issuable upon the exercise of outstanding warrants associated with our 2020 convertible promissory notes at a weighted average exercise price of $0.02 per share;</w:t>
      </w:r>
    </w:p>
    <w:p>
      <w:pPr>
        <w:spacing w:after="0" w:line="1" w:lineRule="exact"/>
        <w:rPr>
          <w:rFonts w:ascii="Arial" w:cs="Arial" w:eastAsia="Arial" w:hAnsi="Arial"/>
          <w:sz w:val="15"/>
          <w:szCs w:val="15"/>
          <w:color w:val="auto"/>
        </w:rPr>
      </w:pPr>
    </w:p>
    <w:p>
      <w:pPr>
        <w:ind w:left="1460" w:hanging="268"/>
        <w:spacing w:after="0"/>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1,516,519 shares reserved for issuance under our equity incentive plan; and</w:t>
      </w:r>
    </w:p>
    <w:p>
      <w:pPr>
        <w:spacing w:after="0" w:line="45" w:lineRule="exact"/>
        <w:rPr>
          <w:rFonts w:ascii="Arial" w:cs="Arial" w:eastAsia="Arial" w:hAnsi="Arial"/>
          <w:sz w:val="16"/>
          <w:szCs w:val="16"/>
          <w:color w:val="auto"/>
        </w:rPr>
      </w:pPr>
    </w:p>
    <w:p>
      <w:pPr>
        <w:ind w:left="1400" w:right="999" w:hanging="208"/>
        <w:spacing w:after="0" w:line="290" w:lineRule="auto"/>
        <w:tabs>
          <w:tab w:leader="none" w:pos="1362" w:val="left"/>
        </w:tabs>
        <w:numPr>
          <w:ilvl w:val="1"/>
          <w:numId w:val="11"/>
        </w:numPr>
        <w:rPr>
          <w:rFonts w:ascii="Arial" w:cs="Arial" w:eastAsia="Arial" w:hAnsi="Arial"/>
          <w:sz w:val="16"/>
          <w:szCs w:val="16"/>
          <w:color w:val="auto"/>
        </w:rPr>
      </w:pPr>
      <w:r>
        <w:rPr>
          <w:rFonts w:ascii="Arial" w:cs="Arial" w:eastAsia="Arial" w:hAnsi="Arial"/>
          <w:sz w:val="16"/>
          <w:szCs w:val="16"/>
          <w:color w:val="auto"/>
        </w:rPr>
        <w:t>352,967 shares of common stock underlying the representative’s warrants issued to the underwriters in connection with our IPO and this offering.</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stated, all information in this prospectus assumes:</w:t>
      </w:r>
    </w:p>
    <w:p>
      <w:pPr>
        <w:spacing w:after="0" w:line="59" w:lineRule="exact"/>
        <w:rPr>
          <w:sz w:val="20"/>
          <w:szCs w:val="20"/>
          <w:color w:val="auto"/>
        </w:rPr>
      </w:pPr>
    </w:p>
    <w:p>
      <w:pPr>
        <w:ind w:left="1360" w:hanging="168"/>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exercise of the underwriters’ over-allotment option to purchase additional shares; and</w:t>
      </w:r>
    </w:p>
    <w:p>
      <w:pPr>
        <w:spacing w:after="0" w:line="45" w:lineRule="exact"/>
        <w:rPr>
          <w:rFonts w:ascii="Arial" w:cs="Arial" w:eastAsia="Arial" w:hAnsi="Arial"/>
          <w:sz w:val="16"/>
          <w:szCs w:val="16"/>
          <w:color w:val="auto"/>
        </w:rPr>
      </w:pPr>
    </w:p>
    <w:p>
      <w:pPr>
        <w:ind w:left="1360" w:hanging="168"/>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exercise of the Representative’s Warrants.</w:t>
      </w:r>
    </w:p>
    <w:p>
      <w:pPr>
        <w:sectPr>
          <w:pgSz w:w="11900" w:h="16838" w:orient="portrait"/>
          <w:cols w:equalWidth="0" w:num="1">
            <w:col w:w="9019"/>
          </w:cols>
          <w:pgMar w:left="1440" w:top="274" w:right="1440" w:bottom="493"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93" w:gutter="0" w:footer="0" w:header="0"/>
          <w:type w:val="continuous"/>
        </w:sectPr>
      </w:pPr>
    </w:p>
    <w:bookmarkStart w:id="15" w:name="page16"/>
    <w:bookmarkEnd w:id="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93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3933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AND OTHER DATA</w:t>
      </w:r>
    </w:p>
    <w:p>
      <w:pPr>
        <w:spacing w:after="0" w:line="162" w:lineRule="exact"/>
        <w:rPr>
          <w:sz w:val="20"/>
          <w:szCs w:val="20"/>
          <w:color w:val="auto"/>
        </w:rPr>
      </w:pPr>
    </w:p>
    <w:p>
      <w:pPr>
        <w:ind w:left="540" w:right="599" w:firstLine="432"/>
        <w:spacing w:after="0" w:line="271" w:lineRule="auto"/>
        <w:rPr>
          <w:sz w:val="20"/>
          <w:szCs w:val="20"/>
          <w:color w:val="auto"/>
        </w:rPr>
      </w:pPr>
      <w:r>
        <w:rPr>
          <w:rFonts w:ascii="Arial" w:cs="Arial" w:eastAsia="Arial" w:hAnsi="Arial"/>
          <w:sz w:val="17"/>
          <w:szCs w:val="17"/>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right"/>
              <w:ind w:right="639"/>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0"/>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Revenue, net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4,088,000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7,734,000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2,425,000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4,333,000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2,846,000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1,238,000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9,332,000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(3,091,000)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(1,016,000)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(8,472,000)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(1,198,000)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Miscellaneous income (expense), net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(8,611,000)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(1,201,000)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w w:val="97"/>
              </w:rPr>
              <w:t>Loss attributable to non-controlling interest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(3,042,000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(1,014,000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(8,562,000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80"/>
              <w:spacing w:after="0"/>
              <w:rPr>
                <w:sz w:val="20"/>
                <w:szCs w:val="20"/>
                <w:color w:val="auto"/>
              </w:rPr>
            </w:pPr>
            <w:r>
              <w:rPr>
                <w:rFonts w:ascii="Arial" w:cs="Arial" w:eastAsia="Arial" w:hAnsi="Arial"/>
                <w:sz w:val="18"/>
                <w:szCs w:val="18"/>
                <w:color w:val="auto"/>
                <w:w w:val="90"/>
              </w:rPr>
              <w:t>Net income (loss) per share, basic and diluted</w:t>
            </w: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33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6"/>
              </w:rPr>
              <w:t>Weighted-average common shares used to</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 basic and diluted net loss per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3,068,458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2,326,458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4,163,848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2,883,896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vMerge w:val="restart"/>
          </w:tcPr>
          <w:p>
            <w:pPr>
              <w:spacing w:after="0" w:line="201" w:lineRule="exact"/>
              <w:rPr>
                <w:sz w:val="20"/>
                <w:szCs w:val="20"/>
                <w:color w:val="auto"/>
              </w:rPr>
            </w:pPr>
            <w:r>
              <w:rPr>
                <w:rFonts w:ascii="Arial" w:cs="Arial" w:eastAsia="Arial" w:hAnsi="Arial"/>
                <w:sz w:val="18"/>
                <w:szCs w:val="18"/>
                <w:color w:val="auto"/>
                <w:w w:val="94"/>
              </w:rPr>
              <w:t>Pro forma net loss per common share, basic</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2"/>
              </w:rPr>
              <w:t>Pro forma weighted-average common shares</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used to compute basic and diluted net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 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5,209,491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361"/>
              <w:spacing w:after="0"/>
              <w:rPr>
                <w:sz w:val="20"/>
                <w:szCs w:val="20"/>
                <w:color w:val="auto"/>
              </w:rPr>
            </w:pPr>
            <w:r>
              <w:rPr>
                <w:rFonts w:ascii="Arial" w:cs="Arial" w:eastAsia="Arial" w:hAnsi="Arial"/>
                <w:sz w:val="16"/>
                <w:szCs w:val="16"/>
                <w:b w:val="1"/>
                <w:bCs w:val="1"/>
                <w:color w:val="auto"/>
                <w:w w:val="89"/>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5"/>
          </w:tcPr>
          <w:p>
            <w:pPr>
              <w:jc w:val="center"/>
              <w:ind w:right="41"/>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33"/>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8"/>
              </w:rPr>
              <w:t>206,000</w:t>
            </w:r>
          </w:p>
        </w:tc>
        <w:tc>
          <w:tcPr>
            <w:tcW w:w="8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64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right="839"/>
        <w:spacing w:after="0" w:line="282" w:lineRule="auto"/>
        <w:rPr>
          <w:sz w:val="20"/>
          <w:szCs w:val="20"/>
          <w:color w:val="auto"/>
        </w:rPr>
      </w:pPr>
      <w:r>
        <w:rPr>
          <w:rFonts w:ascii="Arial" w:cs="Arial" w:eastAsia="Arial" w:hAnsi="Arial"/>
          <w:sz w:val="18"/>
          <w:szCs w:val="18"/>
          <w:b w:val="1"/>
          <w:bCs w:val="1"/>
          <w:color w:val="auto"/>
        </w:rPr>
        <w:t>Certain Non-GAAP EBITDA and adjusted EBITDA Financial Measurements and Reconciliation to GAAP</w:t>
      </w:r>
    </w:p>
    <w:p>
      <w:pPr>
        <w:spacing w:after="0" w:line="98" w:lineRule="exact"/>
        <w:rPr>
          <w:sz w:val="20"/>
          <w:szCs w:val="20"/>
          <w:color w:val="auto"/>
        </w:rPr>
      </w:pPr>
    </w:p>
    <w:p>
      <w:pPr>
        <w:ind w:left="540" w:right="579" w:firstLine="432"/>
        <w:spacing w:after="0" w:line="286" w:lineRule="auto"/>
        <w:rPr>
          <w:sz w:val="20"/>
          <w:szCs w:val="20"/>
          <w:color w:val="auto"/>
        </w:rPr>
      </w:pPr>
      <w:r>
        <w:rPr>
          <w:rFonts w:ascii="Arial" w:cs="Arial" w:eastAsia="Arial" w:hAnsi="Arial"/>
          <w:sz w:val="16"/>
          <w:szCs w:val="16"/>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00"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01" w:lineRule="exact"/>
        <w:rPr>
          <w:sz w:val="20"/>
          <w:szCs w:val="20"/>
          <w:color w:val="auto"/>
        </w:rPr>
      </w:pPr>
    </w:p>
    <w:p>
      <w:pPr>
        <w:jc w:val="both"/>
        <w:ind w:left="540" w:right="599" w:firstLine="432"/>
        <w:spacing w:after="0" w:line="259" w:lineRule="auto"/>
        <w:rPr>
          <w:sz w:val="20"/>
          <w:szCs w:val="20"/>
          <w:color w:val="auto"/>
        </w:rPr>
      </w:pPr>
      <w:r>
        <w:rPr>
          <w:rFonts w:ascii="Arial" w:cs="Arial" w:eastAsia="Arial" w:hAnsi="Arial"/>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19" w:lineRule="exact"/>
        <w:rPr>
          <w:sz w:val="20"/>
          <w:szCs w:val="20"/>
          <w:color w:val="auto"/>
        </w:rPr>
      </w:pPr>
    </w:p>
    <w:p>
      <w:pPr>
        <w:ind w:left="1400" w:right="659" w:hanging="424"/>
        <w:spacing w:after="0" w:line="277" w:lineRule="auto"/>
        <w:tabs>
          <w:tab w:leader="none" w:pos="13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our cash expenditures, or future requirements, for capital expenditures or contractual commitments;</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w:t>
      </w:r>
    </w:p>
    <w:p>
      <w:pPr>
        <w:spacing w:after="0" w:line="89" w:lineRule="exact"/>
        <w:rPr>
          <w:rFonts w:ascii="Arial" w:cs="Arial" w:eastAsia="Arial" w:hAnsi="Arial"/>
          <w:sz w:val="18"/>
          <w:szCs w:val="18"/>
          <w:color w:val="auto"/>
        </w:rPr>
      </w:pPr>
    </w:p>
    <w:p>
      <w:pPr>
        <w:ind w:left="1400" w:right="1219" w:hanging="424"/>
        <w:spacing w:after="0" w:line="277" w:lineRule="auto"/>
        <w:tabs>
          <w:tab w:leader="none" w:pos="13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expense, or the cash requirements necessary to service interest or principal payments, on our debts;</w:t>
      </w:r>
    </w:p>
    <w:p>
      <w:pPr>
        <w:spacing w:after="0" w:line="102" w:lineRule="exact"/>
        <w:rPr>
          <w:rFonts w:ascii="Arial" w:cs="Arial" w:eastAsia="Arial" w:hAnsi="Arial"/>
          <w:sz w:val="18"/>
          <w:szCs w:val="18"/>
          <w:color w:val="auto"/>
        </w:rPr>
      </w:pPr>
    </w:p>
    <w:p>
      <w:pPr>
        <w:jc w:val="both"/>
        <w:ind w:left="1400" w:right="799" w:hanging="424"/>
        <w:spacing w:after="0" w:line="263" w:lineRule="auto"/>
        <w:tabs>
          <w:tab w:leader="none" w:pos="13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16" w:lineRule="exact"/>
        <w:rPr>
          <w:rFonts w:ascii="Arial" w:cs="Arial" w:eastAsia="Arial" w:hAnsi="Arial"/>
          <w:sz w:val="18"/>
          <w:szCs w:val="18"/>
          <w:color w:val="auto"/>
        </w:rPr>
      </w:pPr>
    </w:p>
    <w:p>
      <w:pPr>
        <w:ind w:left="1400" w:right="719" w:hanging="424"/>
        <w:spacing w:after="0" w:line="277" w:lineRule="auto"/>
        <w:tabs>
          <w:tab w:leader="none" w:pos="13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the impact of certain cash charges resulting from matters we consider not to be indicative of our ongoing operations; and</w:t>
      </w:r>
    </w:p>
    <w:p>
      <w:pPr>
        <w:spacing w:after="0" w:line="89" w:lineRule="exact"/>
        <w:rPr>
          <w:rFonts w:ascii="Arial" w:cs="Arial" w:eastAsia="Arial" w:hAnsi="Arial"/>
          <w:sz w:val="18"/>
          <w:szCs w:val="18"/>
          <w:color w:val="auto"/>
        </w:rPr>
      </w:pPr>
    </w:p>
    <w:p>
      <w:pPr>
        <w:ind w:left="1400" w:right="739" w:hanging="424"/>
        <w:spacing w:after="0" w:line="277" w:lineRule="auto"/>
        <w:tabs>
          <w:tab w:leader="none" w:pos="1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EBITDA and Adjusted EBITDA differently than we do, limiting its usefulness as a comparative measure.</w:t>
      </w:r>
    </w:p>
    <w:p>
      <w:pPr>
        <w:spacing w:after="0" w:line="103" w:lineRule="exact"/>
        <w:rPr>
          <w:sz w:val="20"/>
          <w:szCs w:val="20"/>
          <w:color w:val="auto"/>
        </w:rPr>
      </w:pPr>
    </w:p>
    <w:p>
      <w:pPr>
        <w:ind w:left="540" w:right="679" w:firstLine="432"/>
        <w:spacing w:after="0" w:line="275" w:lineRule="auto"/>
        <w:rPr>
          <w:sz w:val="20"/>
          <w:szCs w:val="20"/>
          <w:color w:val="auto"/>
        </w:rPr>
      </w:pPr>
      <w:r>
        <w:rPr>
          <w:rFonts w:ascii="Arial" w:cs="Arial" w:eastAsia="Arial" w:hAnsi="Arial"/>
          <w:sz w:val="17"/>
          <w:szCs w:val="17"/>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382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38271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September 30,</w:t>
      </w:r>
    </w:p>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92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 (8,562,000)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99"/>
              </w:rPr>
              <w:t>(1,201,000)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261,000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EBITDA from continuing operations</w:t>
            </w:r>
          </w:p>
        </w:tc>
        <w:tc>
          <w:tcPr>
            <w:tcW w:w="9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Pr>
          <w:p>
            <w:pPr>
              <w:spacing w:after="0"/>
              <w:rPr>
                <w:sz w:val="19"/>
                <w:szCs w:val="19"/>
                <w:color w:val="auto"/>
              </w:rPr>
            </w:pP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20"/>
                <w:szCs w:val="20"/>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Loss from write-off of and sale of fixed assets</w:t>
            </w:r>
            <w:r>
              <w:rPr>
                <w:rFonts w:ascii="Arial" w:cs="Arial" w:eastAsia="Arial" w:hAnsi="Arial"/>
                <w:sz w:val="20"/>
                <w:szCs w:val="20"/>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846,000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0"/>
                <w:szCs w:val="20"/>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94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(1,201,000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859" w:hanging="436"/>
        <w:spacing w:after="0" w:line="266" w:lineRule="auto"/>
        <w:tabs>
          <w:tab w:leader="none" w:pos="9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(“Compensation — Stock Compensation”).</w:t>
      </w:r>
    </w:p>
    <w:p>
      <w:pPr>
        <w:spacing w:after="0" w:line="1" w:lineRule="exact"/>
        <w:rPr>
          <w:rFonts w:ascii="Arial" w:cs="Arial" w:eastAsia="Arial" w:hAnsi="Arial"/>
          <w:sz w:val="16"/>
          <w:szCs w:val="16"/>
          <w:color w:val="auto"/>
        </w:rPr>
      </w:pPr>
    </w:p>
    <w:p>
      <w:pPr>
        <w:ind w:left="980" w:right="639" w:hanging="436"/>
        <w:spacing w:after="0" w:line="264" w:lineRule="auto"/>
        <w:tabs>
          <w:tab w:leader="none" w:pos="9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expenses of $739,000 in connection with development of hardware solution for deployment of rapid grow solution, and $107,000 expenses related to discarded research and development center in Colorado and loss from sale of fixed assets.</w:t>
      </w:r>
    </w:p>
    <w:p>
      <w:pPr>
        <w:ind w:left="980" w:right="619" w:hanging="436"/>
        <w:spacing w:after="0" w:line="288"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total of $856,000 related to our effort to become publicly listed and $80,000 in legal costs associated with our merger and acquisition activity.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right="739"/>
        <w:spacing w:after="0" w:line="311" w:lineRule="auto"/>
        <w:rPr>
          <w:sz w:val="20"/>
          <w:szCs w:val="20"/>
          <w:color w:val="auto"/>
        </w:rPr>
      </w:pPr>
      <w:r>
        <w:rPr>
          <w:rFonts w:ascii="Arial" w:cs="Arial" w:eastAsia="Arial" w:hAnsi="Arial"/>
          <w:sz w:val="16"/>
          <w:szCs w:val="16"/>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8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since the consummation of our IPO on February 1, 2021,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00"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If our ability to generate cash flow from operations is delayed or reduced and we are unable to raise additional funding from other sources, we may be unable to continue in business even if this offering is successful. However, we believe that our cash and cash equivalents, including cash resulting from the issuance of our 2020 convertible promissory notes, cash resulting from the IPO, cash resulting from this offering and cash flows from operations will be sufficient to support our planned operations for at least the next 12 months.</w:t>
      </w:r>
    </w:p>
    <w:p>
      <w:pPr>
        <w:spacing w:after="0" w:line="184"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have a relatively short operating history, which makes it difficult to evaluate our business and future prospects.</w:t>
      </w:r>
    </w:p>
    <w:p>
      <w:pPr>
        <w:spacing w:after="0" w:line="89" w:lineRule="exact"/>
        <w:rPr>
          <w:sz w:val="20"/>
          <w:szCs w:val="20"/>
          <w:color w:val="auto"/>
        </w:rPr>
      </w:pPr>
    </w:p>
    <w:p>
      <w:pPr>
        <w:jc w:val="both"/>
        <w:ind w:left="460" w:right="499" w:firstLine="432"/>
        <w:spacing w:after="0" w:line="301" w:lineRule="auto"/>
        <w:rPr>
          <w:sz w:val="20"/>
          <w:szCs w:val="20"/>
          <w:color w:val="auto"/>
        </w:rPr>
      </w:pPr>
      <w:r>
        <w:rPr>
          <w:rFonts w:ascii="Arial" w:cs="Arial" w:eastAsia="Arial" w:hAnsi="Arial"/>
          <w:sz w:val="16"/>
          <w:szCs w:val="16"/>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90"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 and services;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regulatory environments and costs associated with compliance, particularly as related to our operations in the cannabis sector;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with other companies offering similar products and services;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market our products and services and attract new clients;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319" w:hanging="434"/>
        <w:spacing w:after="0" w:line="308" w:lineRule="auto"/>
        <w:tabs>
          <w:tab w:leader="none" w:pos="13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and timing of OpEx, particularly sales and marketing expenses, related to the maintenance and expansion of our business, operations and infrastructure;</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control costs, including OpEx;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organic growth and growth fueled by acquisitions;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public perception and acceptance of cannabis-related products and services generally;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events.</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If we do not manage these risks successfully, our business and financial performance will be adversely affected.</w:t>
      </w:r>
    </w:p>
    <w:p>
      <w:pPr>
        <w:spacing w:after="0" w:line="170"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03"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At February 8, 2021, we had cash and cash equivalents of $63,459,247. Our operating plan may change because of factors currently unknown to us, and we may need to seek additional funds sooner than planned. Even if we are able to raise capital in this offering or substantially increase revenue and reduce OpEx,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0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9" w:lineRule="exact"/>
        <w:rPr>
          <w:sz w:val="20"/>
          <w:szCs w:val="20"/>
          <w:color w:val="auto"/>
        </w:rPr>
      </w:pPr>
    </w:p>
    <w:p>
      <w:pPr>
        <w:ind w:left="460" w:right="559"/>
        <w:spacing w:after="0" w:line="320" w:lineRule="auto"/>
        <w:rPr>
          <w:sz w:val="20"/>
          <w:szCs w:val="20"/>
          <w:color w:val="auto"/>
        </w:rPr>
      </w:pPr>
      <w:r>
        <w:rPr>
          <w:rFonts w:ascii="Arial" w:cs="Arial" w:eastAsia="Arial" w:hAnsi="Arial"/>
          <w:sz w:val="15"/>
          <w:szCs w:val="15"/>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7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89"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4"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7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10"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9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As a company with clients operating in the cannabis industry, we face many particular and evolving risks associated with that industry.</w:t>
      </w:r>
    </w:p>
    <w:p>
      <w:pPr>
        <w:spacing w:after="0" w:line="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Marijuana remains illegal under United States federal law</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Uncertainty of federal enforcement and the need to renew temporary safeguards</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59" w:lineRule="auto"/>
        <w:rPr>
          <w:sz w:val="20"/>
          <w:szCs w:val="20"/>
          <w:color w:val="auto"/>
        </w:rPr>
      </w:pPr>
      <w:r>
        <w:rPr>
          <w:rFonts w:ascii="Arial" w:cs="Arial" w:eastAsia="Arial" w:hAnsi="Arial"/>
          <w:sz w:val="18"/>
          <w:szCs w:val="18"/>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1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Further legislative development beneficial to our operations is not guaranteed</w:t>
      </w:r>
    </w:p>
    <w:p>
      <w:pPr>
        <w:spacing w:after="0" w:line="14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cannabis industry could face strong opposition from other industries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legality of marijuana could be reversed in one or more states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Changing legislation and evolving interpretations of law</w:t>
      </w:r>
    </w:p>
    <w:p>
      <w:pPr>
        <w:spacing w:after="0" w:line="144"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Dependence on client licensing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Banking regulations could limit access to banking services</w:t>
      </w:r>
    </w:p>
    <w:p>
      <w:pPr>
        <w:spacing w:after="0" w:line="15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Insurance risks</w:t>
      </w:r>
    </w:p>
    <w:p>
      <w:pPr>
        <w:spacing w:after="0" w:line="144"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Evolving industry</w:t>
      </w:r>
    </w:p>
    <w:p>
      <w:pPr>
        <w:spacing w:after="0" w:line="158" w:lineRule="exact"/>
        <w:rPr>
          <w:sz w:val="20"/>
          <w:szCs w:val="20"/>
          <w:color w:val="auto"/>
        </w:rPr>
      </w:pPr>
    </w:p>
    <w:p>
      <w:pPr>
        <w:ind w:left="460" w:right="799" w:firstLine="432"/>
        <w:spacing w:after="0" w:line="271" w:lineRule="auto"/>
        <w:rPr>
          <w:sz w:val="20"/>
          <w:szCs w:val="20"/>
          <w:color w:val="auto"/>
        </w:rPr>
      </w:pPr>
      <w:r>
        <w:rPr>
          <w:rFonts w:ascii="Arial" w:cs="Arial" w:eastAsia="Arial" w:hAnsi="Arial"/>
          <w:sz w:val="17"/>
          <w:szCs w:val="17"/>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99"/>
        <w:spacing w:after="0" w:line="342" w:lineRule="auto"/>
        <w:rPr>
          <w:sz w:val="20"/>
          <w:szCs w:val="20"/>
          <w:color w:val="auto"/>
        </w:rPr>
      </w:pPr>
      <w:r>
        <w:rPr>
          <w:rFonts w:ascii="Arial" w:cs="Arial" w:eastAsia="Arial" w:hAnsi="Arial"/>
          <w:sz w:val="16"/>
          <w:szCs w:val="16"/>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4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54" w:lineRule="exact"/>
        <w:rPr>
          <w:sz w:val="20"/>
          <w:szCs w:val="20"/>
          <w:color w:val="auto"/>
        </w:rPr>
      </w:pPr>
    </w:p>
    <w:p>
      <w:pPr>
        <w:jc w:val="both"/>
        <w:ind w:left="460" w:right="519"/>
        <w:spacing w:after="0" w:line="286" w:lineRule="auto"/>
        <w:rPr>
          <w:sz w:val="20"/>
          <w:szCs w:val="20"/>
          <w:color w:val="auto"/>
        </w:rPr>
      </w:pPr>
      <w:r>
        <w:rPr>
          <w:rFonts w:ascii="Arial" w:cs="Arial" w:eastAsia="Arial" w:hAnsi="Arial"/>
          <w:sz w:val="17"/>
          <w:szCs w:val="17"/>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9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144" w:lineRule="exact"/>
        <w:rPr>
          <w:sz w:val="20"/>
          <w:szCs w:val="20"/>
          <w:color w:val="auto"/>
        </w:rPr>
      </w:pPr>
    </w:p>
    <w:p>
      <w:pPr>
        <w:ind w:left="460" w:right="1299"/>
        <w:spacing w:after="0" w:line="277" w:lineRule="auto"/>
        <w:rPr>
          <w:sz w:val="20"/>
          <w:szCs w:val="20"/>
          <w:color w:val="auto"/>
        </w:rPr>
      </w:pPr>
      <w:r>
        <w:rPr>
          <w:rFonts w:ascii="Arial" w:cs="Arial" w:eastAsia="Arial" w:hAnsi="Arial"/>
          <w:sz w:val="18"/>
          <w:szCs w:val="18"/>
          <w:b w:val="1"/>
          <w:bCs w:val="1"/>
          <w:i w:val="1"/>
          <w:iCs w:val="1"/>
          <w:color w:val="auto"/>
        </w:rPr>
        <w:t>Certain of our officers and directors may become subject to conflicts of interests arising out of our relationship with Bluezone and Enozo.</w:t>
      </w:r>
    </w:p>
    <w:p>
      <w:pPr>
        <w:spacing w:after="0" w:line="10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67"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8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2"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3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8"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82"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6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intense competition that could prohibit us from developing or increasing our customer base.</w:t>
      </w:r>
    </w:p>
    <w:p>
      <w:pPr>
        <w:spacing w:after="0" w:line="181"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 w:name="page26"/>
    <w:bookmarkEnd w:id="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77"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Protecting and defending against intellectual property claims may have a material adverse effect on our business.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1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have one pending U.S. patent application as well as its pending Patent Cooperation Treaty (PCT) counter-part application, and we will likely file national applications from this PCT in other countries.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0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11" w:lineRule="exact"/>
        <w:rPr>
          <w:sz w:val="20"/>
          <w:szCs w:val="20"/>
          <w:color w:val="auto"/>
        </w:rPr>
      </w:pPr>
    </w:p>
    <w:p>
      <w:pPr>
        <w:ind w:left="1320" w:right="133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claimed or disclosed in our patent application;</w:t>
      </w:r>
    </w:p>
    <w:p>
      <w:pPr>
        <w:spacing w:after="0" w:line="102" w:lineRule="exact"/>
        <w:rPr>
          <w:rFonts w:ascii="Arial" w:cs="Arial" w:eastAsia="Arial" w:hAnsi="Arial"/>
          <w:sz w:val="18"/>
          <w:szCs w:val="18"/>
          <w:color w:val="auto"/>
        </w:rPr>
      </w:pPr>
    </w:p>
    <w:p>
      <w:pPr>
        <w:ind w:left="1320" w:right="499" w:hanging="434"/>
        <w:spacing w:after="0" w:line="273" w:lineRule="auto"/>
        <w:tabs>
          <w:tab w:leader="none" w:pos="13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96" w:lineRule="exact"/>
        <w:rPr>
          <w:rFonts w:ascii="Arial" w:cs="Arial" w:eastAsia="Arial" w:hAnsi="Arial"/>
          <w:sz w:val="17"/>
          <w:szCs w:val="17"/>
          <w:color w:val="auto"/>
        </w:rPr>
      </w:pPr>
    </w:p>
    <w:p>
      <w:pPr>
        <w:ind w:left="1320" w:right="639" w:hanging="434"/>
        <w:spacing w:after="0" w:line="259"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311" w:lineRule="auto"/>
        <w:tabs>
          <w:tab w:leader="none" w:pos="1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81" w:lineRule="exact"/>
        <w:rPr>
          <w:rFonts w:ascii="Arial" w:cs="Arial" w:eastAsia="Arial" w:hAnsi="Arial"/>
          <w:sz w:val="16"/>
          <w:szCs w:val="16"/>
          <w:color w:val="auto"/>
        </w:rPr>
      </w:pPr>
    </w:p>
    <w:p>
      <w:pPr>
        <w:ind w:left="1320" w:right="919" w:hanging="434"/>
        <w:spacing w:after="0" w:line="342" w:lineRule="auto"/>
        <w:tabs>
          <w:tab w:leader="none" w:pos="1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unaware of or unfamiliar with prior art and/or interpretations of prior art that could potentially impact the validity or scope of our patents or patent applications that we may file;</w:t>
      </w:r>
    </w:p>
    <w:p>
      <w:pPr>
        <w:spacing w:after="0" w:line="56" w:lineRule="exact"/>
        <w:rPr>
          <w:rFonts w:ascii="Arial" w:cs="Arial" w:eastAsia="Arial" w:hAnsi="Arial"/>
          <w:sz w:val="16"/>
          <w:szCs w:val="16"/>
          <w:color w:val="auto"/>
        </w:rPr>
      </w:pPr>
    </w:p>
    <w:p>
      <w:pPr>
        <w:ind w:left="1320" w:right="619" w:hanging="434"/>
        <w:spacing w:after="0" w:line="301" w:lineRule="auto"/>
        <w:tabs>
          <w:tab w:leader="none" w:pos="1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76"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elect not to maintain or pursue intellectual property rights that, at some point in time, may be considered relevant to or enforceable against a competitor;</w:t>
      </w:r>
    </w:p>
    <w:p>
      <w:pPr>
        <w:spacing w:after="0" w:line="102" w:lineRule="exact"/>
        <w:rPr>
          <w:rFonts w:ascii="Arial" w:cs="Arial" w:eastAsia="Arial" w:hAnsi="Arial"/>
          <w:sz w:val="18"/>
          <w:szCs w:val="18"/>
          <w:color w:val="auto"/>
        </w:rPr>
      </w:pPr>
    </w:p>
    <w:p>
      <w:pPr>
        <w:ind w:left="1320" w:right="519" w:hanging="434"/>
        <w:spacing w:after="0" w:line="308" w:lineRule="auto"/>
        <w:tabs>
          <w:tab w:leader="none" w:pos="13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develop additional proprietary products and technologies that are patentable, or we may develop additional proprietary products and technologies that are not patentable;</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89" w:lineRule="exact"/>
        <w:rPr>
          <w:rFonts w:ascii="Arial" w:cs="Arial" w:eastAsia="Arial" w:hAnsi="Arial"/>
          <w:sz w:val="18"/>
          <w:szCs w:val="18"/>
          <w:color w:val="auto"/>
        </w:rPr>
      </w:pPr>
    </w:p>
    <w:p>
      <w:pPr>
        <w:ind w:left="1320" w:right="799" w:hanging="434"/>
        <w:spacing w:after="0" w:line="301" w:lineRule="auto"/>
        <w:tabs>
          <w:tab w:leader="none" w:pos="1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success depends in part upon our ability to protect our core technology and intellectual property.</w:t>
      </w:r>
    </w:p>
    <w:p>
      <w:pPr>
        <w:spacing w:after="0" w:line="181"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8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92"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Others may assert intellectual property infringement claims against us.</w:t>
      </w:r>
    </w:p>
    <w:p>
      <w:pPr>
        <w:spacing w:after="0" w:line="15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6" w:lineRule="exact"/>
        <w:rPr>
          <w:sz w:val="20"/>
          <w:szCs w:val="20"/>
          <w:color w:val="auto"/>
        </w:rPr>
      </w:pPr>
    </w:p>
    <w:p>
      <w:pPr>
        <w:ind w:left="460" w:right="599"/>
        <w:spacing w:after="0" w:line="320" w:lineRule="auto"/>
        <w:rPr>
          <w:sz w:val="20"/>
          <w:szCs w:val="20"/>
          <w:color w:val="auto"/>
        </w:rPr>
      </w:pPr>
      <w:r>
        <w:rPr>
          <w:rFonts w:ascii="Arial" w:cs="Arial" w:eastAsia="Arial" w:hAnsi="Arial"/>
          <w:sz w:val="15"/>
          <w:szCs w:val="15"/>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65"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9" w:lineRule="auto"/>
        <w:rPr>
          <w:sz w:val="20"/>
          <w:szCs w:val="20"/>
          <w:color w:val="auto"/>
        </w:rPr>
      </w:pPr>
      <w:r>
        <w:rPr>
          <w:rFonts w:ascii="Arial" w:cs="Arial" w:eastAsia="Arial" w:hAnsi="Arial"/>
          <w:sz w:val="18"/>
          <w:szCs w:val="18"/>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87" w:lineRule="exact"/>
        <w:rPr>
          <w:sz w:val="20"/>
          <w:szCs w:val="20"/>
          <w:color w:val="auto"/>
        </w:rPr>
      </w:pPr>
    </w:p>
    <w:p>
      <w:pPr>
        <w:ind w:left="460" w:right="127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are no assurances that the loans will be forgivable in whole or in part.</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06"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1" w:lineRule="exact"/>
        <w:rPr>
          <w:sz w:val="20"/>
          <w:szCs w:val="20"/>
          <w:color w:val="auto"/>
        </w:rPr>
      </w:pPr>
    </w:p>
    <w:p>
      <w:pPr>
        <w:ind w:left="460" w:right="479" w:hanging="6"/>
        <w:spacing w:after="0" w:line="277" w:lineRule="auto"/>
        <w:tabs>
          <w:tab w:leader="none" w:pos="8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Loan, we may be required to repay the PPP Loan in its entirety and/or be subject to additional penalties and adverse publicity, which could have a material adverse effect on our business, results of operations, and financial condition.</w:t>
      </w:r>
    </w:p>
    <w:p>
      <w:pPr>
        <w:sectPr>
          <w:pgSz w:w="11900" w:h="16838" w:orient="portrait"/>
          <w:cols w:equalWidth="0" w:num="1">
            <w:col w:w="9019"/>
          </w:cols>
          <w:pgMar w:left="1440" w:top="274"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460" w:right="919"/>
        <w:spacing w:after="0" w:line="30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65"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working capital and general corporate purposes, including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66"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0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Upon completion of this offering, our executive officers, directors and their affiliates will beneficially own, in the aggregate, approximately 11.0% of our outstanding shares of common stock. In particular, Raymond Chang, our Chairman of the Board and Chief Executive Officer, will beneficially own approximately 5.9% 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1" w:lineRule="exact"/>
        <w:rPr>
          <w:sz w:val="20"/>
          <w:szCs w:val="20"/>
          <w:color w:val="auto"/>
        </w:rPr>
      </w:pPr>
    </w:p>
    <w:p>
      <w:pPr>
        <w:ind w:left="460" w:right="999"/>
        <w:spacing w:after="0" w:line="311" w:lineRule="auto"/>
        <w:rPr>
          <w:sz w:val="20"/>
          <w:szCs w:val="20"/>
          <w:color w:val="auto"/>
        </w:rPr>
      </w:pPr>
      <w:r>
        <w:rPr>
          <w:rFonts w:ascii="Arial" w:cs="Arial" w:eastAsia="Arial" w:hAnsi="Arial"/>
          <w:sz w:val="16"/>
          <w:szCs w:val="16"/>
          <w:b w:val="1"/>
          <w:bCs w:val="1"/>
          <w:i w:val="1"/>
          <w:iCs w:val="1"/>
          <w:color w:val="auto"/>
        </w:rPr>
        <w:t>A total of 7,456,013, or 38.8%, of our total outstanding shares after the offering are restricted from immediate resale, but may be sold on a stock exchange in the near future. The large number of shares eligible for public sale could depress the market price of our common stock.</w:t>
      </w:r>
    </w:p>
    <w:p>
      <w:pPr>
        <w:spacing w:after="0" w:line="8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shares outstanding as of February 8, 2021, we will have 19,221,568 shares of common stock outstanding after this offering. Of these shares, the common stock sold in this offering will be freely tradable in the United States, except for any shares purchased by our “affiliates” as defined in Rule 144 under the Securities Act. The holders of 6,308,943 shares of outstanding common stock have agreed with the underwriters, subject to certain exceptions, not to dispose of or hedge any of their common stock during the 180-day period beginning on the date of the IPO prospectus (which period may be reduced to a minimum of 90 days if we meet certain stock price milestones), except with the prior written consent of the underwriters. After the expiration of such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6"/>
                <w:szCs w:val="16"/>
                <w:b w:val="1"/>
                <w:bCs w:val="1"/>
                <w:color w:val="auto"/>
                <w:w w:val="93"/>
              </w:rPr>
              <w:t>Number of Shares and % of Total</w:t>
            </w:r>
          </w:p>
        </w:tc>
        <w:tc>
          <w:tcPr>
            <w:tcW w:w="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8"/>
                <w:szCs w:val="18"/>
                <w:color w:val="auto"/>
              </w:rPr>
            </w:pPr>
          </w:p>
        </w:tc>
        <w:tc>
          <w:tcPr>
            <w:tcW w:w="5640" w:type="dxa"/>
            <w:vAlign w:val="bottom"/>
          </w:tcPr>
          <w:p>
            <w:pPr>
              <w:ind w:left="1320"/>
              <w:spacing w:after="0"/>
              <w:rPr>
                <w:sz w:val="20"/>
                <w:szCs w:val="20"/>
                <w:color w:val="auto"/>
              </w:rPr>
            </w:pPr>
            <w:r>
              <w:rPr>
                <w:rFonts w:ascii="Arial" w:cs="Arial" w:eastAsia="Arial" w:hAnsi="Arial"/>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7"/>
        </w:trPr>
        <w:tc>
          <w:tcPr>
            <w:tcW w:w="23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11,765,555, or 61.2%</w:t>
            </w:r>
          </w:p>
        </w:tc>
        <w:tc>
          <w:tcPr>
            <w:tcW w:w="8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Immediately after this offering.</w:t>
            </w: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0"/>
                <w:szCs w:val="20"/>
                <w:color w:val="auto"/>
              </w:rPr>
            </w:pPr>
            <w:r>
              <w:rPr>
                <w:rFonts w:ascii="Arial" w:cs="Arial" w:eastAsia="Arial" w:hAnsi="Arial"/>
                <w:sz w:val="18"/>
                <w:szCs w:val="18"/>
                <w:color w:val="auto"/>
              </w:rPr>
              <w:t>6,308,943, or 32.8%</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2"/>
              </w:rPr>
              <w:t>180 days after the date of the IPO prospectus (which period may be reduced</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6"/>
              </w:rPr>
              <w:t>to a minimum of 90 days if we meet certain stock price milestones) due to</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1"/>
              </w:rPr>
              <w:t>contractual obligations and lock-up agreements between the holders of these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shares and the underwriters. However, the underwriters can waive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3"/>
              </w:rPr>
              <w:t>provisions of these lock-up agreements and allow these stockholders to sell</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3"/>
              </w:rPr>
              <w:t>their shares at any time, provided their respective six-month holding periods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under Rule 144 have expired.</w:t>
            </w:r>
          </w:p>
        </w:tc>
        <w:tc>
          <w:tcPr>
            <w:tcW w:w="0" w:type="dxa"/>
            <w:vAlign w:val="bottom"/>
          </w:tcPr>
          <w:p>
            <w:pPr>
              <w:spacing w:after="0"/>
              <w:rPr>
                <w:sz w:val="1"/>
                <w:szCs w:val="1"/>
                <w:color w:val="auto"/>
              </w:rPr>
            </w:pPr>
          </w:p>
        </w:tc>
      </w:tr>
      <w:tr>
        <w:trPr>
          <w:trHeight w:val="391"/>
        </w:trPr>
        <w:tc>
          <w:tcPr>
            <w:tcW w:w="2380" w:type="dxa"/>
            <w:vAlign w:val="bottom"/>
          </w:tcPr>
          <w:p>
            <w:pPr>
              <w:spacing w:after="0"/>
              <w:rPr>
                <w:sz w:val="20"/>
                <w:szCs w:val="20"/>
                <w:color w:val="auto"/>
              </w:rPr>
            </w:pPr>
            <w:r>
              <w:rPr>
                <w:rFonts w:ascii="Arial" w:cs="Arial" w:eastAsia="Arial" w:hAnsi="Arial"/>
                <w:sz w:val="18"/>
                <w:szCs w:val="18"/>
                <w:color w:val="auto"/>
              </w:rPr>
              <w:t>7,456,013, or 38.8%</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0"/>
              </w:rPr>
              <w:t>From time to time after the date 180 days after the date of the IPO prospectus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8"/>
              </w:rPr>
              <w:t>upon expiration of their respective six-month holding periods in the U.S.</w:t>
            </w:r>
          </w:p>
        </w:tc>
        <w:tc>
          <w:tcPr>
            <w:tcW w:w="0" w:type="dxa"/>
            <w:vAlign w:val="bottom"/>
          </w:tcPr>
          <w:p>
            <w:pPr>
              <w:spacing w:after="0"/>
              <w:rPr>
                <w:sz w:val="1"/>
                <w:szCs w:val="1"/>
                <w:color w:val="auto"/>
              </w:rPr>
            </w:pPr>
          </w:p>
        </w:tc>
      </w:tr>
      <w:tr>
        <w:trPr>
          <w:trHeight w:val="432"/>
        </w:trPr>
        <w:tc>
          <w:tcPr>
            <w:tcW w:w="23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387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In addition, we may file a registration statement to register the approximately 4,359,509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110"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4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80"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57" w:lineRule="exact"/>
        <w:rPr>
          <w:rFonts w:ascii="Arial" w:cs="Arial" w:eastAsia="Arial" w:hAnsi="Arial"/>
          <w:sz w:val="18"/>
          <w:szCs w:val="18"/>
          <w:color w:val="auto"/>
        </w:rPr>
      </w:pPr>
    </w:p>
    <w:p>
      <w:pPr>
        <w:ind w:left="1320" w:right="539" w:hanging="434"/>
        <w:spacing w:after="0" w:line="275" w:lineRule="auto"/>
        <w:tabs>
          <w:tab w:leader="none" w:pos="13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0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87"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public offering price of our common stock is substantially higher than the net tangible book value per share of our outstanding common stock immediately after this offering. Therefore, if you purchase our common stock in this offering, you will incur immediate dilution of $6.45 in the net tangible book value per share from the price you paid. In addition, following this offering, purchasers in the offering will have contributed 44.8% of the total consideration paid by our stockholders to purchase shares of common stock, in exchange for acquiring approximately 29.2% of our total outstanding shares as of February 7, 2021 after giving effect to this offering. The exercise of outstanding stock options will result in further dilution.</w:t>
      </w:r>
    </w:p>
    <w:p>
      <w:pPr>
        <w:spacing w:after="0" w:line="177" w:lineRule="exact"/>
        <w:rPr>
          <w:sz w:val="20"/>
          <w:szCs w:val="20"/>
          <w:color w:val="auto"/>
        </w:rPr>
      </w:pPr>
    </w:p>
    <w:p>
      <w:pPr>
        <w:ind w:left="460" w:right="61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1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69" w:lineRule="auto"/>
        <w:rPr>
          <w:sz w:val="20"/>
          <w:szCs w:val="20"/>
          <w:color w:val="auto"/>
        </w:rPr>
      </w:pPr>
      <w:r>
        <w:rPr>
          <w:rFonts w:ascii="Arial" w:cs="Arial" w:eastAsia="Arial" w:hAnsi="Arial"/>
          <w:sz w:val="17"/>
          <w:szCs w:val="17"/>
          <w:color w:val="auto"/>
        </w:rPr>
        <w:t>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1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9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not and do not expect to declare any dividends to our shareholders in the foreseeable future.</w:t>
      </w:r>
    </w:p>
    <w:p>
      <w:pPr>
        <w:spacing w:after="0" w:line="16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103"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90"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gatherings of people in public places.</w:t>
      </w:r>
    </w:p>
    <w:p>
      <w:pPr>
        <w:spacing w:after="0" w:line="15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94"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55"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A prolonged economic downturn, particularly in light of the COVID-19 pandemic, could adversely affect our business.</w:t>
      </w:r>
    </w:p>
    <w:p>
      <w:pPr>
        <w:spacing w:after="0" w:line="76"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Increases in costs, disruption of supply or shortage of raw materials could harm our business.</w:t>
      </w:r>
    </w:p>
    <w:p>
      <w:pPr>
        <w:spacing w:after="0" w:line="142"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13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8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89" w:lineRule="exact"/>
        <w:rPr>
          <w:sz w:val="20"/>
          <w:szCs w:val="20"/>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the lock-up agreement or other restrictions on the ability of our stockholders to sell shares after this offering;</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companies similar to ours;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144"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Our failure to meet the continuing listing requirements of The NASDAQ Capital Market could result in a de-listing of our securities.</w:t>
      </w:r>
    </w:p>
    <w:p>
      <w:pPr>
        <w:spacing w:after="0" w:line="103"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If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96" w:lineRule="exact"/>
        <w:rPr>
          <w:sz w:val="20"/>
          <w:szCs w:val="20"/>
          <w:color w:val="auto"/>
        </w:rPr>
      </w:pPr>
    </w:p>
    <w:p>
      <w:pPr>
        <w:ind w:left="460" w:right="1119"/>
        <w:spacing w:after="0" w:line="342" w:lineRule="auto"/>
        <w:rPr>
          <w:sz w:val="20"/>
          <w:szCs w:val="20"/>
          <w:color w:val="auto"/>
        </w:rPr>
      </w:pPr>
      <w:r>
        <w:rPr>
          <w:rFonts w:ascii="Arial" w:cs="Arial" w:eastAsia="Arial" w:hAnsi="Arial"/>
          <w:sz w:val="16"/>
          <w:szCs w:val="16"/>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56"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96"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57" w:lineRule="exact"/>
        <w:rPr>
          <w:sz w:val="20"/>
          <w:szCs w:val="20"/>
          <w:color w:val="auto"/>
        </w:rPr>
      </w:pPr>
    </w:p>
    <w:p>
      <w:pPr>
        <w:ind w:left="460" w:right="659"/>
        <w:spacing w:after="0" w:line="327" w:lineRule="auto"/>
        <w:rPr>
          <w:sz w:val="20"/>
          <w:szCs w:val="20"/>
          <w:color w:val="auto"/>
        </w:rPr>
      </w:pPr>
      <w:r>
        <w:rPr>
          <w:rFonts w:ascii="Arial" w:cs="Arial" w:eastAsia="Arial" w:hAnsi="Arial"/>
          <w:sz w:val="15"/>
          <w:szCs w:val="15"/>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72"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the IPO.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9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1"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If our shares of common stock become subject to the penny stock rules, it would become more difficult to trade our shares.</w:t>
      </w:r>
    </w:p>
    <w:p>
      <w:pPr>
        <w:spacing w:after="0" w:line="76"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financial and operational projections that we may make from time to time are subject to inherent risks.</w:t>
      </w:r>
    </w:p>
    <w:p>
      <w:pPr>
        <w:spacing w:after="0" w:line="19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were to dissolve, the holders of our securities may lose all or substantial amounts of their investments.</w:t>
      </w:r>
    </w:p>
    <w:p>
      <w:pPr>
        <w:spacing w:after="0" w:line="17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88"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1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64" w:lineRule="exact"/>
        <w:rPr>
          <w:sz w:val="20"/>
          <w:szCs w:val="20"/>
          <w:color w:val="auto"/>
        </w:rPr>
      </w:pPr>
    </w:p>
    <w:p>
      <w:pPr>
        <w:ind w:left="460" w:right="1259"/>
        <w:spacing w:after="0" w:line="342" w:lineRule="auto"/>
        <w:rPr>
          <w:sz w:val="20"/>
          <w:szCs w:val="20"/>
          <w:color w:val="auto"/>
        </w:rPr>
      </w:pPr>
      <w:r>
        <w:rPr>
          <w:rFonts w:ascii="Arial" w:cs="Arial" w:eastAsia="Arial" w:hAnsi="Arial"/>
          <w:sz w:val="16"/>
          <w:szCs w:val="16"/>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5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24" w:lineRule="exact"/>
        <w:rPr>
          <w:sz w:val="20"/>
          <w:szCs w:val="20"/>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25"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4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00"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and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symbols, but we will assert, to the fullest extent under applicable law, our rights to our copyrights, trade names and trademarks. All other trademarks are the property of their respective owners.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879" w:firstLine="432"/>
        <w:spacing w:after="0" w:line="301" w:lineRule="auto"/>
        <w:rPr>
          <w:sz w:val="20"/>
          <w:szCs w:val="20"/>
          <w:color w:val="auto"/>
        </w:rPr>
      </w:pPr>
      <w:r>
        <w:rPr>
          <w:rFonts w:ascii="Arial" w:cs="Arial" w:eastAsia="Arial" w:hAnsi="Arial"/>
          <w:sz w:val="16"/>
          <w:szCs w:val="16"/>
          <w:color w:val="auto"/>
        </w:rPr>
        <w:t>We estimate that we will receive net proceeds from this offering of approximately $69,516,000, after deducting the underwriting discounts and commissions, including an underwriting discount of 7%, and estimated offering expenses payable by us. If the underwriters exercise their option to purchase additional shares, we estimate that we will receive an additional $10,462,500 in net proceeds.</w:t>
      </w:r>
    </w:p>
    <w:p>
      <w:pPr>
        <w:spacing w:after="0" w:line="9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intend to use the net proceeds from this offering for working capital and general corporate purposes, including investments in, or acquisitions of, complementary businesses, services or technologies that we believe would allow us to deliver better cultivation results, such as companies that focus on LED lighting solutions, environmental controls or nutrients (although we do not have any agreements, formal or informal, and we have not, nor has anyone on our behalf, held any discussions or negotiations, directly or indirectly, with respect to any potential acquisition targets). The foregoing expected use of net proceeds from this offering represents our intentions based upon our current plans and business conditions. We may find it necessary or advisable to use the net proceeds from this offering for other purposes, and we will have broad discretion in the application of net proceeds from this offering.</w:t>
      </w:r>
    </w:p>
    <w:p>
      <w:pPr>
        <w:spacing w:after="0" w:line="11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Pending specific utilization of the net proceeds as described above, we intend to invest the net proceeds of the offering in short-term investment grade and U.S. government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We have never paid cash dividends on any of our capital stock and currently intend to retain our future earnings, if any, to fund the development and growth of our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September 30, 2020:</w:t>
      </w:r>
    </w:p>
    <w:p>
      <w:pPr>
        <w:spacing w:after="0" w:line="158" w:lineRule="exact"/>
        <w:rPr>
          <w:sz w:val="20"/>
          <w:szCs w:val="20"/>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1320" w:right="539" w:hanging="434"/>
        <w:spacing w:after="0" w:line="263"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shares of Series A Preferred Stock into 1,373,038 shares of common stock immediately prior to the closing of our IPO offering based on a conversion price of $7.72;</w:t>
      </w:r>
    </w:p>
    <w:p>
      <w:pPr>
        <w:spacing w:after="0" w:line="116" w:lineRule="exact"/>
        <w:rPr>
          <w:rFonts w:ascii="Arial" w:cs="Arial" w:eastAsia="Arial" w:hAnsi="Arial"/>
          <w:sz w:val="18"/>
          <w:szCs w:val="18"/>
          <w:color w:val="auto"/>
        </w:rPr>
      </w:pPr>
    </w:p>
    <w:p>
      <w:pPr>
        <w:ind w:left="1320" w:right="899" w:hanging="434"/>
        <w:spacing w:after="0" w:line="263"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promissory notes into 1,697,075 shares of common stock immediately prior to the closing of our IPO based on a conversion price of $7.72;</w:t>
      </w:r>
    </w:p>
    <w:p>
      <w:pPr>
        <w:spacing w:after="0" w:line="116" w:lineRule="exact"/>
        <w:rPr>
          <w:rFonts w:ascii="Arial" w:cs="Arial" w:eastAsia="Arial" w:hAnsi="Arial"/>
          <w:sz w:val="18"/>
          <w:szCs w:val="18"/>
          <w:color w:val="auto"/>
        </w:rPr>
      </w:pPr>
    </w:p>
    <w:p>
      <w:pPr>
        <w:ind w:left="1320" w:right="619" w:hanging="434"/>
        <w:spacing w:after="0" w:line="286" w:lineRule="auto"/>
        <w:tabs>
          <w:tab w:leader="none" w:pos="1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 pro forma basis, to give effect to the sale of 6,210,000 shares of common stock by us in our IPO at the IPO price of $10.00 per share, and after deducting the estimated underwriting discounts and commissions and estimated offering expenses payable by us; and</w:t>
      </w:r>
    </w:p>
    <w:p>
      <w:pPr>
        <w:spacing w:after="0" w:line="84" w:lineRule="exact"/>
        <w:rPr>
          <w:rFonts w:ascii="Arial" w:cs="Arial" w:eastAsia="Arial" w:hAnsi="Arial"/>
          <w:sz w:val="17"/>
          <w:szCs w:val="17"/>
          <w:color w:val="auto"/>
        </w:rPr>
      </w:pPr>
    </w:p>
    <w:p>
      <w:pPr>
        <w:ind w:left="1320" w:right="539" w:hanging="434"/>
        <w:spacing w:after="0" w:line="259"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sale of 5,555,555 shares of common stock by us in this offering based on a public offering price of $13.50 per share, and after deducting the estimated underwriting discounts and commissions and estimated offering expenses payable by us.</w:t>
      </w:r>
    </w:p>
    <w:p>
      <w:pPr>
        <w:spacing w:after="0" w:line="11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center"/>
              <w:ind w:right="960"/>
              <w:spacing w:after="0"/>
              <w:rPr>
                <w:sz w:val="20"/>
                <w:szCs w:val="20"/>
                <w:color w:val="auto"/>
              </w:rPr>
            </w:pPr>
            <w:r>
              <w:rPr>
                <w:rFonts w:ascii="Arial" w:cs="Arial" w:eastAsia="Arial" w:hAnsi="Arial"/>
                <w:sz w:val="16"/>
                <w:szCs w:val="16"/>
                <w:b w:val="1"/>
                <w:bCs w:val="1"/>
                <w:color w:val="auto"/>
                <w:w w:val="90"/>
              </w:rPr>
              <w:t>September 30, 2020</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left="134"/>
              <w:spacing w:after="0"/>
              <w:rPr>
                <w:sz w:val="20"/>
                <w:szCs w:val="20"/>
                <w:color w:val="auto"/>
              </w:rPr>
            </w:pPr>
            <w:r>
              <w:rPr>
                <w:rFonts w:ascii="Arial" w:cs="Arial" w:eastAsia="Arial" w:hAnsi="Arial"/>
                <w:sz w:val="16"/>
                <w:szCs w:val="16"/>
                <w:b w:val="1"/>
                <w:bCs w:val="1"/>
                <w:color w:val="auto"/>
                <w:w w:val="91"/>
              </w:rPr>
              <w:t>(unaudited)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8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line="182" w:lineRule="exact"/>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6"/>
                <w:szCs w:val="16"/>
                <w:b w:val="1"/>
                <w:bCs w:val="1"/>
                <w:color w:val="auto"/>
              </w:rPr>
              <w:t>Pro Forma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47"/>
        </w:trPr>
        <w:tc>
          <w:tcPr>
            <w:tcW w:w="48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$.001 par value, 3,000,000 shares authorized;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100,000 shares issued and outstanding, actual;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w w:val="91"/>
              </w:rPr>
              <w:t>0 shares issued and outstanding, pro forma and pro forma as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adjusted.</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50,000,000 shares authorized;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4,211,677 shares issued and outstanding, actual; 13,491,790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shares issued and outstanding, pro forma; 19,047,345 shares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pro forma as adjusted</w:t>
            </w:r>
            <w:r>
              <w:rPr>
                <w:rFonts w:ascii="Arial" w:cs="Arial" w:eastAsia="Arial" w:hAnsi="Arial"/>
                <w:sz w:val="20"/>
                <w:szCs w:val="20"/>
                <w:color w:val="auto"/>
                <w:vertAlign w:val="superscript"/>
              </w:rPr>
              <w:t>(1)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17,645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79,917</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149,661</w:t>
            </w:r>
          </w:p>
        </w:tc>
        <w:tc>
          <w:tcPr>
            <w:tcW w:w="0" w:type="dxa"/>
            <w:vAlign w:val="bottom"/>
          </w:tcPr>
          <w:p>
            <w:pPr>
              <w:spacing w:after="0"/>
              <w:rPr>
                <w:sz w:val="1"/>
                <w:szCs w:val="1"/>
                <w:color w:val="auto"/>
              </w:rPr>
            </w:pP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(13,455)</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(13,455)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w w:val="98"/>
              </w:rPr>
              <w:t>Indebtedness, including long-term debt, notes payable and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82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5,356</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67,303</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137,053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3960"/>
              <w:spacing w:after="0"/>
              <w:rPr>
                <w:sz w:val="20"/>
                <w:szCs w:val="20"/>
                <w:color w:val="auto"/>
              </w:rPr>
            </w:pPr>
            <w:r>
              <w:rPr>
                <w:rFonts w:ascii="Arial" w:cs="Arial" w:eastAsia="Arial" w:hAnsi="Arial"/>
                <w:sz w:val="18"/>
                <w:szCs w:val="18"/>
                <w:color w:val="auto"/>
              </w:rPr>
              <w:t>38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8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58" w:lineRule="exact"/>
        <w:rPr>
          <w:sz w:val="20"/>
          <w:szCs w:val="20"/>
          <w:color w:val="auto"/>
        </w:rPr>
      </w:pPr>
    </w:p>
    <w:p>
      <w:pPr>
        <w:ind w:left="1320" w:right="599" w:hanging="434"/>
        <w:spacing w:after="0" w:line="27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2,842,990 shares of common stock issuable upon the exercise of outstanding options at a weighted average exercise price of $3.63 per share;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1,516,519 shares reserved for issuance under our equity incentive plan;</w:t>
      </w:r>
    </w:p>
    <w:p>
      <w:pPr>
        <w:spacing w:after="0" w:line="144"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42" w:lineRule="exact"/>
        <w:rPr>
          <w:rFonts w:ascii="Arial" w:cs="Arial" w:eastAsia="Arial" w:hAnsi="Arial"/>
          <w:sz w:val="16"/>
          <w:szCs w:val="16"/>
          <w:color w:val="auto"/>
        </w:rPr>
      </w:pPr>
    </w:p>
    <w:p>
      <w:pPr>
        <w:ind w:left="1320" w:right="599" w:hanging="434"/>
        <w:spacing w:after="0" w:line="27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352,967 shares reserved for issuance under the representative’s warrants issued to the underwriters in connection with our IPO and this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16"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“Net tangible book value” is total assets minus the sum of liabilities and intangible assets. “Net tangible book value per share” is net tangible book value divided by the total number of shares outstanding on September 30, 2020. After giving effect to our sale of 5,555,555 shares of our common stock in this offering at a public offering price of $13.50 per share, and after deducting the estimated underwriting discounts and offering expenses payable by us, the pro forma as adjusted net tangible book value as of September 30, 2020 would have been $135,430,299, or $7.05 per share. This represents an immediate increase in pro forma net tangible book value of $2.23 per share to our existing stockholders and an immediate dilution in pro forma net tangible book value of $6.45 per share to investors purchasing shares of common stock in this offering at the public offering price.</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illustrates this dilution:</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460" w:type="dxa"/>
            <w:vAlign w:val="bottom"/>
            <w:tcBorders>
              <w:bottom w:val="single" w:sz="8" w:color="CCEEFF"/>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24"/>
                <w:szCs w:val="24"/>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the offering</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4"/>
                <w:szCs w:val="24"/>
                <w:color w:val="auto"/>
              </w:rPr>
            </w:pPr>
          </w:p>
        </w:tc>
      </w:tr>
      <w:tr>
        <w:trPr>
          <w:trHeight w:val="182"/>
        </w:trPr>
        <w:tc>
          <w:tcPr>
            <w:tcW w:w="686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share as of September 30, 2020 after the</w:t>
            </w: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68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4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the offering</w:t>
            </w: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99" w:firstLine="432"/>
        <w:spacing w:after="0" w:line="259"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will increase to $7.27 per share, representing an immediate increase to existing stockholders of $0.22 per share and an immediate dilution of $6.23 per share to new investors. If any shares are issued in connection with outstanding options, you will experience further dilution.</w:t>
      </w:r>
    </w:p>
    <w:p>
      <w:pPr>
        <w:spacing w:after="0" w:line="11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following table presents, on a pro forma basis as of September 30, 2020, the differences between the number of shares purchased from us, the total consideration paid to us in cash and the average price per share that existing stockholders and new investors paid. The calculation below is based on a public offering price of $13.50 per share, before deducting the estimated underwriting discounts and commissions and estimated offering expenses payable by us: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242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rPr>
              <w:t>Shares Purchased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4"/>
            <w:vMerge w:val="restart"/>
          </w:tcPr>
          <w:p>
            <w:pPr>
              <w:jc w:val="right"/>
              <w:ind w:right="560"/>
              <w:spacing w:after="0"/>
              <w:rPr>
                <w:sz w:val="20"/>
                <w:szCs w:val="20"/>
                <w:color w:val="auto"/>
              </w:rPr>
            </w:pPr>
            <w:r>
              <w:rPr>
                <w:rFonts w:ascii="Arial" w:cs="Arial" w:eastAsia="Arial" w:hAnsi="Arial"/>
                <w:sz w:val="16"/>
                <w:szCs w:val="16"/>
                <w:b w:val="1"/>
                <w:bCs w:val="1"/>
                <w:color w:val="auto"/>
              </w:rPr>
              <w:t>Total Consideration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center"/>
              <w:ind w:right="155"/>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Percent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13,491,790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92,427,738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New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5,555,555</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19,047,345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167,427,738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8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Assuming the underwriters’ option to purchase additional shares is exercised in full, sales in this offering will reduce the percentage of shares held by existing stockholders to 67.9% and will increase the number of shares held by our new investors to 6,388,888 shares, or 32.1%, assuming no purchases of our common stock by existing stockholders in this offering.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58" w:lineRule="exact"/>
        <w:rPr>
          <w:sz w:val="20"/>
          <w:szCs w:val="20"/>
          <w:color w:val="auto"/>
        </w:rPr>
      </w:pPr>
    </w:p>
    <w:p>
      <w:pPr>
        <w:ind w:left="1320" w:right="599" w:hanging="434"/>
        <w:spacing w:after="0" w:line="277"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2,842,990 shares of common stock issuable upon the exercise of outstanding options at a weighted average exercise price of $3.63 per share;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1,516,519 shares reserved for issuance under our equity incentive plan;</w:t>
      </w:r>
    </w:p>
    <w:p>
      <w:pPr>
        <w:spacing w:after="0" w:line="157"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56" w:lineRule="exact"/>
        <w:rPr>
          <w:rFonts w:ascii="Arial" w:cs="Arial" w:eastAsia="Arial" w:hAnsi="Arial"/>
          <w:sz w:val="16"/>
          <w:szCs w:val="16"/>
          <w:color w:val="auto"/>
        </w:rPr>
      </w:pPr>
    </w:p>
    <w:p>
      <w:pPr>
        <w:ind w:left="1320" w:right="599" w:hanging="434"/>
        <w:spacing w:after="0" w:line="277"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352,967 shares reserved for issuance under the representative’s warrants issued to the underwriters in connection with our IPO and this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2380" w:type="dxa"/>
            <w:vAlign w:val="bottom"/>
            <w:gridSpan w:val="6"/>
          </w:tcPr>
          <w:p>
            <w:pPr>
              <w:jc w:val="right"/>
              <w:ind w:right="5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8"/>
                <w:szCs w:val="18"/>
                <w:color w:val="auto"/>
              </w:rPr>
            </w:pPr>
          </w:p>
        </w:tc>
        <w:tc>
          <w:tcPr>
            <w:tcW w:w="238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Revenue,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4,088,000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1,769,000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7,734,000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2,425,000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2,716,000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2,846,000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1,238,000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9,332,000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907,000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(1,016,000)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(8,472,000)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Miscellaneous income (expense),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(139,000)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(3,042,000)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(8,611,000)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Loss attributable to non-controlling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(3,042,000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(1,014,000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(8,562,000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31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0"/>
              </w:rPr>
              <w:t>Weighted-average common shares used to</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compute basic and diluted net loss per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3,068,458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2,326,458</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4,163,848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2,883,896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Pro forma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1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1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Pro forma weighted-average common</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used to compute basic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common share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5,209,491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left="732"/>
              <w:spacing w:after="0"/>
              <w:rPr>
                <w:sz w:val="20"/>
                <w:szCs w:val="20"/>
                <w:color w:val="auto"/>
              </w:rPr>
            </w:pPr>
            <w:r>
              <w:rPr>
                <w:rFonts w:ascii="Arial" w:cs="Arial" w:eastAsia="Arial" w:hAnsi="Arial"/>
                <w:sz w:val="16"/>
                <w:szCs w:val="16"/>
                <w:b w:val="1"/>
                <w:bCs w:val="1"/>
                <w:color w:val="auto"/>
                <w:w w:val="84"/>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61"/>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8"/>
            <w:vMerge w:val="restart"/>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61"/>
              <w:spacing w:after="0" w:line="142"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206,000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4,032,000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3,821,000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w w:val="99"/>
              </w:rPr>
              <w:t>(1,758,000)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11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1-for-1.580814 reverse stock split of our outstanding common stock implemented on January 12,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Arial" w:cs="Arial" w:eastAsia="Arial" w:hAnsi="Arial"/>
          <w:sz w:val="17"/>
          <w:szCs w:val="17"/>
          <w:i w:val="1"/>
          <w:iCs w:val="1"/>
          <w:color w:val="auto"/>
        </w:rPr>
        <w:t>Agrify</w:t>
      </w:r>
      <w:r>
        <w:rPr>
          <w:rFonts w:ascii="Arial" w:cs="Arial" w:eastAsia="Arial" w:hAnsi="Arial"/>
          <w:sz w:val="17"/>
          <w:szCs w:val="17"/>
          <w:color w:val="auto"/>
        </w:rPr>
        <w:t xml:space="preserve"> “</w:t>
      </w:r>
      <w:r>
        <w:rPr>
          <w:rFonts w:ascii="Arial" w:cs="Arial" w:eastAsia="Arial" w:hAnsi="Arial"/>
          <w:sz w:val="17"/>
          <w:szCs w:val="17"/>
          <w:i w:val="1"/>
          <w:iCs w:val="1"/>
          <w:color w:val="auto"/>
        </w:rPr>
        <w:t>Precision Elevated</w:t>
      </w:r>
      <w:r>
        <w:rPr>
          <w:rFonts w:ascii="Arial" w:cs="Arial" w:eastAsia="Arial" w:hAnsi="Arial"/>
          <w:sz w:val="17"/>
          <w:szCs w:val="17"/>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0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HMH, a company that has been producing and assembling many of our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On January 27, 2021, we entered into an underwriting agreement with Maxim Group LLC, as representative of the underwriters named therein, in connection with our initial public offering (the “IPO”). On January 27, 2021, we announced the pricing of our IPO of 5,400,000 shares of common stock for a price of $10.00 per share, less certain underwriting discounts and commissions. We also granted the underwriters a 45-day option to purchase up to 810,000 additional shares of our common stock on the same terms and conditions for the purpose of covering any over-allotments in connection with the IPO.</w:t>
      </w:r>
    </w:p>
    <w:p>
      <w:pPr>
        <w:spacing w:after="0" w:line="110"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IPO closed on February 1, 2021 (the “IPO Closing Date”) and was made pursuant to our registration statement on Form S-1 (File No. 333- 251616), which was declared effective by the SEC on January 27, 2021 under the Securities Act, and our registration statement on Form S-1MEF (File No. 333-252490). A final prospectus describing the terms of the IPO was filed with the SEC on January 29, 2021.</w:t>
      </w:r>
    </w:p>
    <w:p>
      <w:pPr>
        <w:spacing w:after="0" w:line="90"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Subsequently, the underwriters exercised the over-allotment option, and on February 4, 2021, we closed on the sale of an additional 810,000 shares of common stock for a price of $10.00 per share, less a 7% underwriting commission. The exercise of the over-allotment option brings the total number of shares of common stock sold by us in connection with our IPO to 6,210,000 shares and the total net proceeds received in connection with the IPO to approximately $57 million, after deducting underwriting discounts and estimated offering expenses.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All outstanding shares of Series A Preferred Stock automatically converted immediately prior to the closing of our IPO into 1,373,038 shares of common stock at a conversion price of $7.72 per share.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w:t>
      </w:r>
    </w:p>
    <w:p>
      <w:pPr>
        <w:spacing w:after="0" w:line="131"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89"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97"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7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Purchase Prices: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Obligation to invest cash in profit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consideration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Identifiable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528" w:hanging="528"/>
        <w:spacing w:after="0"/>
        <w:tabs>
          <w:tab w:leader="none" w:pos="5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1,140,000</w:t>
      </w:r>
    </w:p>
    <w:p>
      <w:pPr>
        <w:spacing w:after="0" w:line="99" w:lineRule="exact"/>
        <w:rPr>
          <w:rFonts w:ascii="Arial" w:cs="Arial" w:eastAsia="Arial" w:hAnsi="Arial"/>
          <w:sz w:val="16"/>
          <w:szCs w:val="16"/>
          <w:color w:val="auto"/>
        </w:rPr>
      </w:pPr>
    </w:p>
    <w:p>
      <w:pPr>
        <w:ind w:left="528"/>
        <w:spacing w:after="0"/>
        <w:rPr>
          <w:rFonts w:ascii="Arial" w:cs="Arial" w:eastAsia="Arial" w:hAnsi="Arial"/>
          <w:sz w:val="16"/>
          <w:szCs w:val="16"/>
          <w:color w:val="auto"/>
        </w:rPr>
      </w:pPr>
      <w:r>
        <w:rPr>
          <w:rFonts w:ascii="Arial" w:cs="Arial" w:eastAsia="Arial" w:hAnsi="Arial"/>
          <w:sz w:val="16"/>
          <w:szCs w:val="16"/>
          <w:color w:val="auto"/>
        </w:rPr>
        <w:t>1,356,000</w:t>
      </w:r>
    </w:p>
    <w:p>
      <w:pPr>
        <w:spacing w:after="0" w:line="113"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207,000</w:t>
      </w:r>
    </w:p>
    <w:p>
      <w:pPr>
        <w:spacing w:after="0" w:line="73" w:lineRule="exact"/>
        <w:rPr>
          <w:sz w:val="20"/>
          <w:szCs w:val="20"/>
          <w:color w:val="auto"/>
        </w:rPr>
      </w:pPr>
    </w:p>
    <w:p>
      <w:pPr>
        <w:ind w:left="528" w:hanging="528"/>
        <w:spacing w:after="0"/>
        <w:tabs>
          <w:tab w:leader="none" w:pos="528"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2,703,000</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84" w:lineRule="exact"/>
        <w:rPr>
          <w:rFonts w:ascii="Arial" w:cs="Arial" w:eastAsia="Arial" w:hAnsi="Arial"/>
          <w:sz w:val="16"/>
          <w:szCs w:val="16"/>
          <w:b w:val="1"/>
          <w:bCs w:val="1"/>
          <w:color w:val="auto"/>
        </w:rPr>
      </w:pPr>
    </w:p>
    <w:p>
      <w:pPr>
        <w:ind w:left="648"/>
        <w:spacing w:after="0"/>
        <w:rPr>
          <w:rFonts w:ascii="Arial" w:cs="Arial" w:eastAsia="Arial" w:hAnsi="Arial"/>
          <w:sz w:val="16"/>
          <w:szCs w:val="16"/>
          <w:b w:val="1"/>
          <w:bCs w:val="1"/>
          <w:color w:val="auto"/>
        </w:rPr>
      </w:pPr>
      <w:r>
        <w:rPr>
          <w:rFonts w:ascii="Arial" w:cs="Arial" w:eastAsia="Arial" w:hAnsi="Arial"/>
          <w:sz w:val="16"/>
          <w:szCs w:val="16"/>
          <w:color w:val="auto"/>
        </w:rPr>
        <w:t>568,000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-501650</wp:posOffset>
            </wp:positionV>
            <wp:extent cx="78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2">
            <w:col w:w="6592" w:space="720"/>
            <w:col w:w="1707"/>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Brand rights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amount of revenue of TriGrow included in our condensed consolidated statement of operations from the acquisition date of January 22, 2020 to September 30, 2020 was $4,000,000.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58"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113"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831,000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(649,000)</w:t>
            </w: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(24,000)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19" w:firstLine="432"/>
        <w:spacing w:after="0" w:line="277" w:lineRule="auto"/>
        <w:rPr>
          <w:sz w:val="20"/>
          <w:szCs w:val="20"/>
          <w:color w:val="auto"/>
        </w:rPr>
      </w:pPr>
      <w:r>
        <w:rPr>
          <w:rFonts w:ascii="Arial" w:cs="Arial" w:eastAsia="Arial" w:hAnsi="Arial"/>
          <w:sz w:val="18"/>
          <w:szCs w:val="18"/>
          <w:color w:val="auto"/>
        </w:rPr>
        <w:t>The amount of revenue of HMH included in our condensed consolidated statement of operations from the acquisition date of July 22, 2020 to September 30, 2020 was $0.</w:t>
      </w:r>
    </w:p>
    <w:p>
      <w:pPr>
        <w:spacing w:after="0" w:line="103"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following pro forma financial information summarizes the combined results of operations for us, TriGrow and HMH, as though the acquisition of TriGrow and HMH occurred on January 1, 2019.</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7,766,000</w:t>
            </w:r>
          </w:p>
        </w:tc>
        <w:tc>
          <w:tcPr>
            <w:tcW w:w="2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2,266,000</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5,425,000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9,720,000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5,362,000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5"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69"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110"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05"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total proceeds of $44,410. The PPP Loan is scheduled to mature on July 27, 2022, has an interest rate of 1.00% per annum and is subject to the terms and conditions mentioned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 and Warrants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13"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06"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9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As of September 30, 2020, a total of $5,800,000 of Notes and warrants to purchase 366,670 shares of common stock were subscribed. Through September 30, 2020, the aggregate relative fair value of the warrants of $1,362,000 was recorded as debt discount at issuance and is being amortized over the term of the respective Notes.</w:t>
      </w:r>
    </w:p>
    <w:p>
      <w:pPr>
        <w:spacing w:after="0" w:line="119" w:lineRule="exact"/>
        <w:rPr>
          <w:sz w:val="20"/>
          <w:szCs w:val="20"/>
          <w:color w:val="auto"/>
        </w:rPr>
      </w:pPr>
    </w:p>
    <w:p>
      <w:pPr>
        <w:ind w:left="460" w:right="679" w:firstLine="432"/>
        <w:spacing w:after="0" w:line="289" w:lineRule="auto"/>
        <w:rPr>
          <w:sz w:val="20"/>
          <w:szCs w:val="20"/>
          <w:color w:val="auto"/>
        </w:rPr>
      </w:pPr>
      <w:r>
        <w:rPr>
          <w:rFonts w:ascii="Arial" w:cs="Arial" w:eastAsia="Arial" w:hAnsi="Arial"/>
          <w:sz w:val="16"/>
          <w:szCs w:val="16"/>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85"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All of the outstanding Notes converted into an aggregate of 1,697,075 shares of our common stock on February 1, 2021, the closing date of our IPO.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27"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Upon conversion of our outstanding Notes on February 1, 2021, the closing date of our IPO, all of the outstanding derivative liabilities were cancelled.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5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86"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2"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89"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Other Policies and Judgments — </w:t>
      </w:r>
      <w:r>
        <w:rPr>
          <w:rFonts w:ascii="Arial" w:cs="Arial" w:eastAsia="Arial" w:hAnsi="Arial"/>
          <w:sz w:val="17"/>
          <w:szCs w:val="17"/>
          <w:color w:val="auto"/>
        </w:rPr>
        <w:t>We have elected to treat shipping and handling activities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0"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 We receive payment from customers based on specified terms that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97"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03"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we have acquired or may acquire in the future include but are not limited to:</w:t>
      </w:r>
    </w:p>
    <w:p>
      <w:pPr>
        <w:spacing w:after="0" w:line="103" w:lineRule="exact"/>
        <w:rPr>
          <w:sz w:val="20"/>
          <w:szCs w:val="20"/>
          <w:color w:val="auto"/>
        </w:rPr>
      </w:pPr>
    </w:p>
    <w:p>
      <w:pPr>
        <w:ind w:left="1320" w:right="69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89" w:lineRule="exact"/>
        <w:rPr>
          <w:rFonts w:ascii="Arial" w:cs="Arial" w:eastAsia="Arial" w:hAnsi="Arial"/>
          <w:sz w:val="18"/>
          <w:szCs w:val="18"/>
          <w:color w:val="auto"/>
        </w:rPr>
      </w:pPr>
    </w:p>
    <w:p>
      <w:pPr>
        <w:ind w:left="1320" w:right="579" w:hanging="434"/>
        <w:spacing w:after="0" w:line="342" w:lineRule="auto"/>
        <w:tabs>
          <w:tab w:leader="none" w:pos="1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acquired company’s brand and competitive position, as well as assumptions about the period of time the acquired brand will continue to be used in the combined company’s product portfolio;</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89"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9" w:lineRule="auto"/>
        <w:rPr>
          <w:sz w:val="20"/>
          <w:szCs w:val="20"/>
          <w:color w:val="auto"/>
        </w:rPr>
      </w:pPr>
      <w:r>
        <w:rPr>
          <w:rFonts w:ascii="Arial" w:cs="Arial" w:eastAsia="Arial" w:hAnsi="Arial"/>
          <w:sz w:val="18"/>
          <w:szCs w:val="18"/>
          <w:color w:val="auto"/>
        </w:rPr>
        <w:t>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19" w:lineRule="exact"/>
        <w:rPr>
          <w:sz w:val="20"/>
          <w:szCs w:val="20"/>
          <w:color w:val="auto"/>
        </w:rPr>
      </w:pPr>
    </w:p>
    <w:p>
      <w:pPr>
        <w:ind w:left="460" w:right="879" w:firstLine="432"/>
        <w:spacing w:after="0" w:line="296" w:lineRule="auto"/>
        <w:rPr>
          <w:sz w:val="20"/>
          <w:szCs w:val="20"/>
          <w:color w:val="auto"/>
        </w:rPr>
      </w:pPr>
      <w:r>
        <w:rPr>
          <w:rFonts w:ascii="Arial" w:cs="Arial" w:eastAsia="Arial" w:hAnsi="Arial"/>
          <w:sz w:val="16"/>
          <w:szCs w:val="16"/>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7"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84"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It is important that the discussion of our operating results that follows be read in conjunction with the critical accounting policies disclosed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common stock</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1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19"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44"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2020 and 2019:</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7,734,000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2,425,000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6,874,000</w:t>
            </w: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2,716,000</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860,000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attributable to non-controlling interest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loss attributable to Agrify Corporation.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left="400"/>
        <w:spacing w:after="0"/>
        <w:tabs>
          <w:tab w:leader="none" w:pos="1820" w:val="left"/>
        </w:tabs>
        <w:rPr>
          <w:sz w:val="20"/>
          <w:szCs w:val="20"/>
          <w:color w:val="auto"/>
        </w:rPr>
      </w:pPr>
      <w:r>
        <w:rPr>
          <w:rFonts w:ascii="Arial" w:cs="Arial" w:eastAsia="Arial" w:hAnsi="Arial"/>
          <w:sz w:val="18"/>
          <w:szCs w:val="18"/>
          <w:color w:val="auto"/>
        </w:rPr>
        <w:t>2,392,000</w:t>
      </w:r>
      <w:r>
        <w:rPr>
          <w:sz w:val="20"/>
          <w:szCs w:val="20"/>
          <w:color w:val="auto"/>
        </w:rPr>
        <w:tab/>
      </w:r>
      <w:r>
        <w:rPr>
          <w:rFonts w:ascii="Arial" w:cs="Arial" w:eastAsia="Arial" w:hAnsi="Arial"/>
          <w:sz w:val="18"/>
          <w:szCs w:val="18"/>
          <w:color w:val="auto"/>
        </w:rPr>
        <w:t>31,000</w:t>
      </w:r>
    </w:p>
    <w:p>
      <w:pPr>
        <w:spacing w:after="0" w:line="90"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6,940,000</w:t>
      </w:r>
      <w:r>
        <w:rPr>
          <w:sz w:val="20"/>
          <w:szCs w:val="20"/>
          <w:color w:val="auto"/>
        </w:rPr>
        <w:tab/>
      </w:r>
      <w:r>
        <w:rPr>
          <w:rFonts w:ascii="Arial" w:cs="Arial" w:eastAsia="Arial" w:hAnsi="Arial"/>
          <w:sz w:val="18"/>
          <w:szCs w:val="18"/>
          <w:color w:val="auto"/>
        </w:rPr>
        <w:t>876,000</w:t>
      </w:r>
    </w:p>
    <w:p>
      <w:pPr>
        <w:spacing w:after="0" w:line="77"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9,332,000</w:t>
      </w:r>
      <w:r>
        <w:rPr>
          <w:sz w:val="20"/>
          <w:szCs w:val="20"/>
          <w:color w:val="auto"/>
        </w:rPr>
        <w:tab/>
      </w:r>
      <w:r>
        <w:rPr>
          <w:rFonts w:ascii="Arial" w:cs="Arial" w:eastAsia="Arial" w:hAnsi="Arial"/>
          <w:sz w:val="18"/>
          <w:szCs w:val="18"/>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580" w:val="left"/>
        </w:tabs>
        <w:rPr>
          <w:sz w:val="20"/>
          <w:szCs w:val="20"/>
          <w:color w:val="auto"/>
        </w:rPr>
      </w:pPr>
      <w:r>
        <w:rPr>
          <w:rFonts w:ascii="Arial" w:cs="Arial" w:eastAsia="Arial" w:hAnsi="Arial"/>
          <w:sz w:val="18"/>
          <w:szCs w:val="18"/>
          <w:color w:val="auto"/>
        </w:rPr>
        <w:t>8,472,000</w:t>
      </w:r>
      <w:r>
        <w:rPr>
          <w:sz w:val="20"/>
          <w:szCs w:val="20"/>
          <w:color w:val="auto"/>
        </w:rPr>
        <w:tab/>
      </w:r>
      <w:r>
        <w:rPr>
          <w:rFonts w:ascii="Arial" w:cs="Arial" w:eastAsia="Arial" w:hAnsi="Arial"/>
          <w:sz w:val="18"/>
          <w:szCs w:val="18"/>
          <w:color w:val="auto"/>
        </w:rPr>
        <w:t>1,198,000</w:t>
      </w:r>
    </w:p>
    <w:p>
      <w:pPr>
        <w:spacing w:after="0" w:line="90" w:lineRule="exact"/>
        <w:rPr>
          <w:sz w:val="20"/>
          <w:szCs w:val="20"/>
          <w:color w:val="auto"/>
        </w:rPr>
      </w:pPr>
    </w:p>
    <w:p>
      <w:pPr>
        <w:jc w:val="both"/>
        <w:ind w:left="540"/>
        <w:spacing w:after="0"/>
        <w:tabs>
          <w:tab w:leader="none" w:pos="1900" w:val="left"/>
        </w:tabs>
        <w:rPr>
          <w:sz w:val="20"/>
          <w:szCs w:val="20"/>
          <w:color w:val="auto"/>
        </w:rPr>
      </w:pPr>
      <w:r>
        <w:rPr>
          <w:rFonts w:ascii="Arial" w:cs="Arial" w:eastAsia="Arial" w:hAnsi="Arial"/>
          <w:sz w:val="18"/>
          <w:szCs w:val="18"/>
          <w:color w:val="auto"/>
        </w:rPr>
        <w:t>139,000</w:t>
      </w:r>
      <w:r>
        <w:rPr>
          <w:sz w:val="20"/>
          <w:szCs w:val="20"/>
          <w:color w:val="auto"/>
        </w:rPr>
        <w:tab/>
      </w:r>
      <w:r>
        <w:rPr>
          <w:rFonts w:ascii="Arial" w:cs="Arial" w:eastAsia="Arial" w:hAnsi="Arial"/>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43" w:lineRule="exact"/>
        <w:rPr>
          <w:sz w:val="20"/>
          <w:szCs w:val="20"/>
          <w:color w:val="auto"/>
        </w:rPr>
      </w:pPr>
    </w:p>
    <w:p>
      <w:pPr>
        <w:jc w:val="both"/>
        <w:ind w:left="420"/>
        <w:spacing w:after="0"/>
        <w:tabs>
          <w:tab w:leader="none" w:pos="1580" w:val="left"/>
        </w:tabs>
        <w:rPr>
          <w:sz w:val="20"/>
          <w:szCs w:val="20"/>
          <w:color w:val="auto"/>
        </w:rPr>
      </w:pPr>
      <w:r>
        <w:rPr>
          <w:rFonts w:ascii="Arial" w:cs="Arial" w:eastAsia="Arial" w:hAnsi="Arial"/>
          <w:sz w:val="18"/>
          <w:szCs w:val="18"/>
          <w:color w:val="auto"/>
        </w:rPr>
        <w:t>8,611,000</w:t>
      </w:r>
      <w:r>
        <w:rPr>
          <w:sz w:val="20"/>
          <w:szCs w:val="20"/>
          <w:color w:val="auto"/>
        </w:rPr>
        <w:tab/>
      </w:r>
      <w:r>
        <w:rPr>
          <w:rFonts w:ascii="Arial" w:cs="Arial" w:eastAsia="Arial" w:hAnsi="Arial"/>
          <w:sz w:val="18"/>
          <w:szCs w:val="18"/>
          <w:color w:val="auto"/>
        </w:rPr>
        <w:t>1,201,000</w:t>
      </w:r>
    </w:p>
    <w:p>
      <w:pPr>
        <w:spacing w:after="0" w:line="90" w:lineRule="exact"/>
        <w:rPr>
          <w:sz w:val="20"/>
          <w:szCs w:val="20"/>
          <w:color w:val="auto"/>
        </w:rPr>
      </w:pPr>
    </w:p>
    <w:p>
      <w:pPr>
        <w:jc w:val="both"/>
        <w:ind w:left="620"/>
        <w:spacing w:after="0"/>
        <w:tabs>
          <w:tab w:leader="none" w:pos="2120" w:val="left"/>
        </w:tabs>
        <w:rPr>
          <w:sz w:val="20"/>
          <w:szCs w:val="20"/>
          <w:color w:val="auto"/>
        </w:rPr>
      </w:pPr>
      <w:r>
        <w:rPr>
          <w:rFonts w:ascii="Arial" w:cs="Arial" w:eastAsia="Arial" w:hAnsi="Arial"/>
          <w:sz w:val="18"/>
          <w:szCs w:val="18"/>
          <w:color w:val="auto"/>
        </w:rPr>
        <w:t>49,000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8,562,000 $</w:t>
      </w:r>
      <w:r>
        <w:rPr>
          <w:sz w:val="20"/>
          <w:szCs w:val="20"/>
          <w:color w:val="auto"/>
        </w:rPr>
        <w:tab/>
      </w:r>
      <w:r>
        <w:rPr>
          <w:rFonts w:ascii="Arial" w:cs="Arial" w:eastAsia="Arial" w:hAnsi="Arial"/>
          <w:sz w:val="16"/>
          <w:szCs w:val="16"/>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1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1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ectPr>
          <w:pgSz w:w="11900" w:h="16838" w:orient="portrait"/>
          <w:cols w:equalWidth="0" w:num="1">
            <w:col w:w="9019"/>
          </w:cols>
          <w:pgMar w:left="1440" w:top="274" w:right="1440" w:bottom="1440" w:gutter="0" w:footer="0" w:header="0"/>
          <w:type w:val="continuous"/>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following table provides a breakdown of our revenue for the nine months ended September 30, 2020 and 2019:</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2,406,000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7,734,000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2,425,000</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120"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Cost of goods sold include direct cost of parts and outsourced assembly and installation services that are necessary for delivery of our products.</w:t>
      </w:r>
    </w:p>
    <w:p>
      <w:pPr>
        <w:spacing w:after="0" w:line="103"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following table provides a breakdown of our cost of revenue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3,945,000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4"/>
              </w:rPr>
              <w:t>2,929,000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6,874,000</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9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96" w:lineRule="auto"/>
        <w:rPr>
          <w:sz w:val="20"/>
          <w:szCs w:val="20"/>
          <w:color w:val="auto"/>
        </w:rPr>
      </w:pPr>
      <w:r>
        <w:rPr>
          <w:rFonts w:ascii="Arial" w:cs="Arial" w:eastAsia="Arial" w:hAnsi="Arial"/>
          <w:sz w:val="16"/>
          <w:szCs w:val="16"/>
          <w:color w:val="auto"/>
        </w:rPr>
        <w:t>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103" w:lineRule="exact"/>
        <w:rPr>
          <w:sz w:val="20"/>
          <w:szCs w:val="20"/>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44"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VFUs;</w:t>
      </w:r>
    </w:p>
    <w:p>
      <w:pPr>
        <w:spacing w:after="0" w:line="102"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56"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85" w:lineRule="exact"/>
        <w:rPr>
          <w:sz w:val="20"/>
          <w:szCs w:val="20"/>
          <w:color w:val="auto"/>
        </w:rPr>
      </w:pPr>
    </w:p>
    <w:p>
      <w:pPr>
        <w:ind w:left="460" w:right="719" w:firstLine="432"/>
        <w:spacing w:after="0" w:line="273" w:lineRule="auto"/>
        <w:rPr>
          <w:sz w:val="20"/>
          <w:szCs w:val="20"/>
          <w:color w:val="auto"/>
        </w:rPr>
      </w:pPr>
      <w:r>
        <w:rPr>
          <w:rFonts w:ascii="Arial" w:cs="Arial" w:eastAsia="Arial" w:hAnsi="Arial"/>
          <w:sz w:val="17"/>
          <w:szCs w:val="17"/>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 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have granted stock options to officers, directors and employees which have several vesting conditions, including an event-based vesting acceleration (defined as a change in control, including an initial public offering). The consummation of the IPO triggered a significant event-based stock compensation charge in the first quarter of 2021. Accordingly, the estimated share-based compensation cost for stock options granted as of September 30, 2020 is approximately $803,000.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Interest expense was $139,000 for the nine months ended September 30, 2020 compared to $3,000 for the nine months ended September 30, 2019, reflecting an increase of $136,000.</w:t>
      </w:r>
    </w:p>
    <w:p>
      <w:pPr>
        <w:spacing w:after="0" w:line="103"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attributable to non-controlling interest</w:t>
      </w:r>
    </w:p>
    <w:p>
      <w:pPr>
        <w:spacing w:after="0" w:line="144" w:lineRule="exact"/>
        <w:rPr>
          <w:sz w:val="20"/>
          <w:szCs w:val="20"/>
          <w:color w:val="auto"/>
        </w:rPr>
      </w:pPr>
    </w:p>
    <w:p>
      <w:pPr>
        <w:ind w:left="460" w:right="739" w:firstLine="432"/>
        <w:spacing w:after="0" w:line="269"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1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results of operations for the year ended December 31, 2019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2018:</w:t>
      </w:r>
    </w:p>
    <w:p>
      <w:pPr>
        <w:spacing w:after="0" w:line="184"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4,088,000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1,769,000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4,333,000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1,547,000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2,737,000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1,221,000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1,238,000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(1,016,000)</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(3,042,000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(1,014,000</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9" w:lineRule="auto"/>
        <w:rPr>
          <w:sz w:val="20"/>
          <w:szCs w:val="20"/>
          <w:color w:val="auto"/>
        </w:rPr>
      </w:pPr>
      <w:r>
        <w:rPr>
          <w:rFonts w:ascii="Arial" w:cs="Arial" w:eastAsia="Arial" w:hAnsi="Arial"/>
          <w:sz w:val="17"/>
          <w:szCs w:val="17"/>
          <w:color w:val="auto"/>
        </w:rPr>
        <w:t>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AVFUs, which includes:</w:t>
      </w:r>
    </w:p>
    <w:p>
      <w:pPr>
        <w:spacing w:after="0" w:line="76" w:lineRule="exact"/>
        <w:rPr>
          <w:sz w:val="20"/>
          <w:szCs w:val="20"/>
          <w:color w:val="auto"/>
        </w:rPr>
      </w:pPr>
    </w:p>
    <w:p>
      <w:pPr>
        <w:ind w:left="1320" w:hanging="434"/>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30"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AVFUs;</w:t>
      </w:r>
    </w:p>
    <w:p>
      <w:pPr>
        <w:spacing w:after="0" w:line="89"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43"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9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Other income consisted primarily of interest income charged to our customers for late payments and bank fees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net loss for the year ended December 31, 2019 was $(3,042,000) compared with a net loss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$(1,014,000) for the year ended December 31, 2018. The net loss is influenced by the matters discussed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sections of the Management Discussion and Analysis.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Our ability to continue as a going concern is dependent on our ability to raise additional capital and implement our business plan until we generate sufficient cash from operating activities to support our investment and financing needs. Prior to our IPO, we have been funded by revenues from operations and investments in our company. In connection with our IPO, we sold an aggregate of 6,210,000 shares of our common stock, including 810,000 shares pursuant to the underwriters’ over-allotment option, at an IPO price of $10.00 per share and received approximately $57 million in net proceeds.</w:t>
      </w:r>
    </w:p>
    <w:p>
      <w:pPr>
        <w:spacing w:after="0" w:line="8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As of February 8, 2021, we had $63,459,247 million in cash and cash equivalents. We believe that our cash and cash equivalents, including cash resulting from the issuance of our 2020 convertible promissory notes, cash resulting from the IPO, cash resulting from this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9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Indebtedness</w:t>
      </w:r>
    </w:p>
    <w:p>
      <w:pPr>
        <w:spacing w:after="0" w:line="14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Cashflow</w:t>
      </w:r>
    </w:p>
    <w:p>
      <w:pPr>
        <w:spacing w:after="0" w:line="135"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r>
      <w:tr>
        <w:trPr>
          <w:trHeight w:val="46"/>
        </w:trPr>
        <w:tc>
          <w:tcPr>
            <w:tcW w:w="3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(10,723,000)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(3,441,000)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49,000</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(1,195,000)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5"/>
              </w:rPr>
              <w:t>16,670,000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3,746,000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Operating Activities</w:t>
      </w:r>
    </w:p>
    <w:p>
      <w:pPr>
        <w:spacing w:after="0" w:line="131"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84"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80"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92"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63"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9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Investing Activities</w:t>
      </w:r>
    </w:p>
    <w:p>
      <w:pPr>
        <w:spacing w:after="0" w:line="131"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03"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pacing w:after="0" w:line="89"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investment activities in the year ended December 31, 2018.</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Financing Activities</w:t>
      </w:r>
    </w:p>
    <w:p>
      <w:pPr>
        <w:spacing w:after="0" w:line="131"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92" w:lineRule="exact"/>
        <w:rPr>
          <w:sz w:val="20"/>
          <w:szCs w:val="20"/>
          <w:color w:val="auto"/>
        </w:rPr>
      </w:pPr>
    </w:p>
    <w:p>
      <w:pPr>
        <w:jc w:val="both"/>
        <w:ind w:left="460" w:right="1099" w:firstLine="432"/>
        <w:spacing w:after="0" w:line="311" w:lineRule="auto"/>
        <w:rPr>
          <w:sz w:val="20"/>
          <w:szCs w:val="20"/>
          <w:color w:val="auto"/>
        </w:rPr>
      </w:pPr>
      <w:r>
        <w:rPr>
          <w:rFonts w:ascii="Arial" w:cs="Arial" w:eastAsia="Arial" w:hAnsi="Arial"/>
          <w:sz w:val="16"/>
          <w:szCs w:val="16"/>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financing activities in the year ended December 31, 2018.</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September 30, 2020, our contractual obligations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Payments Due by Period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&lt; 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5"/>
              </w:rPr>
              <w:t>1 – 3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3 – 5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6"/>
                <w:szCs w:val="16"/>
                <w:b w:val="1"/>
                <w:bCs w:val="1"/>
                <w:color w:val="auto"/>
                <w:w w:val="98"/>
              </w:rPr>
              <w:t>&gt; 5 years</w:t>
            </w:r>
          </w:p>
        </w:tc>
      </w:tr>
      <w:tr>
        <w:trPr>
          <w:trHeight w:val="46"/>
        </w:trPr>
        <w:tc>
          <w:tcPr>
            <w:tcW w:w="2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2"/>
        </w:trPr>
        <w:tc>
          <w:tcPr>
            <w:tcW w:w="2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Notes Payable, derivative liability and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5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5,356,000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4,963,000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Short term lease obligations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729,000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1,351,000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1,351,000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7,502,000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6,570,000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737,000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167,000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28,000</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Arial" w:cs="Arial" w:eastAsia="Arial" w:hAnsi="Arial"/>
          <w:sz w:val="16"/>
          <w:szCs w:val="16"/>
          <w:i w:val="1"/>
          <w:iCs w:val="1"/>
          <w:color w:val="auto"/>
        </w:rPr>
        <w:t>Agrify “Precision Elevated™”</w:t>
      </w:r>
      <w:r>
        <w:rPr>
          <w:rFonts w:ascii="Arial" w:cs="Arial" w:eastAsia="Arial" w:hAnsi="Arial"/>
          <w:sz w:val="16"/>
          <w:szCs w:val="16"/>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85"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6"/>
          <w:szCs w:val="16"/>
          <w:i w:val="1"/>
          <w:iCs w:val="1"/>
          <w:color w:val="auto"/>
        </w:rPr>
        <w:t>Agrify Vertical Farming Unit (AVFU)</w:t>
      </w:r>
      <w:r>
        <w:rPr>
          <w:rFonts w:ascii="Arial" w:cs="Arial" w:eastAsia="Arial" w:hAnsi="Arial"/>
          <w:sz w:val="16"/>
          <w:szCs w:val="16"/>
          <w:color w:val="auto"/>
        </w:rPr>
        <w:t xml:space="preserve">, as well as our proprietary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743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118745</wp:posOffset>
            </wp:positionV>
            <wp:extent cx="2811780" cy="2297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117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As of December 31, 2020, our backlog is $59.3 million and we expect to recognize approximately $40 million in 2021.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6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6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69"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62" w:lineRule="exact"/>
        <w:rPr>
          <w:sz w:val="20"/>
          <w:szCs w:val="20"/>
          <w:color w:val="auto"/>
        </w:rPr>
      </w:pPr>
    </w:p>
    <w:p>
      <w:pPr>
        <w:ind w:left="1320" w:right="519" w:hanging="434"/>
        <w:spacing w:after="0" w:line="271" w:lineRule="auto"/>
        <w:tabs>
          <w:tab w:leader="none" w:pos="1311"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70" w:lineRule="exact"/>
        <w:rPr>
          <w:rFonts w:ascii="Arial" w:cs="Arial" w:eastAsia="Arial" w:hAnsi="Arial"/>
          <w:sz w:val="17"/>
          <w:szCs w:val="17"/>
          <w:color w:val="auto"/>
        </w:rPr>
      </w:pPr>
    </w:p>
    <w:p>
      <w:pPr>
        <w:ind w:left="1320" w:right="559" w:hanging="434"/>
        <w:spacing w:after="0" w:line="259" w:lineRule="auto"/>
        <w:tabs>
          <w:tab w:leader="none" w:pos="1311"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479" w:hanging="434"/>
        <w:spacing w:after="0" w:line="271" w:lineRule="auto"/>
        <w:tabs>
          <w:tab w:leader="none" w:pos="1311"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Emphasis on Precision and Consistency Through Our Proprietary Grow Solutions. </w:t>
      </w:r>
      <w:r>
        <w:rPr>
          <w:rFonts w:ascii="Arial" w:cs="Arial" w:eastAsia="Arial" w:hAnsi="Arial"/>
          <w:sz w:val="17"/>
          <w:szCs w:val="17"/>
          <w:color w:val="auto"/>
        </w:rPr>
        <w:t>While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83" w:lineRule="exact"/>
        <w:rPr>
          <w:rFonts w:ascii="Arial" w:cs="Arial" w:eastAsia="Arial" w:hAnsi="Arial"/>
          <w:sz w:val="17"/>
          <w:szCs w:val="17"/>
          <w:b w:val="1"/>
          <w:bCs w:val="1"/>
          <w:i w:val="1"/>
          <w:iCs w:val="1"/>
          <w:color w:val="auto"/>
        </w:rPr>
      </w:pPr>
    </w:p>
    <w:p>
      <w:pPr>
        <w:ind w:left="1320" w:right="479" w:hanging="434"/>
        <w:spacing w:after="0" w:line="255"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 agriculture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320" w:right="639" w:hanging="434"/>
        <w:spacing w:after="0" w:line="293"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69" w:lineRule="exact"/>
        <w:rPr>
          <w:rFonts w:ascii="Arial" w:cs="Arial" w:eastAsia="Arial" w:hAnsi="Arial"/>
          <w:sz w:val="16"/>
          <w:szCs w:val="16"/>
          <w:color w:val="auto"/>
        </w:rPr>
      </w:pPr>
    </w:p>
    <w:p>
      <w:pPr>
        <w:ind w:left="1320" w:right="499" w:hanging="434"/>
        <w:spacing w:after="0" w:line="268" w:lineRule="auto"/>
        <w:tabs>
          <w:tab w:leader="none" w:pos="1311"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Strategic Investment from and Deep Integration with Large Asian Manufacturer.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89" w:lineRule="exact"/>
        <w:rPr>
          <w:rFonts w:ascii="Arial" w:cs="Arial" w:eastAsia="Arial" w:hAnsi="Arial"/>
          <w:sz w:val="17"/>
          <w:szCs w:val="17"/>
          <w:color w:val="auto"/>
        </w:rPr>
      </w:pPr>
    </w:p>
    <w:p>
      <w:pPr>
        <w:ind w:left="1320" w:right="499" w:hanging="434"/>
        <w:spacing w:after="0" w:line="287"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Joint Venture with Experienced Consulting and General Contractor of Industrial Facilities.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90" w:lineRule="exact"/>
        <w:rPr>
          <w:rFonts w:ascii="Arial" w:cs="Arial" w:eastAsia="Arial" w:hAnsi="Arial"/>
          <w:sz w:val="16"/>
          <w:szCs w:val="16"/>
          <w:color w:val="auto"/>
        </w:rPr>
      </w:pPr>
    </w:p>
    <w:p>
      <w:pPr>
        <w:ind w:left="1320" w:right="519" w:hanging="434"/>
        <w:spacing w:after="0" w:line="275" w:lineRule="auto"/>
        <w:tabs>
          <w:tab w:leader="none" w:pos="1311"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95" w:lineRule="exact"/>
        <w:rPr>
          <w:rFonts w:ascii="Arial" w:cs="Arial" w:eastAsia="Arial" w:hAnsi="Arial"/>
          <w:sz w:val="17"/>
          <w:szCs w:val="17"/>
          <w:color w:val="auto"/>
        </w:rPr>
      </w:pPr>
    </w:p>
    <w:p>
      <w:pPr>
        <w:ind w:left="1320" w:right="839" w:hanging="434"/>
        <w:spacing w:after="0" w:line="259" w:lineRule="auto"/>
        <w:tabs>
          <w:tab w:leader="none" w:pos="1311"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Indoor Agriculture Industry Overview</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8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96"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0"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7"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1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97"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11"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9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Well-Established Crop Market Opportunities</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07"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0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90"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15005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Crops Grown By Operation — Indoor Vertical Farming (2019 Global CEA Census)</w:t>
      </w:r>
    </w:p>
    <w:p>
      <w:pPr>
        <w:spacing w:after="0" w:line="135"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83"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Cannabis Market Opportunity</w:t>
      </w:r>
    </w:p>
    <w:p>
      <w:pPr>
        <w:spacing w:after="0" w:line="144"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1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01"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Outdoor cannabis has the lowest initial capital expenditures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9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25"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4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0" w:lineRule="exact"/>
        <w:rPr>
          <w:sz w:val="20"/>
          <w:szCs w:val="20"/>
          <w:color w:val="auto"/>
        </w:rPr>
      </w:pPr>
    </w:p>
    <w:p>
      <w:pPr>
        <w:jc w:val="both"/>
        <w:ind w:left="460" w:right="65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879" w:firstLine="432"/>
        <w:spacing w:after="0" w:line="293" w:lineRule="auto"/>
        <w:rPr>
          <w:sz w:val="20"/>
          <w:szCs w:val="20"/>
          <w:color w:val="auto"/>
        </w:rPr>
      </w:pPr>
      <w:r>
        <w:rPr>
          <w:rFonts w:ascii="Arial" w:cs="Arial" w:eastAsia="Arial" w:hAnsi="Arial"/>
          <w:sz w:val="16"/>
          <w:szCs w:val="16"/>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56"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Core Bundled Solution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 Vertical Farming Unit (AVFU)</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102870</wp:posOffset>
            </wp:positionV>
            <wp:extent cx="4834890" cy="3188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AVFU</w:t>
      </w:r>
    </w:p>
    <w:p>
      <w:pPr>
        <w:spacing w:after="0" w:line="148" w:lineRule="exact"/>
        <w:rPr>
          <w:sz w:val="20"/>
          <w:szCs w:val="20"/>
          <w:color w:val="auto"/>
        </w:rPr>
      </w:pPr>
    </w:p>
    <w:p>
      <w:pPr>
        <w:jc w:val="both"/>
        <w:ind w:left="460" w:right="739" w:firstLine="432"/>
        <w:spacing w:after="0" w:line="286" w:lineRule="auto"/>
        <w:rPr>
          <w:sz w:val="20"/>
          <w:szCs w:val="20"/>
          <w:color w:val="auto"/>
        </w:rPr>
      </w:pPr>
      <w:r>
        <w:rPr>
          <w:rFonts w:ascii="Arial" w:cs="Arial" w:eastAsia="Arial" w:hAnsi="Arial"/>
          <w:sz w:val="17"/>
          <w:szCs w:val="17"/>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98" w:lineRule="exact"/>
        <w:rPr>
          <w:sz w:val="20"/>
          <w:szCs w:val="20"/>
          <w:color w:val="auto"/>
        </w:rPr>
      </w:pPr>
    </w:p>
    <w:p>
      <w:pPr>
        <w:ind w:left="1320" w:right="499" w:hanging="434"/>
        <w:spacing w:after="0" w:line="286"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Floor Space Utilization. </w:t>
      </w:r>
      <w:r>
        <w:rPr>
          <w:rFonts w:ascii="Arial" w:cs="Arial" w:eastAsia="Arial" w:hAnsi="Arial"/>
          <w:sz w:val="17"/>
          <w:szCs w:val="17"/>
          <w:color w:val="auto"/>
        </w:rPr>
        <w:t>Each AVFU provides two grow rows. Our design introduces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open-room facility design approach to maximize available cultivation floor print while offering superior risk mitigation via individual compartmentalized cultivation chambers.</w:t>
      </w:r>
    </w:p>
    <w:p>
      <w:pPr>
        <w:spacing w:after="0" w:line="97" w:lineRule="exact"/>
        <w:rPr>
          <w:rFonts w:ascii="Arial" w:cs="Arial" w:eastAsia="Arial" w:hAnsi="Arial"/>
          <w:sz w:val="17"/>
          <w:szCs w:val="17"/>
          <w:color w:val="auto"/>
        </w:rPr>
      </w:pPr>
    </w:p>
    <w:p>
      <w:pPr>
        <w:ind w:left="1320" w:right="639" w:hanging="434"/>
        <w:spacing w:after="0" w:line="257" w:lineRule="auto"/>
        <w:tabs>
          <w:tab w:leader="none" w:pos="1311"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Precise Environmental Controls</w:t>
      </w:r>
      <w:r>
        <w:rPr>
          <w:rFonts w:ascii="Arial" w:cs="Arial" w:eastAsia="Arial" w:hAnsi="Arial"/>
          <w:sz w:val="18"/>
          <w:szCs w:val="18"/>
          <w:color w:val="auto"/>
        </w:rPr>
        <w:t>. Each AVFU has an environmental control unit (ECU)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hanging="434"/>
        <w:spacing w:after="0" w:line="263" w:lineRule="auto"/>
        <w:tabs>
          <w:tab w:leader="none" w:pos="1311"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Modular Scalability</w:t>
      </w:r>
      <w:r>
        <w:rPr>
          <w:rFonts w:ascii="Arial" w:cs="Arial" w:eastAsia="Arial" w:hAnsi="Arial"/>
          <w:sz w:val="18"/>
          <w:szCs w:val="18"/>
          <w:color w:val="auto"/>
        </w:rPr>
        <w:t>. The AVFU is designed with proper loading to stack up to 3 units 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sextupling production volume over the same footprint. Each unit is designed to easily integrate with a mezzanine catwalk system.</w:t>
      </w:r>
    </w:p>
    <w:p>
      <w:pPr>
        <w:spacing w:after="0" w:line="116" w:lineRule="exact"/>
        <w:rPr>
          <w:rFonts w:ascii="Arial" w:cs="Arial" w:eastAsia="Arial" w:hAnsi="Arial"/>
          <w:sz w:val="18"/>
          <w:szCs w:val="18"/>
          <w:b w:val="1"/>
          <w:bCs w:val="1"/>
          <w:i w:val="1"/>
          <w:iCs w:val="1"/>
          <w:color w:val="auto"/>
        </w:rPr>
      </w:pPr>
    </w:p>
    <w:p>
      <w:pPr>
        <w:ind w:left="1320" w:right="519" w:hanging="434"/>
        <w:spacing w:after="0" w:line="255"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AVFU has a motorized curtain on both sides of the unit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24" w:lineRule="exact"/>
        <w:rPr>
          <w:rFonts w:ascii="Arial" w:cs="Arial" w:eastAsia="Arial" w:hAnsi="Arial"/>
          <w:sz w:val="18"/>
          <w:szCs w:val="18"/>
          <w:color w:val="auto"/>
        </w:rPr>
      </w:pPr>
    </w:p>
    <w:p>
      <w:pPr>
        <w:ind w:left="1320" w:right="519" w:hanging="434"/>
        <w:spacing w:after="0" w:line="279" w:lineRule="auto"/>
        <w:tabs>
          <w:tab w:leader="none" w:pos="1311"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Worker Safety</w:t>
      </w:r>
      <w:r>
        <w:rPr>
          <w:rFonts w:ascii="Arial" w:cs="Arial" w:eastAsia="Arial" w:hAnsi="Arial"/>
          <w:sz w:val="17"/>
          <w:szCs w:val="17"/>
          <w:color w:val="auto"/>
        </w:rPr>
        <w:t>. The AVFU’s working area is 8 feet tall, allowing easy access to both rows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66040</wp:posOffset>
            </wp:positionV>
            <wp:extent cx="2794635" cy="3351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Stacked AVFUs</w:t>
      </w:r>
    </w:p>
    <w:p>
      <w:pPr>
        <w:spacing w:after="0" w:line="162"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16" w:lineRule="exact"/>
        <w:rPr>
          <w:sz w:val="20"/>
          <w:szCs w:val="20"/>
          <w:color w:val="auto"/>
        </w:rPr>
      </w:pPr>
    </w:p>
    <w:p>
      <w:pPr>
        <w:jc w:val="both"/>
        <w:ind w:left="460" w:right="539" w:firstLine="432"/>
        <w:spacing w:after="0" w:line="301" w:lineRule="auto"/>
        <w:rPr>
          <w:sz w:val="20"/>
          <w:szCs w:val="20"/>
          <w:color w:val="auto"/>
        </w:rPr>
      </w:pPr>
      <w:r>
        <w:rPr>
          <w:rFonts w:ascii="Arial" w:cs="Arial" w:eastAsia="Arial" w:hAnsi="Arial"/>
          <w:sz w:val="16"/>
          <w:szCs w:val="16"/>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66040</wp:posOffset>
            </wp:positionV>
            <wp:extent cx="5143500" cy="3780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 Setup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51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48895</wp:posOffset>
            </wp:positionV>
            <wp:extent cx="4800600" cy="2871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03"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2" w:lineRule="exact"/>
        <w:rPr>
          <w:sz w:val="20"/>
          <w:szCs w:val="20"/>
          <w:color w:val="auto"/>
        </w:rPr>
      </w:pPr>
    </w:p>
    <w:p>
      <w:pPr>
        <w:ind w:left="460" w:right="499"/>
        <w:spacing w:after="0" w:line="287" w:lineRule="auto"/>
        <w:rPr>
          <w:sz w:val="20"/>
          <w:szCs w:val="20"/>
          <w:color w:val="auto"/>
        </w:rPr>
      </w:pPr>
      <w:r>
        <w:rPr>
          <w:rFonts w:ascii="Arial" w:cs="Arial" w:eastAsia="Arial" w:hAnsi="Arial"/>
          <w:sz w:val="16"/>
          <w:szCs w:val="16"/>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73660</wp:posOffset>
            </wp:positionV>
            <wp:extent cx="5143500" cy="32486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20,000 Square Foot Facility with AVFUs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60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45,082 Square Foot 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48895</wp:posOffset>
            </wp:positionV>
            <wp:extent cx="4800600" cy="2880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43500" cy="3111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11"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Integrated Grow Racks (AIGR)</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60960</wp:posOffset>
            </wp:positionV>
            <wp:extent cx="2023110" cy="2125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4-Tier Agrify Integrated Grow Rack</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Insights™</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1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144" w:lineRule="exact"/>
        <w:rPr>
          <w:sz w:val="20"/>
          <w:szCs w:val="20"/>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AVFU unit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99" w:firstLine="432"/>
        <w:spacing w:after="0" w:line="293" w:lineRule="auto"/>
        <w:rPr>
          <w:sz w:val="20"/>
          <w:szCs w:val="20"/>
          <w:color w:val="auto"/>
        </w:rPr>
      </w:pPr>
      <w:r>
        <w:rPr>
          <w:rFonts w:ascii="Arial" w:cs="Arial" w:eastAsia="Arial" w:hAnsi="Arial"/>
          <w:sz w:val="16"/>
          <w:szCs w:val="16"/>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Plant Level Optimization</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Individual AVFU Level Optimization</w:t>
      </w:r>
    </w:p>
    <w:p>
      <w:pPr>
        <w:spacing w:after="0" w:line="144" w:lineRule="exact"/>
        <w:rPr>
          <w:sz w:val="20"/>
          <w:szCs w:val="20"/>
          <w:color w:val="auto"/>
        </w:rPr>
      </w:pPr>
    </w:p>
    <w:p>
      <w:pPr>
        <w:ind w:left="460" w:right="999" w:firstLine="432"/>
        <w:spacing w:after="0" w:line="342" w:lineRule="auto"/>
        <w:rPr>
          <w:sz w:val="20"/>
          <w:szCs w:val="20"/>
          <w:color w:val="auto"/>
        </w:rPr>
      </w:pPr>
      <w:r>
        <w:rPr>
          <w:rFonts w:ascii="Arial" w:cs="Arial" w:eastAsia="Arial" w:hAnsi="Arial"/>
          <w:sz w:val="16"/>
          <w:szCs w:val="16"/>
          <w:color w:val="auto"/>
        </w:rPr>
        <w:t>Our AVFU hardware provides cultivation environmental control within the growth chamber. This hardware and its component valves, motors and sensors are directed and controlled by Agrify Insights™.</w:t>
      </w:r>
    </w:p>
    <w:p>
      <w:pPr>
        <w:spacing w:after="0" w:line="56" w:lineRule="exact"/>
        <w:rPr>
          <w:sz w:val="20"/>
          <w:szCs w:val="20"/>
          <w:color w:val="auto"/>
        </w:rPr>
      </w:pPr>
    </w:p>
    <w:p>
      <w:pPr>
        <w:ind w:left="1320" w:right="679" w:hanging="434"/>
        <w:spacing w:after="0" w:line="263"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 and Control Agrify Hardware. </w:t>
      </w:r>
      <w:r>
        <w:rPr>
          <w:rFonts w:ascii="Arial" w:cs="Arial" w:eastAsia="Arial" w:hAnsi="Arial"/>
          <w:sz w:val="18"/>
          <w:szCs w:val="18"/>
          <w:color w:val="auto"/>
        </w:rPr>
        <w:t>Agrify Insights™ can either automatically or manually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our hardware. For example, the water-chilled fan coil can keep temperature in a range accurate to 1.5 degrees Fahrenheit.</w:t>
      </w:r>
    </w:p>
    <w:p>
      <w:pPr>
        <w:spacing w:after="0" w:line="116" w:lineRule="exact"/>
        <w:rPr>
          <w:rFonts w:ascii="Arial" w:cs="Arial" w:eastAsia="Arial" w:hAnsi="Arial"/>
          <w:sz w:val="18"/>
          <w:szCs w:val="18"/>
          <w:color w:val="auto"/>
        </w:rPr>
      </w:pPr>
    </w:p>
    <w:p>
      <w:pPr>
        <w:ind w:left="1320" w:right="459" w:hanging="434"/>
        <w:spacing w:after="0" w:line="289"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users can view environmental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Facility Level Optimization</w:t>
      </w:r>
    </w:p>
    <w:p>
      <w:pPr>
        <w:spacing w:after="0" w:line="144"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16" w:lineRule="exact"/>
        <w:rPr>
          <w:sz w:val="20"/>
          <w:szCs w:val="20"/>
          <w:color w:val="auto"/>
        </w:rPr>
      </w:pPr>
    </w:p>
    <w:p>
      <w:pPr>
        <w:ind w:left="1320" w:right="499" w:hanging="434"/>
        <w:spacing w:after="0" w:line="255" w:lineRule="auto"/>
        <w:tabs>
          <w:tab w:leader="none" w:pos="1311"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Production Planning</w:t>
      </w:r>
      <w:r>
        <w:rPr>
          <w:rFonts w:ascii="Arial" w:cs="Arial" w:eastAsia="Arial" w:hAnsi="Arial"/>
          <w:sz w:val="18"/>
          <w:szCs w:val="18"/>
          <w:color w:val="auto"/>
        </w:rPr>
        <w:t>. The production planning feature is designed to maximize a facility’s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59" w:lineRule="auto"/>
        <w:tabs>
          <w:tab w:leader="none" w:pos="1311"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Workforce Management. </w:t>
      </w:r>
      <w:r>
        <w:rPr>
          <w:rFonts w:ascii="Arial" w:cs="Arial" w:eastAsia="Arial" w:hAnsi="Arial"/>
          <w:sz w:val="18"/>
          <w:szCs w:val="18"/>
          <w:color w:val="auto"/>
        </w:rPr>
        <w:t>Agrify Insights™ includes a workforce planning feature to assign tasks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19" w:lineRule="exact"/>
        <w:rPr>
          <w:rFonts w:ascii="Arial" w:cs="Arial" w:eastAsia="Arial" w:hAnsi="Arial"/>
          <w:sz w:val="18"/>
          <w:szCs w:val="18"/>
          <w:b w:val="1"/>
          <w:bCs w:val="1"/>
          <w:i w:val="1"/>
          <w:iCs w:val="1"/>
          <w:color w:val="auto"/>
        </w:rPr>
      </w:pPr>
    </w:p>
    <w:p>
      <w:pPr>
        <w:ind w:left="1320" w:right="579" w:hanging="434"/>
        <w:spacing w:after="0" w:line="259"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Automatic Notification System. </w:t>
      </w:r>
      <w:r>
        <w:rPr>
          <w:rFonts w:ascii="Arial" w:cs="Arial" w:eastAsia="Arial" w:hAnsi="Arial"/>
          <w:sz w:val="18"/>
          <w:szCs w:val="18"/>
          <w:color w:val="auto"/>
        </w:rPr>
        <w:t>Users can select to subscribe to anomalous events, and users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19" w:lineRule="exact"/>
        <w:rPr>
          <w:rFonts w:ascii="Arial" w:cs="Arial" w:eastAsia="Arial" w:hAnsi="Arial"/>
          <w:sz w:val="18"/>
          <w:szCs w:val="18"/>
          <w:color w:val="auto"/>
        </w:rPr>
      </w:pPr>
    </w:p>
    <w:p>
      <w:pPr>
        <w:ind w:left="1320" w:right="659" w:hanging="434"/>
        <w:spacing w:after="0" w:line="308"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Preventative Maintenance</w:t>
      </w:r>
      <w:r>
        <w:rPr>
          <w:rFonts w:ascii="Arial" w:cs="Arial" w:eastAsia="Arial" w:hAnsi="Arial"/>
          <w:sz w:val="17"/>
          <w:szCs w:val="17"/>
          <w:color w:val="auto"/>
        </w:rPr>
        <w:t>. Our equipment and facility preventative maintenance schedules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tasks are contained, tracked and monitored within Agrify Insights™.</w:t>
      </w:r>
    </w:p>
    <w:p>
      <w:pPr>
        <w:spacing w:after="0" w:line="65" w:lineRule="exact"/>
        <w:rPr>
          <w:rFonts w:ascii="Arial" w:cs="Arial" w:eastAsia="Arial" w:hAnsi="Arial"/>
          <w:sz w:val="17"/>
          <w:szCs w:val="17"/>
          <w:color w:val="auto"/>
        </w:rPr>
      </w:pPr>
    </w:p>
    <w:p>
      <w:pPr>
        <w:ind w:left="1320" w:right="67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Facility Infrastructure Controls</w:t>
      </w:r>
      <w:r>
        <w:rPr>
          <w:rFonts w:ascii="Arial" w:cs="Arial" w:eastAsia="Arial" w:hAnsi="Arial"/>
          <w:sz w:val="18"/>
          <w:szCs w:val="18"/>
          <w:color w:val="auto"/>
        </w:rPr>
        <w:t>. Agrify Insights™ controls the irrigation on a facility level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connects with the water chilled HVAC system and ambient lighting system, providing our customers a central piece of software for facility management.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Optimization at the Business Level</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16" w:lineRule="exact"/>
        <w:rPr>
          <w:sz w:val="20"/>
          <w:szCs w:val="20"/>
          <w:color w:val="auto"/>
        </w:rPr>
      </w:pPr>
    </w:p>
    <w:p>
      <w:pPr>
        <w:ind w:left="1320" w:right="559" w:hanging="434"/>
        <w:spacing w:after="0" w:line="259"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105" w:lineRule="exact"/>
        <w:rPr>
          <w:rFonts w:ascii="Arial" w:cs="Arial" w:eastAsia="Arial" w:hAnsi="Arial"/>
          <w:sz w:val="18"/>
          <w:szCs w:val="18"/>
          <w:color w:val="auto"/>
        </w:rPr>
      </w:pPr>
    </w:p>
    <w:p>
      <w:pPr>
        <w:ind w:left="1320" w:right="479" w:hanging="434"/>
        <w:spacing w:after="0" w:line="311" w:lineRule="auto"/>
        <w:tabs>
          <w:tab w:leader="none" w:pos="1311"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SOPs and Safety Datasheets. </w:t>
      </w:r>
      <w:r>
        <w:rPr>
          <w:rFonts w:ascii="Arial" w:cs="Arial" w:eastAsia="Arial" w:hAnsi="Arial"/>
          <w:sz w:val="16"/>
          <w:szCs w:val="16"/>
          <w:color w:val="auto"/>
        </w:rPr>
        <w:t>Agrify Insights™ hosts digital copies of our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Operating Procedures and datasheets, or users can upload their own via our content management system, ensuring that the most recent version of SOPs and forms are available to users.</w:t>
      </w:r>
    </w:p>
    <w:p>
      <w:pPr>
        <w:spacing w:after="0" w:line="81" w:lineRule="exact"/>
        <w:rPr>
          <w:rFonts w:ascii="Arial" w:cs="Arial" w:eastAsia="Arial" w:hAnsi="Arial"/>
          <w:sz w:val="16"/>
          <w:szCs w:val="16"/>
          <w:color w:val="auto"/>
        </w:rPr>
      </w:pPr>
    </w:p>
    <w:p>
      <w:pPr>
        <w:ind w:left="1320" w:right="579" w:hanging="434"/>
        <w:spacing w:after="0" w:line="255"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Roles-Based Dashboards. </w:t>
      </w:r>
      <w:r>
        <w:rPr>
          <w:rFonts w:ascii="Arial" w:cs="Arial" w:eastAsia="Arial" w:hAnsi="Arial"/>
          <w:sz w:val="18"/>
          <w:szCs w:val="18"/>
          <w:color w:val="auto"/>
        </w:rPr>
        <w:t>Ability to obtain access to information specifically suited to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24" w:lineRule="exact"/>
        <w:rPr>
          <w:rFonts w:ascii="Arial" w:cs="Arial" w:eastAsia="Arial" w:hAnsi="Arial"/>
          <w:sz w:val="18"/>
          <w:szCs w:val="18"/>
          <w:color w:val="auto"/>
        </w:rPr>
      </w:pPr>
    </w:p>
    <w:p>
      <w:pPr>
        <w:ind w:left="1320" w:right="459" w:hanging="434"/>
        <w:spacing w:after="0" w:line="259"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Collection. </w:t>
      </w:r>
      <w:r>
        <w:rPr>
          <w:rFonts w:ascii="Arial" w:cs="Arial" w:eastAsia="Arial" w:hAnsi="Arial"/>
          <w:sz w:val="18"/>
          <w:szCs w:val="18"/>
          <w:color w:val="auto"/>
        </w:rPr>
        <w:t>Agrify Insights™ is a centralized repository for all data relating to the cultivation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105" w:lineRule="exact"/>
        <w:rPr>
          <w:rFonts w:ascii="Arial" w:cs="Arial" w:eastAsia="Arial" w:hAnsi="Arial"/>
          <w:sz w:val="18"/>
          <w:szCs w:val="18"/>
          <w:color w:val="auto"/>
        </w:rPr>
      </w:pPr>
    </w:p>
    <w:p>
      <w:pPr>
        <w:ind w:left="1320" w:right="659" w:hanging="434"/>
        <w:spacing w:after="0" w:line="286" w:lineRule="auto"/>
        <w:tabs>
          <w:tab w:leader="none" w:pos="1311"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Reporting Integration. </w:t>
      </w:r>
      <w:r>
        <w:rPr>
          <w:rFonts w:ascii="Arial" w:cs="Arial" w:eastAsia="Arial" w:hAnsi="Arial"/>
          <w:sz w:val="17"/>
          <w:szCs w:val="17"/>
          <w:color w:val="auto"/>
        </w:rPr>
        <w:t>We have integrated our software with Metrc, a leading seed-to-harvest compliance management and tracking solution, which will enable our customers to handle most regulatory reporting directly through Agrify Insights™.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Product Offerings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Bluezone Model 420 — Air Cleaning System</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100330</wp:posOffset>
            </wp:positionV>
            <wp:extent cx="2245995" cy="17487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459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Bluezone Model 420</w:t>
      </w:r>
    </w:p>
    <w:p>
      <w:pPr>
        <w:spacing w:after="0" w:line="135"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Enozo — Pesticide-Free Surface Protection</w:t>
      </w:r>
    </w:p>
    <w:p>
      <w:pPr>
        <w:spacing w:after="0" w:line="131"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70485</wp:posOffset>
            </wp:positionV>
            <wp:extent cx="1200150" cy="1654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Enozo Spray Bottle</w:t>
      </w:r>
    </w:p>
    <w:p>
      <w:pPr>
        <w:spacing w:after="0" w:line="14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Horticultural Lights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Agrify-Valiant Joint Venture</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2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1" w:name="page82"/>
    <w:bookmarkEnd w:id="8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color w:val="auto"/>
        </w:rPr>
        <w:t>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Landscape</w:t>
      </w:r>
    </w:p>
    <w:p>
      <w:pPr>
        <w:spacing w:after="0" w:line="162"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0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79" w:lineRule="exact"/>
        <w:rPr>
          <w:sz w:val="20"/>
          <w:szCs w:val="20"/>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Semi-Integrated Vertical Cultivation Systems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Sprout AI</w:t>
      </w:r>
    </w:p>
    <w:p>
      <w:pPr>
        <w:spacing w:after="0" w:line="161"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Aeroponic Systems </w:t>
      </w:r>
      <w:r>
        <w:rPr>
          <w:rFonts w:ascii="Arial" w:cs="Arial" w:eastAsia="Arial" w:hAnsi="Arial"/>
          <w:sz w:val="18"/>
          <w:szCs w:val="18"/>
          <w:color w:val="auto"/>
        </w:rPr>
        <w:t>— AEssenceGrows and Thrive Growing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Horticultural Lighting </w:t>
      </w:r>
      <w:r>
        <w:rPr>
          <w:rFonts w:ascii="Arial" w:cs="Arial" w:eastAsia="Arial" w:hAnsi="Arial"/>
          <w:sz w:val="18"/>
          <w:szCs w:val="18"/>
          <w:color w:val="auto"/>
        </w:rPr>
        <w:t>— Gavita, Fluence, VividGro, and Heliospectra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Threat Mitigation Solutions </w:t>
      </w:r>
      <w:r>
        <w:rPr>
          <w:rFonts w:ascii="Arial" w:cs="Arial" w:eastAsia="Arial" w:hAnsi="Arial"/>
          <w:sz w:val="18"/>
          <w:szCs w:val="18"/>
          <w:color w:val="auto"/>
        </w:rPr>
        <w:t>— Element Air and Tersano</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Software </w:t>
      </w:r>
      <w:r>
        <w:rPr>
          <w:rFonts w:ascii="Arial" w:cs="Arial" w:eastAsia="Arial" w:hAnsi="Arial"/>
          <w:sz w:val="18"/>
          <w:szCs w:val="18"/>
          <w:color w:val="auto"/>
        </w:rPr>
        <w:t>— Grownetics and Trym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Cultivation Software </w:t>
      </w:r>
      <w:r>
        <w:rPr>
          <w:rFonts w:ascii="Arial" w:cs="Arial" w:eastAsia="Arial" w:hAnsi="Arial"/>
          <w:sz w:val="18"/>
          <w:szCs w:val="18"/>
          <w:color w:val="auto"/>
        </w:rPr>
        <w:t>— Quantum Leaf and Flourish</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Vertical Cultivation Racking Systems </w:t>
      </w:r>
      <w:r>
        <w:rPr>
          <w:rFonts w:ascii="Arial" w:cs="Arial" w:eastAsia="Arial" w:hAnsi="Arial"/>
          <w:sz w:val="18"/>
          <w:szCs w:val="18"/>
          <w:color w:val="auto"/>
        </w:rPr>
        <w:t>— Pipp Horticulture and Montel</w:t>
      </w:r>
    </w:p>
    <w:p>
      <w:pPr>
        <w:spacing w:after="0" w:line="15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0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To date, we have customers in the following states: Nevada, Colorado, Washington, Michigan, Minnesota, Rhode Island, Massachusetts and Illinois. We also have a customer in Oman.</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As for our enterprise-level business, we currently have 386 AVFUs deployed and 1,140 AVFUs in the backlog,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0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$59.3 million. We expect to recognize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$2.3 million and $11.1 million.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0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Marketing Team Aligned with Sales Force to Maximize Our Industry Visibility to Drive Revenue</w:t>
      </w:r>
    </w:p>
    <w:p>
      <w:pPr>
        <w:spacing w:after="0" w:line="144"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9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Direct Marketing</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Social Media and Thought Leadership</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 Shows</w:t>
      </w:r>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9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3857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Paid Advertising</w:t>
      </w:r>
    </w:p>
    <w:p>
      <w:pPr>
        <w:spacing w:after="0" w:line="144"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Public Relations Campaigns</w:t>
      </w:r>
    </w:p>
    <w:p>
      <w:pPr>
        <w:spacing w:after="0" w:line="15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5"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Joint Venture with Valiant-America</w:t>
      </w:r>
    </w:p>
    <w:p>
      <w:pPr>
        <w:spacing w:after="0" w:line="148"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04"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98" w:lineRule="exact"/>
        <w:rPr>
          <w:sz w:val="20"/>
          <w:szCs w:val="20"/>
          <w:color w:val="auto"/>
        </w:rPr>
      </w:pPr>
    </w:p>
    <w:p>
      <w:pPr>
        <w:ind w:left="460" w:right="69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Scale-Up Manufacturing Capabilities in Order to Meet the Increasing Demand for Our Grow Solutions</w:t>
      </w:r>
    </w:p>
    <w:p>
      <w:pPr>
        <w:spacing w:after="0" w:line="171"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20"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0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supply agreement with Mack provides us with several key benefits, including:</w:t>
      </w:r>
    </w:p>
    <w:p>
      <w:pPr>
        <w:spacing w:after="0" w:line="158" w:lineRule="exact"/>
        <w:rPr>
          <w:sz w:val="20"/>
          <w:szCs w:val="20"/>
          <w:color w:val="auto"/>
        </w:rPr>
      </w:pPr>
    </w:p>
    <w:p>
      <w:pPr>
        <w:ind w:left="1320" w:right="779" w:hanging="434"/>
        <w:spacing w:after="0" w:line="263"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Rapid Scaling: </w:t>
      </w:r>
      <w:r>
        <w:rPr>
          <w:rFonts w:ascii="Arial" w:cs="Arial" w:eastAsia="Arial" w:hAnsi="Arial"/>
          <w:sz w:val="18"/>
          <w:szCs w:val="18"/>
          <w:color w:val="auto"/>
        </w:rPr>
        <w:t>We can scale to customer orders, as Mack has agreed to maintain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safety stock of AVFUs in inventory and allow us to store additional inventory pending customer deliveries; and</w:t>
      </w:r>
    </w:p>
    <w:p>
      <w:pPr>
        <w:spacing w:after="0" w:line="116" w:lineRule="exact"/>
        <w:rPr>
          <w:rFonts w:ascii="Arial" w:cs="Arial" w:eastAsia="Arial" w:hAnsi="Arial"/>
          <w:sz w:val="18"/>
          <w:szCs w:val="18"/>
          <w:color w:val="auto"/>
        </w:rPr>
      </w:pPr>
    </w:p>
    <w:p>
      <w:pPr>
        <w:ind w:left="1320" w:right="699" w:hanging="434"/>
        <w:spacing w:after="0" w:line="301" w:lineRule="auto"/>
        <w:tabs>
          <w:tab w:leader="none" w:pos="1311"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Efficiencies: </w:t>
      </w:r>
      <w:r>
        <w:rPr>
          <w:rFonts w:ascii="Arial" w:cs="Arial" w:eastAsia="Arial" w:hAnsi="Arial"/>
          <w:sz w:val="16"/>
          <w:szCs w:val="16"/>
          <w:color w:val="auto"/>
        </w:rPr>
        <w:t>Under a strategic partner governance structure, we intend to meet with</w:t>
      </w:r>
      <w:r>
        <w:rPr>
          <w:rFonts w:ascii="Arial" w:cs="Arial" w:eastAsia="Arial" w:hAnsi="Arial"/>
          <w:sz w:val="16"/>
          <w:szCs w:val="16"/>
          <w:i w:val="1"/>
          <w:iCs w:val="1"/>
          <w:color w:val="auto"/>
        </w:rPr>
        <w:t xml:space="preserve"> </w:t>
      </w:r>
      <w:r>
        <w:rPr>
          <w:rFonts w:ascii="Arial" w:cs="Arial" w:eastAsia="Arial" w:hAnsi="Arial"/>
          <w:sz w:val="16"/>
          <w:szCs w:val="16"/>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19" w:firstLine="432"/>
        <w:spacing w:after="0" w:line="277" w:lineRule="auto"/>
        <w:rPr>
          <w:sz w:val="20"/>
          <w:szCs w:val="20"/>
          <w:color w:val="auto"/>
        </w:rPr>
      </w:pPr>
      <w:r>
        <w:rPr>
          <w:rFonts w:ascii="Arial" w:cs="Arial" w:eastAsia="Arial" w:hAnsi="Arial"/>
          <w:sz w:val="18"/>
          <w:szCs w:val="18"/>
          <w:color w:val="auto"/>
        </w:rPr>
        <w:t>We anticipate that this key strategic relationship with Mack will grow with our continued and expanding need for additional AVFUs.</w:t>
      </w:r>
    </w:p>
    <w:p>
      <w:pPr>
        <w:spacing w:after="0" w:line="103" w:lineRule="exact"/>
        <w:rPr>
          <w:sz w:val="20"/>
          <w:szCs w:val="20"/>
          <w:color w:val="auto"/>
        </w:rPr>
      </w:pPr>
    </w:p>
    <w:p>
      <w:pPr>
        <w:jc w:val="both"/>
        <w:ind w:left="460" w:right="639" w:firstLine="432"/>
        <w:spacing w:after="0" w:line="301" w:lineRule="auto"/>
        <w:rPr>
          <w:sz w:val="20"/>
          <w:szCs w:val="20"/>
          <w:color w:val="auto"/>
        </w:rPr>
      </w:pPr>
      <w:r>
        <w:rPr>
          <w:rFonts w:ascii="Arial" w:cs="Arial" w:eastAsia="Arial" w:hAnsi="Arial"/>
          <w:sz w:val="16"/>
          <w:szCs w:val="16"/>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Patents</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filed United States provisional patent application 62/830,770 on April 8, 2019 titled “Device for Light Limiting Current” that serves as the priority document for our April 6, 2020 filing of PCT application PCT/US2020/026878 and for our April 6, 2020 filing of U.S. non-provisional application no. 16/841,177. This application is directed to, among other things, a current limiting device coupled with a light emitting diode driver.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Trademarks and Copyrights</w:t>
      </w:r>
    </w:p>
    <w:p>
      <w:pPr>
        <w:spacing w:after="0" w:line="131"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We, or our subsidiaries, have two pending United States trademark applications for AGRIFY, Ser. Nos. 90/341,939 and 88/610,595, a pending application for TRIGROW, Ser. No. 88/192,358, and a pending application for the Leaf Design, Ser. No. 90/341,952. In addition, we recognize common-law trademark rights AGRIFY INSIGHTS and AGRINAMICS for different software as a service products.</w:t>
      </w:r>
    </w:p>
    <w:p>
      <w:pPr>
        <w:spacing w:after="0" w:line="90"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63" w:lineRule="exact"/>
        <w:rPr>
          <w:sz w:val="20"/>
          <w:szCs w:val="20"/>
          <w:color w:val="auto"/>
        </w:rPr>
      </w:pPr>
    </w:p>
    <w:p>
      <w:pPr>
        <w:ind w:left="460" w:right="899" w:firstLine="432"/>
        <w:spacing w:after="0" w:line="257" w:lineRule="auto"/>
        <w:rPr>
          <w:sz w:val="20"/>
          <w:szCs w:val="20"/>
          <w:color w:val="auto"/>
        </w:rPr>
      </w:pPr>
      <w:r>
        <w:rPr>
          <w:rFonts w:ascii="Arial" w:cs="Arial" w:eastAsia="Arial" w:hAnsi="Arial"/>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93" w:lineRule="exact"/>
        <w:rPr>
          <w:sz w:val="20"/>
          <w:szCs w:val="20"/>
          <w:color w:val="auto"/>
        </w:rPr>
      </w:pPr>
    </w:p>
    <w:p>
      <w:pPr>
        <w:ind w:left="460" w:right="819" w:firstLine="432"/>
        <w:spacing w:after="0" w:line="275" w:lineRule="auto"/>
        <w:rPr>
          <w:sz w:val="20"/>
          <w:szCs w:val="20"/>
          <w:color w:val="auto"/>
        </w:rPr>
      </w:pPr>
      <w:r>
        <w:rPr>
          <w:rFonts w:ascii="Arial" w:cs="Arial" w:eastAsia="Arial" w:hAnsi="Arial"/>
          <w:sz w:val="17"/>
          <w:szCs w:val="17"/>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Employees and Human Capital Resources</w:t>
      </w:r>
    </w:p>
    <w:p>
      <w:pPr>
        <w:spacing w:after="0" w:line="135"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9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1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On January 19, 2021, Messrs. Cooper and Weinstein filed a lawsuit against Agrify Corporation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We do not believe these claims have any merit and intend to vigorously defend against these claims (see note 17, Commitments and Contingencies, to our unaudited condensed consolidated financial statements as of September 30, 2020).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35"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8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0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9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The following table sets forth certain information about our executive officers, key employees and directors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Guichao Hua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Massie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Krishnan Varier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Timothy Oakes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Kressy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b w:val="1"/>
          <w:bCs w:val="1"/>
          <w:i w:val="1"/>
          <w:iCs w:val="1"/>
          <w:color w:val="auto"/>
        </w:rPr>
        <w:t xml:space="preserve">Raymond Chang. </w:t>
      </w:r>
      <w:r>
        <w:rPr>
          <w:rFonts w:ascii="Arial" w:cs="Arial" w:eastAsia="Arial" w:hAnsi="Arial"/>
          <w:sz w:val="16"/>
          <w:szCs w:val="16"/>
          <w:color w:val="auto"/>
        </w:rPr>
        <w:t>Mr. Chang has served as our president, chief executive officer and chairman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0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Niv Krikov. </w:t>
      </w:r>
      <w:r>
        <w:rPr>
          <w:rFonts w:ascii="Arial" w:cs="Arial" w:eastAsia="Arial" w:hAnsi="Arial"/>
          <w:sz w:val="17"/>
          <w:szCs w:val="17"/>
          <w:color w:val="auto"/>
        </w:rPr>
        <w:t>Mr. Krikov has served as our chief financial officer since January 20, 2020.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98"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b w:val="1"/>
          <w:bCs w:val="1"/>
          <w:i w:val="1"/>
          <w:iCs w:val="1"/>
          <w:color w:val="auto"/>
        </w:rPr>
        <w:t>Robert Harrison</w:t>
      </w:r>
      <w:r>
        <w:rPr>
          <w:rFonts w:ascii="Arial" w:cs="Arial" w:eastAsia="Arial" w:hAnsi="Arial"/>
          <w:sz w:val="18"/>
          <w:szCs w:val="18"/>
          <w:color w:val="auto"/>
        </w:rPr>
        <w:t>. Mr. Harrison has served as our chief operating officer since July 21,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99"/>
        <w:spacing w:after="0" w:line="286" w:lineRule="auto"/>
        <w:rPr>
          <w:sz w:val="20"/>
          <w:szCs w:val="20"/>
          <w:color w:val="auto"/>
        </w:rPr>
      </w:pPr>
      <w:r>
        <w:rPr>
          <w:rFonts w:ascii="Arial" w:cs="Arial" w:eastAsia="Arial" w:hAnsi="Arial"/>
          <w:sz w:val="17"/>
          <w:szCs w:val="17"/>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9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Guichao Hua. </w:t>
      </w:r>
      <w:r>
        <w:rPr>
          <w:rFonts w:ascii="Arial" w:cs="Arial" w:eastAsia="Arial" w:hAnsi="Arial"/>
          <w:sz w:val="16"/>
          <w:szCs w:val="16"/>
          <w:color w:val="auto"/>
        </w:rPr>
        <w:t>Mr. Hua has served as a member of our board of directors since June 15, 2019. Mr. Hua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00"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Thomas Massie</w:t>
      </w:r>
      <w:r>
        <w:rPr>
          <w:rFonts w:ascii="Arial" w:cs="Arial" w:eastAsia="Arial" w:hAnsi="Arial"/>
          <w:sz w:val="16"/>
          <w:szCs w:val="16"/>
          <w:color w:val="auto"/>
        </w:rPr>
        <w:t>. Mr. Massie has served as a member of our board of directors since June 24,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9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 xml:space="preserve">Krishnan Varier. </w:t>
      </w:r>
      <w:r>
        <w:rPr>
          <w:rFonts w:ascii="Arial" w:cs="Arial" w:eastAsia="Arial" w:hAnsi="Arial"/>
          <w:sz w:val="16"/>
          <w:szCs w:val="16"/>
          <w:color w:val="auto"/>
        </w:rPr>
        <w:t>Mr. Varier has served as a member of our board of directors since June 24,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0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b w:val="1"/>
          <w:bCs w:val="1"/>
          <w:i w:val="1"/>
          <w:iCs w:val="1"/>
          <w:color w:val="auto"/>
        </w:rPr>
        <w:t xml:space="preserve">Timothy Mahoney. </w:t>
      </w:r>
      <w:r>
        <w:rPr>
          <w:rFonts w:ascii="Arial" w:cs="Arial" w:eastAsia="Arial" w:hAnsi="Arial"/>
          <w:sz w:val="18"/>
          <w:szCs w:val="18"/>
          <w:color w:val="auto"/>
        </w:rPr>
        <w:t>Mr. Mahoney has served as a member of our board of directors since December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8" w:lineRule="auto"/>
        <w:rPr>
          <w:sz w:val="20"/>
          <w:szCs w:val="20"/>
          <w:color w:val="auto"/>
        </w:rPr>
      </w:pPr>
      <w:r>
        <w:rPr>
          <w:rFonts w:ascii="Arial" w:cs="Arial" w:eastAsia="Arial" w:hAnsi="Arial"/>
          <w:sz w:val="16"/>
          <w:szCs w:val="16"/>
          <w:color w:val="auto"/>
        </w:rPr>
        <w:t>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0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b w:val="1"/>
          <w:bCs w:val="1"/>
          <w:i w:val="1"/>
          <w:iCs w:val="1"/>
          <w:color w:val="auto"/>
        </w:rPr>
        <w:t xml:space="preserve">Timothy Oakes. </w:t>
      </w:r>
      <w:r>
        <w:rPr>
          <w:rFonts w:ascii="Arial" w:cs="Arial" w:eastAsia="Arial" w:hAnsi="Arial"/>
          <w:sz w:val="16"/>
          <w:szCs w:val="16"/>
          <w:color w:val="auto"/>
        </w:rPr>
        <w:t>Mr. Oakes has served as a member of our board of directors since December 17,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06" w:lineRule="exact"/>
        <w:rPr>
          <w:sz w:val="20"/>
          <w:szCs w:val="20"/>
          <w:color w:val="auto"/>
        </w:rPr>
      </w:pPr>
    </w:p>
    <w:p>
      <w:pPr>
        <w:ind w:left="460" w:right="719" w:firstLine="432"/>
        <w:spacing w:after="0" w:line="291" w:lineRule="auto"/>
        <w:rPr>
          <w:sz w:val="20"/>
          <w:szCs w:val="20"/>
          <w:color w:val="auto"/>
        </w:rPr>
      </w:pPr>
      <w:r>
        <w:rPr>
          <w:rFonts w:ascii="Arial" w:cs="Arial" w:eastAsia="Arial" w:hAnsi="Arial"/>
          <w:sz w:val="16"/>
          <w:szCs w:val="16"/>
          <w:b w:val="1"/>
          <w:bCs w:val="1"/>
          <w:i w:val="1"/>
          <w:iCs w:val="1"/>
          <w:color w:val="auto"/>
        </w:rPr>
        <w:t xml:space="preserve">Matthew S. Kressy. </w:t>
      </w:r>
      <w:r>
        <w:rPr>
          <w:rFonts w:ascii="Arial" w:cs="Arial" w:eastAsia="Arial" w:hAnsi="Arial"/>
          <w:sz w:val="16"/>
          <w:szCs w:val="16"/>
          <w:color w:val="auto"/>
        </w:rPr>
        <w:t>Mr. Kressy has served as a member of our board of directors since December 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Since 2015, Mr. Kressy has served as senior lecturer and founding director of the MIT Integrated</w:t>
      </w:r>
    </w:p>
    <w:p>
      <w:pPr>
        <w:ind w:left="460" w:right="499"/>
        <w:spacing w:after="0" w:line="268" w:lineRule="auto"/>
        <w:rPr>
          <w:sz w:val="20"/>
          <w:szCs w:val="20"/>
          <w:color w:val="auto"/>
        </w:rPr>
      </w:pPr>
      <w:r>
        <w:rPr>
          <w:rFonts w:ascii="Arial" w:cs="Arial" w:eastAsia="Arial" w:hAnsi="Arial"/>
          <w:sz w:val="17"/>
          <w:szCs w:val="17"/>
          <w:color w:val="auto"/>
        </w:rPr>
        <w:t>Design &amp; Management (IDM) master’s degree program. He is an expert in product design and development. As an entrepreneur and founder of Designturn Inc. since 1999, he has designed, invented, engineered, and manufactured products for a wide range of clients, from startups to Fortune 500 companies. In addition, Mr. Kressy has co-taught collaborative courses in product design and development at top design and business schools including the MIT Sloan School of Management, the Rhode Island School of Design (RISD), and Harvard Business School. He holds a BFA in industrial design from RISD. We believe that Mr. Kressy’s career as an entrepreneur combined with his expertise in product design, development and manufacturing makes him qualified to be a member of our board.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62"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144" w:lineRule="exact"/>
        <w:rPr>
          <w:sz w:val="20"/>
          <w:szCs w:val="20"/>
          <w:color w:val="auto"/>
        </w:rPr>
      </w:pPr>
    </w:p>
    <w:p>
      <w:pPr>
        <w:ind w:left="1320" w:right="9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102"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89"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02"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89"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44"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158" w:lineRule="exact"/>
        <w:rPr>
          <w:sz w:val="20"/>
          <w:szCs w:val="20"/>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 and executive officers;</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15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Our compensation committee consists of Thomas Massie, Timothy Mahoney and Timothy Oakes, with Mr. Mahoney serving as the chairman.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44"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76"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and Officer Indemnification Agreements</w:t>
      </w:r>
    </w:p>
    <w:p>
      <w:pPr>
        <w:spacing w:after="0" w:line="162"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following table provides information regarding the compensation paid during the years ended December 31, 2020 and 2019 to each of the executive officers named below, who are collectively referred to as “named executive officers” elsewhere in this prospectus.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Non-qualified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2"/>
              </w:rPr>
              <w:t>Bonus</w:t>
            </w:r>
          </w:p>
        </w:tc>
        <w:tc>
          <w:tcPr>
            <w:tcW w:w="5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56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w w:val="96"/>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7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4"/>
                <w:szCs w:val="14"/>
                <w:b w:val="1"/>
                <w:bCs w:val="1"/>
                <w:color w:val="auto"/>
                <w:w w:val="83"/>
                <w:vertAlign w:val="superscript"/>
              </w:rPr>
              <w:t>(1)</w:t>
            </w:r>
          </w:p>
        </w:tc>
        <w:tc>
          <w:tcPr>
            <w:tcW w:w="80" w:type="dxa"/>
            <w:vAlign w:val="bottom"/>
          </w:tcPr>
          <w:p>
            <w:pPr>
              <w:spacing w:after="0"/>
              <w:rPr>
                <w:sz w:val="17"/>
                <w:szCs w:val="17"/>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Raymond Chang</w:t>
            </w: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4"/>
              </w:rPr>
              <w:t>2020</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153,800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245,079</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433,351</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Chief Executive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86,345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6"/>
                <w:szCs w:val="16"/>
                <w:color w:val="auto"/>
              </w:rPr>
              <w:t>13,848</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140,236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760" w:type="dxa"/>
            <w:vAlign w:val="bottom"/>
          </w:tcPr>
          <w:p>
            <w:pPr>
              <w:spacing w:after="0"/>
              <w:rPr>
                <w:sz w:val="20"/>
                <w:szCs w:val="20"/>
                <w:color w:val="auto"/>
              </w:rPr>
            </w:pPr>
            <w:r>
              <w:rPr>
                <w:rFonts w:ascii="Arial" w:cs="Arial" w:eastAsia="Arial" w:hAnsi="Arial"/>
                <w:sz w:val="16"/>
                <w:szCs w:val="16"/>
                <w:b w:val="1"/>
                <w:bCs w:val="1"/>
                <w:color w:val="auto"/>
              </w:rPr>
              <w:t>Matthew Liotta</w:t>
            </w:r>
            <w:r>
              <w:rPr>
                <w:rFonts w:ascii="Arial" w:cs="Arial" w:eastAsia="Arial" w:hAnsi="Arial"/>
                <w:sz w:val="16"/>
                <w:szCs w:val="16"/>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6"/>
              </w:rPr>
              <w:t>161,774</w:t>
            </w:r>
            <w:r>
              <w:rPr>
                <w:rFonts w:ascii="Arial" w:cs="Arial" w:eastAsia="Arial" w:hAnsi="Arial"/>
                <w:sz w:val="21"/>
                <w:szCs w:val="21"/>
                <w:color w:val="auto"/>
                <w:w w:val="96"/>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91,664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287,010</w:t>
            </w:r>
          </w:p>
        </w:tc>
        <w:tc>
          <w:tcPr>
            <w:tcW w:w="0" w:type="dxa"/>
            <w:vAlign w:val="bottom"/>
          </w:tcPr>
          <w:p>
            <w:pPr>
              <w:spacing w:after="0"/>
              <w:rPr>
                <w:sz w:val="1"/>
                <w:szCs w:val="1"/>
                <w:color w:val="auto"/>
              </w:rPr>
            </w:pPr>
          </w:p>
        </w:tc>
      </w:tr>
      <w:tr>
        <w:trPr>
          <w:trHeight w:val="207"/>
        </w:trPr>
        <w:tc>
          <w:tcPr>
            <w:tcW w:w="1760" w:type="dxa"/>
            <w:vAlign w:val="bottom"/>
          </w:tcPr>
          <w:p>
            <w:pPr>
              <w:ind w:left="180"/>
              <w:spacing w:after="0"/>
              <w:rPr>
                <w:sz w:val="20"/>
                <w:szCs w:val="20"/>
                <w:color w:val="auto"/>
              </w:rPr>
            </w:pPr>
            <w:r>
              <w:rPr>
                <w:rFonts w:ascii="Arial" w:cs="Arial" w:eastAsia="Arial" w:hAnsi="Arial"/>
                <w:sz w:val="16"/>
                <w:szCs w:val="16"/>
                <w:color w:val="auto"/>
              </w:rPr>
              <w:t>Former Chief</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tcPr>
          <w:p>
            <w:pPr>
              <w:jc w:val="right"/>
              <w:ind w:right="41"/>
              <w:spacing w:after="0"/>
              <w:rPr>
                <w:sz w:val="20"/>
                <w:szCs w:val="20"/>
                <w:color w:val="auto"/>
              </w:rPr>
            </w:pPr>
            <w:r>
              <w:rPr>
                <w:rFonts w:ascii="Arial" w:cs="Arial" w:eastAsia="Arial" w:hAnsi="Arial"/>
                <w:sz w:val="16"/>
                <w:szCs w:val="16"/>
                <w:color w:val="auto"/>
              </w:rPr>
              <w:t>87,019</w:t>
            </w:r>
          </w:p>
        </w:tc>
        <w:tc>
          <w:tcPr>
            <w:tcW w:w="10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16,534</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140,514</w:t>
            </w:r>
            <w:r>
              <w:rPr>
                <w:rFonts w:ascii="Arial" w:cs="Arial" w:eastAsia="Arial" w:hAnsi="Arial"/>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244,067</w:t>
            </w:r>
          </w:p>
        </w:tc>
        <w:tc>
          <w:tcPr>
            <w:tcW w:w="0" w:type="dxa"/>
            <w:vAlign w:val="bottom"/>
          </w:tcPr>
          <w:p>
            <w:pPr>
              <w:spacing w:after="0"/>
              <w:rPr>
                <w:sz w:val="1"/>
                <w:szCs w:val="1"/>
                <w:color w:val="auto"/>
              </w:rPr>
            </w:pPr>
          </w:p>
        </w:tc>
      </w:tr>
      <w:tr>
        <w:trPr>
          <w:trHeight w:val="266"/>
        </w:trPr>
        <w:tc>
          <w:tcPr>
            <w:tcW w:w="1760" w:type="dxa"/>
            <w:vAlign w:val="bottom"/>
          </w:tcPr>
          <w:p>
            <w:pPr>
              <w:ind w:left="360"/>
              <w:spacing w:after="0"/>
              <w:rPr>
                <w:sz w:val="20"/>
                <w:szCs w:val="20"/>
                <w:color w:val="auto"/>
              </w:rPr>
            </w:pPr>
            <w:r>
              <w:rPr>
                <w:rFonts w:ascii="Arial" w:cs="Arial" w:eastAsia="Arial" w:hAnsi="Arial"/>
                <w:sz w:val="16"/>
                <w:szCs w:val="16"/>
                <w:color w:val="auto"/>
                <w:w w:val="91"/>
              </w:rPr>
              <w:t>Technology Officer</w:t>
            </w:r>
            <w:r>
              <w:rPr>
                <w:rFonts w:ascii="Arial" w:cs="Arial" w:eastAsia="Arial" w:hAnsi="Arial"/>
                <w:sz w:val="21"/>
                <w:szCs w:val="21"/>
                <w:color w:val="auto"/>
                <w:w w:val="91"/>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1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133,712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40,776</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31,599</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206,087</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Chief Financial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0"/>
                <w:szCs w:val="20"/>
                <w:color w:val="auto"/>
              </w:rPr>
            </w:pPr>
            <w:r>
              <w:rPr>
                <w:rFonts w:ascii="Arial" w:cs="Arial" w:eastAsia="Arial" w:hAnsi="Arial"/>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94,112</w:t>
            </w:r>
            <w:r>
              <w:rPr>
                <w:rFonts w:ascii="Arial" w:cs="Arial" w:eastAsia="Arial" w:hAnsi="Arial"/>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15,643</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24,418</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134,173</w:t>
            </w: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Arial" w:cs="Arial" w:eastAsia="Arial" w:hAnsi="Arial"/>
                <w:sz w:val="16"/>
                <w:szCs w:val="16"/>
                <w:color w:val="auto"/>
                <w:w w:val="95"/>
              </w:rPr>
              <w:t>Chief Operating Officer</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76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right="919" w:hanging="426"/>
        <w:spacing w:after="0" w:line="265"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ind w:left="880" w:right="539" w:hanging="426"/>
        <w:spacing w:after="0" w:line="281" w:lineRule="auto"/>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spacing w:after="0" w:line="2" w:lineRule="exact"/>
        <w:rPr>
          <w:rFonts w:ascii="Arial" w:cs="Arial" w:eastAsia="Arial" w:hAnsi="Arial"/>
          <w:sz w:val="15"/>
          <w:szCs w:val="15"/>
          <w:color w:val="auto"/>
        </w:rPr>
      </w:pPr>
    </w:p>
    <w:p>
      <w:pPr>
        <w:ind w:left="880" w:hanging="426"/>
        <w:spacing w:after="0"/>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jc w:val="both"/>
        <w:ind w:left="880" w:right="519" w:hanging="426"/>
        <w:spacing w:after="0" w:line="276"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Raymond Chang</w:t>
      </w:r>
    </w:p>
    <w:p>
      <w:pPr>
        <w:spacing w:after="0" w:line="144"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entered into an employment agreement with Raymond Chang to serve as our Chief Executive Officer effective as of December 31, 2020.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 terms of our standard invention assignment, restrictive covenants, and confidentiality agreement, Mr. Chang’s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4" w:name="page95"/>
    <w:bookmarkEnd w:id="9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color w:val="auto"/>
        </w:rPr>
        <w:t>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Niv Krikov</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Former Chief Technology Officer</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4"/>
          </w:tcPr>
          <w:p>
            <w:pPr>
              <w:ind w:left="7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ind w:left="260"/>
              <w:spacing w:after="0"/>
              <w:rPr>
                <w:sz w:val="20"/>
                <w:szCs w:val="20"/>
                <w:color w:val="auto"/>
              </w:rPr>
            </w:pPr>
            <w:r>
              <w:rPr>
                <w:rFonts w:ascii="Arial" w:cs="Arial" w:eastAsia="Arial" w:hAnsi="Arial"/>
                <w:sz w:val="14"/>
                <w:szCs w:val="14"/>
                <w:b w:val="1"/>
                <w:bCs w:val="1"/>
                <w:color w:val="auto"/>
              </w:rPr>
              <w:t>Stock Awards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or Units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that Have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that Have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240" w:type="dxa"/>
            <w:vAlign w:val="bottom"/>
            <w:gridSpan w:val="2"/>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Exercisable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Unexercisable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Raymond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108,017</w:t>
            </w: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229,698</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580"/>
              <w:spacing w:after="0" w:line="182" w:lineRule="exact"/>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2.28</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3"/>
              </w:rPr>
              <w:t>May 6, 2030</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40"/>
              <w:spacing w:after="0" w:line="182" w:lineRule="exact"/>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Chang</w:t>
            </w:r>
            <w:r>
              <w:rPr>
                <w:rFonts w:ascii="Arial" w:cs="Arial" w:eastAsia="Arial" w:hAnsi="Arial"/>
                <w:sz w:val="21"/>
                <w:szCs w:val="21"/>
                <w:b w:val="1"/>
                <w:bCs w:val="1"/>
                <w:color w:val="auto"/>
                <w:vertAlign w:val="superscript"/>
              </w:rPr>
              <w:t>(1)</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14,267</w:t>
            </w:r>
          </w:p>
        </w:tc>
        <w:tc>
          <w:tcPr>
            <w:tcW w:w="8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July 20,</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264,823</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21"/>
                <w:szCs w:val="21"/>
                <w:b w:val="1"/>
                <w:bCs w:val="1"/>
                <w:color w:val="auto"/>
                <w:vertAlign w:val="superscript"/>
              </w:rPr>
              <w:t>(2)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147,410</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6, 2030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23,282</w:t>
            </w:r>
          </w:p>
        </w:tc>
        <w:tc>
          <w:tcPr>
            <w:tcW w:w="8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July 20,</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137,711</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Robert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13,401</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6, 2030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Harrison</w:t>
            </w:r>
            <w:r>
              <w:rPr>
                <w:rFonts w:ascii="Arial" w:cs="Arial" w:eastAsia="Arial" w:hAnsi="Arial"/>
                <w:sz w:val="21"/>
                <w:szCs w:val="21"/>
                <w:b w:val="1"/>
                <w:bCs w:val="1"/>
                <w:color w:val="auto"/>
                <w:vertAlign w:val="superscript"/>
              </w:rPr>
              <w:t>(3)</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71,944</w:t>
            </w:r>
          </w:p>
        </w:tc>
        <w:tc>
          <w:tcPr>
            <w:tcW w:w="8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July 20,</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68,856</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Matthew</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54,011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141,651</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6, 2030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Liotta</w:t>
            </w:r>
            <w:r>
              <w:rPr>
                <w:rFonts w:ascii="Arial" w:cs="Arial" w:eastAsia="Arial" w:hAnsi="Arial"/>
                <w:sz w:val="21"/>
                <w:szCs w:val="21"/>
                <w:b w:val="1"/>
                <w:bCs w:val="1"/>
                <w:color w:val="auto"/>
                <w:vertAlign w:val="superscript"/>
              </w:rPr>
              <w:t>(4)</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302"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December 9, 2019, Mr. Chang was granted options to purchase 150,103 shares of our common stock under our 2019 Stock Option Plan (the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the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2" w:lineRule="exact"/>
        <w:rPr>
          <w:rFonts w:ascii="Arial" w:cs="Arial" w:eastAsia="Arial" w:hAnsi="Arial"/>
          <w:sz w:val="14"/>
          <w:szCs w:val="14"/>
          <w:color w:val="auto"/>
        </w:rPr>
      </w:pPr>
    </w:p>
    <w:p>
      <w:pPr>
        <w:ind w:left="880" w:right="579" w:hanging="426"/>
        <w:spacing w:after="0" w:line="301"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May 6, 2020, Mr. Krikov was granted stock options to purchase 147,410 shares of common stock under the 2019 Plan at an exercise price per share of $2.28 and expiring 10 years from the date of grant. 25% of the options vest 12 months following issuance and the balance vests in 36 equal monthly installments thereafter. On July 20, 2020, Mr.</w:t>
      </w:r>
    </w:p>
    <w:p>
      <w:pPr>
        <w:spacing w:after="0" w:line="1" w:lineRule="exact"/>
        <w:rPr>
          <w:rFonts w:ascii="Arial" w:cs="Arial" w:eastAsia="Arial" w:hAnsi="Arial"/>
          <w:sz w:val="14"/>
          <w:szCs w:val="14"/>
          <w:color w:val="auto"/>
        </w:rPr>
      </w:pPr>
    </w:p>
    <w:p>
      <w:pPr>
        <w:ind w:left="880" w:right="539"/>
        <w:spacing w:after="0" w:line="287" w:lineRule="auto"/>
        <w:rPr>
          <w:rFonts w:ascii="Arial" w:cs="Arial" w:eastAsia="Arial" w:hAnsi="Arial"/>
          <w:sz w:val="14"/>
          <w:szCs w:val="14"/>
          <w:color w:val="auto"/>
        </w:rPr>
      </w:pPr>
      <w:r>
        <w:rPr>
          <w:rFonts w:ascii="Arial" w:cs="Arial" w:eastAsia="Arial" w:hAnsi="Arial"/>
          <w:sz w:val="15"/>
          <w:szCs w:val="15"/>
          <w:color w:val="auto"/>
        </w:rPr>
        <w:t>Krikov was granted stock options to purchase 23,282 shares of common stock under the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4" w:right="1440" w:bottom="277"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277"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79" w:hanging="426"/>
        <w:spacing w:after="0" w:line="263"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May 6, 2020, Mr. Harrison was granted stock options to purchase 13,401 shares of common stock under the 2019 Plan at an exercise price per share of $2.28. 25% of the options vest 12 months following issuance and the balance vests in 36 equal monthly installments thereafter. On July 20, 2020, Mr. Harrison was granted stock options to purchase 71,944 shares of common stock under the 2019 Plan at an exercise price per share of $2.28. 25% of the options vest 12 months following issuance and the balance vests in 36 equal monthly installments thereafter. On October 19, 2020, Mr. Harrison was granted stock options to purchase 68,856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3" w:lineRule="exact"/>
        <w:rPr>
          <w:rFonts w:ascii="Arial" w:cs="Arial" w:eastAsia="Arial" w:hAnsi="Arial"/>
          <w:sz w:val="16"/>
          <w:szCs w:val="16"/>
          <w:color w:val="auto"/>
        </w:rPr>
      </w:pPr>
    </w:p>
    <w:p>
      <w:pPr>
        <w:ind w:left="880" w:right="539" w:hanging="426"/>
        <w:spacing w:after="0" w:line="285"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December 26, 2019, Mr. Liotta was granted options to purchase 75,054 shares of our common stock under the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the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 On February 2, 2021, Mr. Liotta exercised options to purchase 135,358 shares of common stock. As of the date of this prospectus, Mr. Liotta does not hold any stock options.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9" w:lineRule="exact"/>
        <w:rPr>
          <w:sz w:val="20"/>
          <w:szCs w:val="20"/>
          <w:color w:val="auto"/>
        </w:rPr>
      </w:pPr>
    </w:p>
    <w:p>
      <w:pPr>
        <w:ind w:left="460" w:right="579" w:firstLine="432"/>
        <w:spacing w:after="0" w:line="285" w:lineRule="auto"/>
        <w:rPr>
          <w:sz w:val="20"/>
          <w:szCs w:val="20"/>
          <w:color w:val="auto"/>
        </w:rPr>
      </w:pPr>
      <w:r>
        <w:rPr>
          <w:rFonts w:ascii="Arial" w:cs="Arial" w:eastAsia="Arial" w:hAnsi="Arial"/>
          <w:sz w:val="16"/>
          <w:szCs w:val="16"/>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04" w:lineRule="exact"/>
        <w:rPr>
          <w:sz w:val="20"/>
          <w:szCs w:val="20"/>
          <w:color w:val="auto"/>
        </w:rPr>
      </w:pPr>
    </w:p>
    <w:p>
      <w:pPr>
        <w:ind w:left="460" w:right="599" w:firstLine="432"/>
        <w:spacing w:after="0" w:line="268" w:lineRule="auto"/>
        <w:rPr>
          <w:sz w:val="20"/>
          <w:szCs w:val="20"/>
          <w:color w:val="auto"/>
        </w:rPr>
      </w:pPr>
      <w:r>
        <w:rPr>
          <w:rFonts w:ascii="Arial" w:cs="Arial" w:eastAsia="Arial" w:hAnsi="Arial"/>
          <w:sz w:val="17"/>
          <w:szCs w:val="17"/>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Hua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On October 19, 2020, Mr. Mahoney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Oakes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11"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On December 21, 2020, Mr. Kressy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On June 4, 2019, we adopted and approved the 2019 Stock Option Plan (the “2019 Plan”) which provides for the issuance of 1,743,744 shares of our common stock. On August 10, 2020 and October 8, 2020, our board of directors and stockholders, respectively, approved an increase to the maximum number of shares of common stock authorized for issuance over the term of the 2019 Plan from 1,743,744 shares to 3,355,083 shares. As of the date of this prospectus, there are no shares available to be granted under the 2019 Plan. Prior to the consummation of our IPO, we cancelled the 2019 Plan and converted these stock options to the 2020 Plan, as more fully described below. Under the 2019 Plan, the standard vesting schedule provides that 25% of the options vest 12 months following issuance and the balance vests in 36 equal monthly installments thereafter. However, our board of directors is permitted to provide for alternative or accelerated 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Omnibus Equity Incentive Plan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94"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Plan is administered by the board, and upon consummation of this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administered by the compensation committee of the board, which shall consist of three members of the board, each of whom is a “non-employee director” within the meaning of Rule 16b-3 promulgated under the Exchange Act and “independent” for purposes of any applicable listing requirements. If a member of the compensation committee is eligible to receive an award under the 2020 Plan, such compensation committee member shall have no authority under the plan with respect to his or her own award. Among other things, the compensation committee has complete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86" w:lineRule="auto"/>
        <w:rPr>
          <w:sz w:val="20"/>
          <w:szCs w:val="20"/>
          <w:color w:val="auto"/>
        </w:rPr>
      </w:pPr>
      <w:r>
        <w:rPr>
          <w:rFonts w:ascii="Arial" w:cs="Arial" w:eastAsia="Arial" w:hAnsi="Arial"/>
          <w:sz w:val="16"/>
          <w:szCs w:val="16"/>
          <w:color w:val="auto"/>
        </w:rPr>
        <w:t>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106"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i w:val="1"/>
          <w:iCs w:val="1"/>
          <w:color w:val="auto"/>
        </w:rPr>
        <w:t>Grant of Awards; Shares Available for Awards</w:t>
      </w:r>
      <w:r>
        <w:rPr>
          <w:rFonts w:ascii="Arial" w:cs="Arial" w:eastAsia="Arial" w:hAnsi="Arial"/>
          <w:sz w:val="16"/>
          <w:szCs w:val="16"/>
          <w:color w:val="auto"/>
        </w:rPr>
        <w:t>. The 2020 Plan provides for the grant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1,516,519 shares, plus any reserved shares of common stock not issued or subject to outstanding awards granted under the 2019 Plan. As of the date of this prospectus, we have granted an aggregate of 2,842,990 options to various officers, directors, employees and consultants under the 2020 Plan.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8"/>
          <w:szCs w:val="18"/>
          <w:color w:val="auto"/>
          <w:vertAlign w:val="superscript"/>
        </w:rPr>
        <w:t>th</w:t>
      </w:r>
      <w:r>
        <w:rPr>
          <w:rFonts w:ascii="Arial" w:cs="Arial" w:eastAsia="Arial" w:hAnsi="Arial"/>
          <w:sz w:val="16"/>
          <w:szCs w:val="16"/>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32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7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2020 Plan provides for either “incentive stock options” (“ISOs”), which are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meet the requirements for special federal income tax treatment under Section 422 of the Code, or “nonqualified stock options” (“NQSOs”). Stock options may be granted on such terms and conditions as the compensation 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10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A SAR entitles the participant, upon exercise, to receive an amount,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 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91" w:lineRule="auto"/>
        <w:rPr>
          <w:sz w:val="20"/>
          <w:szCs w:val="20"/>
          <w:color w:val="auto"/>
        </w:rPr>
      </w:pPr>
      <w:r>
        <w:rPr>
          <w:rFonts w:ascii="Arial" w:cs="Arial" w:eastAsia="Arial" w:hAnsi="Arial"/>
          <w:sz w:val="16"/>
          <w:szCs w:val="16"/>
          <w:color w:val="auto"/>
        </w:rPr>
        <w:t>upon termination or exercise of the related stock option (likewise, the common stock option granted in tandem with a SAR terminates upon exercise of the SAR); (iii) is transferable only with the related stock option; and</w:t>
      </w:r>
    </w:p>
    <w:p>
      <w:pPr>
        <w:jc w:val="both"/>
        <w:ind w:left="460" w:right="499" w:hanging="6"/>
        <w:spacing w:after="0" w:line="255" w:lineRule="auto"/>
        <w:tabs>
          <w:tab w:leader="none" w:pos="7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12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i w:val="1"/>
          <w:iCs w:val="1"/>
          <w:color w:val="auto"/>
        </w:rPr>
        <w:t>Performance Shares and Performance Unit Awards</w:t>
      </w:r>
      <w:r>
        <w:rPr>
          <w:rFonts w:ascii="Arial" w:cs="Arial" w:eastAsia="Arial" w:hAnsi="Arial"/>
          <w:sz w:val="16"/>
          <w:szCs w:val="16"/>
          <w:color w:val="auto"/>
        </w:rPr>
        <w:t>. Performance share and performance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Arial" w:cs="Arial" w:eastAsia="Arial" w:hAnsi="Arial"/>
          <w:sz w:val="18"/>
          <w:szCs w:val="18"/>
          <w:color w:val="auto"/>
          <w:vertAlign w:val="superscript"/>
        </w:rPr>
        <w:t>th</w:t>
      </w:r>
      <w:r>
        <w:rPr>
          <w:rFonts w:ascii="Arial" w:cs="Arial" w:eastAsia="Arial" w:hAnsi="Arial"/>
          <w:sz w:val="16"/>
          <w:szCs w:val="16"/>
          <w:color w:val="auto"/>
        </w:rPr>
        <w:t>) day of the third (3</w:t>
      </w:r>
      <w:r>
        <w:rPr>
          <w:rFonts w:ascii="Arial" w:cs="Arial" w:eastAsia="Arial" w:hAnsi="Arial"/>
          <w:sz w:val="18"/>
          <w:szCs w:val="18"/>
          <w:color w:val="auto"/>
          <w:vertAlign w:val="superscript"/>
        </w:rPr>
        <w:t>rd</w:t>
      </w:r>
      <w:r>
        <w:rPr>
          <w:rFonts w:ascii="Arial" w:cs="Arial" w:eastAsia="Arial" w:hAnsi="Arial"/>
          <w:sz w:val="16"/>
          <w:szCs w:val="16"/>
          <w:color w:val="auto"/>
        </w:rPr>
        <w:t>) calendar month next following the end of the Company’s fiscal year to which such performance goals and objectives relate, unless otherwise structured to comply with Code Section 409A.</w:t>
      </w:r>
    </w:p>
    <w:p>
      <w:pPr>
        <w:spacing w:after="0" w:line="9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i w:val="1"/>
          <w:iCs w:val="1"/>
          <w:color w:val="auto"/>
        </w:rPr>
        <w:t>Distribution Equivalent Right Awards</w:t>
      </w:r>
      <w:r>
        <w:rPr>
          <w:rFonts w:ascii="Arial" w:cs="Arial" w:eastAsia="Arial" w:hAnsi="Arial"/>
          <w:sz w:val="17"/>
          <w:szCs w:val="17"/>
          <w:color w:val="auto"/>
        </w:rPr>
        <w:t>. A distribution equivalent right award entitles the participant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10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restricted stock award is a grant or sale of common stock to the holder,</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11"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A restricted stock unit award provides for a grant of shares or a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Arial" w:cs="Arial" w:eastAsia="Arial" w:hAnsi="Arial"/>
          <w:sz w:val="19"/>
          <w:szCs w:val="19"/>
          <w:color w:val="auto"/>
          <w:vertAlign w:val="superscript"/>
        </w:rPr>
        <w:t>th</w:t>
      </w:r>
      <w:r>
        <w:rPr>
          <w:rFonts w:ascii="Arial" w:cs="Arial" w:eastAsia="Arial" w:hAnsi="Arial"/>
          <w:sz w:val="17"/>
          <w:szCs w:val="17"/>
          <w:color w:val="auto"/>
        </w:rPr>
        <w:t>) day of the third (3</w:t>
      </w:r>
      <w:r>
        <w:rPr>
          <w:rFonts w:ascii="Arial" w:cs="Arial" w:eastAsia="Arial" w:hAnsi="Arial"/>
          <w:sz w:val="19"/>
          <w:szCs w:val="19"/>
          <w:color w:val="auto"/>
          <w:vertAlign w:val="superscript"/>
        </w:rPr>
        <w:t>rd</w:t>
      </w:r>
      <w:r>
        <w:rPr>
          <w:rFonts w:ascii="Arial" w:cs="Arial" w:eastAsia="Arial" w:hAnsi="Arial"/>
          <w:sz w:val="17"/>
          <w:szCs w:val="17"/>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 the Holder to voting rights, dividends or any other rights associated with ownership of Shares prior to the time the Holder shall receive a distribution of Shares.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An unrestricted stock award is a grant or sale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Change-in-Control Provisions</w:t>
      </w:r>
      <w:r>
        <w:rPr>
          <w:rFonts w:ascii="Arial" w:cs="Arial" w:eastAsia="Arial" w:hAnsi="Arial"/>
          <w:sz w:val="16"/>
          <w:szCs w:val="16"/>
          <w:color w:val="auto"/>
        </w:rPr>
        <w:t>. The compensation committee may, in its sole discretion, at the time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10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compensation committee may adopt, amend and rescind rules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48"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109" w:lineRule="exact"/>
        <w:rPr>
          <w:sz w:val="20"/>
          <w:szCs w:val="20"/>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Transactions with 4D Bios Inc.</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Enozo</w:t>
      </w:r>
    </w:p>
    <w:p>
      <w:pPr>
        <w:spacing w:after="0" w:line="14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 between TriGrow and Argand Group, LLC</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4D NXT Capital,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Argand Group, LLC, Dennis Liotta, and 4D NXT Capital, LLC</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and Warrant Purchase Agreement with NXT3J Capital, LLC</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63,219 shares of our common stock at an exercise price of $0.02 per share. Upon the closing of our IPO on February 1, 2021, the convertible promissory note held by NXT3J Capital was converted into 129,548 shares of our common stock.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Agreements</w:t>
      </w:r>
    </w:p>
    <w:p>
      <w:pPr>
        <w:spacing w:after="0" w:line="148"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articles of incorporation and bylaws require us to indemnify our directors and officers to the fullest extent permitted by Nevada law.</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76" w:lineRule="exact"/>
        <w:rPr>
          <w:sz w:val="20"/>
          <w:szCs w:val="20"/>
          <w:color w:val="auto"/>
        </w:rPr>
      </w:pPr>
    </w:p>
    <w:p>
      <w:pPr>
        <w:ind w:left="1320" w:right="73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more than 5% of our common stock;</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14"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calculations of beneficial ownership in this table are based on (i) 13,666,013 shares of common stock outstanding prior to the offering and (ii) 19,221,568 shares of common stock outstanding following the closing of the offering.</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Percentage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Total</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Total Voting</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Voting Power</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Power Prior to</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After This</w:t>
            </w:r>
          </w:p>
        </w:tc>
      </w:tr>
      <w:tr>
        <w:trPr>
          <w:trHeight w:val="253"/>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Offering</w:t>
            </w:r>
          </w:p>
        </w:tc>
      </w:tr>
      <w:tr>
        <w:trPr>
          <w:trHeight w:val="200"/>
        </w:trPr>
        <w:tc>
          <w:tcPr>
            <w:tcW w:w="43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Officers and Directors: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4"/>
        </w:trPr>
        <w:tc>
          <w:tcPr>
            <w:tcW w:w="4340" w:type="dxa"/>
            <w:vAlign w:val="bottom"/>
            <w:gridSpan w:val="4"/>
          </w:tcPr>
          <w:p>
            <w:pPr>
              <w:spacing w:after="0"/>
              <w:rPr>
                <w:sz w:val="20"/>
                <w:szCs w:val="20"/>
                <w:color w:val="auto"/>
              </w:rPr>
            </w:pPr>
            <w:r>
              <w:rPr>
                <w:rFonts w:ascii="Arial" w:cs="Arial" w:eastAsia="Arial" w:hAnsi="Arial"/>
                <w:sz w:val="18"/>
                <w:szCs w:val="18"/>
                <w:color w:val="auto"/>
              </w:rPr>
              <w:t>Raymond Chang</w:t>
            </w:r>
          </w:p>
        </w:tc>
        <w:tc>
          <w:tcPr>
            <w:tcW w:w="1140" w:type="dxa"/>
            <w:vAlign w:val="bottom"/>
          </w:tcPr>
          <w:p>
            <w:pPr>
              <w:jc w:val="right"/>
              <w:spacing w:after="0"/>
              <w:rPr>
                <w:sz w:val="20"/>
                <w:szCs w:val="20"/>
                <w:color w:val="auto"/>
              </w:rPr>
            </w:pPr>
            <w:r>
              <w:rPr>
                <w:rFonts w:ascii="Arial" w:cs="Arial" w:eastAsia="Arial" w:hAnsi="Arial"/>
                <w:sz w:val="18"/>
                <w:szCs w:val="18"/>
                <w:color w:val="auto"/>
              </w:rPr>
              <w:t>1,385,108</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3"/>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Guichao Hua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700,669</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Krishnan Varier</w:t>
            </w:r>
          </w:p>
        </w:tc>
        <w:tc>
          <w:tcPr>
            <w:tcW w:w="1140" w:type="dxa"/>
            <w:vAlign w:val="bottom"/>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4"/>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154,201</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Timothy Oakes</w:t>
            </w:r>
          </w:p>
        </w:tc>
        <w:tc>
          <w:tcPr>
            <w:tcW w:w="1140" w:type="dxa"/>
            <w:vAlign w:val="bottom"/>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4"/>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Matthew S. Kressy</w:t>
            </w:r>
          </w:p>
        </w:tc>
        <w:tc>
          <w:tcPr>
            <w:tcW w:w="1140" w:type="dxa"/>
            <w:vAlign w:val="bottom"/>
          </w:tcPr>
          <w:p>
            <w:pPr>
              <w:jc w:val="right"/>
              <w:spacing w:after="0"/>
              <w:rPr>
                <w:sz w:val="20"/>
                <w:szCs w:val="20"/>
                <w:color w:val="auto"/>
              </w:rPr>
            </w:pPr>
            <w:r>
              <w:rPr>
                <w:rFonts w:ascii="Arial" w:cs="Arial" w:eastAsia="Arial" w:hAnsi="Arial"/>
                <w:sz w:val="18"/>
                <w:szCs w:val="18"/>
                <w:color w:val="auto"/>
              </w:rPr>
              <w:t>22,127</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Massie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111,254</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4"/>
        </w:trPr>
        <w:tc>
          <w:tcPr>
            <w:tcW w:w="4340" w:type="dxa"/>
            <w:vAlign w:val="bottom"/>
            <w:gridSpan w:val="4"/>
          </w:tcPr>
          <w:p>
            <w:pPr>
              <w:spacing w:after="0"/>
              <w:rPr>
                <w:sz w:val="20"/>
                <w:szCs w:val="20"/>
                <w:color w:val="auto"/>
              </w:rPr>
            </w:pPr>
            <w:r>
              <w:rPr>
                <w:rFonts w:ascii="Arial" w:cs="Arial" w:eastAsia="Arial" w:hAnsi="Arial"/>
                <w:sz w:val="18"/>
                <w:szCs w:val="18"/>
                <w:color w:val="auto"/>
              </w:rPr>
              <w:t>Niv Krikov</w:t>
            </w:r>
          </w:p>
        </w:tc>
        <w:tc>
          <w:tcPr>
            <w:tcW w:w="1140" w:type="dxa"/>
            <w:vAlign w:val="bottom"/>
          </w:tcPr>
          <w:p>
            <w:pPr>
              <w:jc w:val="right"/>
              <w:spacing w:after="0"/>
              <w:rPr>
                <w:sz w:val="20"/>
                <w:szCs w:val="20"/>
                <w:color w:val="auto"/>
              </w:rPr>
            </w:pPr>
            <w:r>
              <w:rPr>
                <w:rFonts w:ascii="Arial" w:cs="Arial" w:eastAsia="Arial" w:hAnsi="Arial"/>
                <w:sz w:val="18"/>
                <w:szCs w:val="18"/>
                <w:color w:val="auto"/>
              </w:rPr>
              <w:t>328,996</w:t>
            </w:r>
            <w:r>
              <w:rPr>
                <w:rFonts w:ascii="Arial" w:cs="Arial" w:eastAsia="Arial" w:hAnsi="Arial"/>
                <w:sz w:val="20"/>
                <w:szCs w:val="20"/>
                <w:color w:val="auto"/>
                <w:vertAlign w:val="superscript"/>
              </w:rPr>
              <w:t>(6)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All directors and executive officers as a group (9 persons)</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2,825,715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8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5% shareholders: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Li Chen</w:t>
            </w:r>
          </w:p>
        </w:tc>
        <w:tc>
          <w:tcPr>
            <w:tcW w:w="1140" w:type="dxa"/>
            <w:vAlign w:val="bottom"/>
          </w:tcPr>
          <w:p>
            <w:pPr>
              <w:jc w:val="right"/>
              <w:spacing w:after="0"/>
              <w:rPr>
                <w:sz w:val="20"/>
                <w:szCs w:val="20"/>
                <w:color w:val="auto"/>
              </w:rPr>
            </w:pPr>
            <w:r>
              <w:rPr>
                <w:rFonts w:ascii="Arial" w:cs="Arial" w:eastAsia="Arial" w:hAnsi="Arial"/>
                <w:sz w:val="18"/>
                <w:szCs w:val="18"/>
                <w:color w:val="auto"/>
              </w:rPr>
              <w:t>1,052,207</w:t>
            </w:r>
            <w:r>
              <w:rPr>
                <w:rFonts w:ascii="Arial" w:cs="Arial" w:eastAsia="Arial" w:hAnsi="Arial"/>
                <w:sz w:val="20"/>
                <w:szCs w:val="20"/>
                <w:color w:val="auto"/>
                <w:vertAlign w:val="superscript"/>
              </w:rPr>
              <w:t>(7)</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Jesan Capital Company Limited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786,856</w:t>
            </w:r>
            <w:r>
              <w:rPr>
                <w:rFonts w:ascii="Arial" w:cs="Arial" w:eastAsia="Arial" w:hAnsi="Arial"/>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Dennis Liotta</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869,769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599" w:hanging="426"/>
        <w:spacing w:after="0" w:line="264"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Unless otherwise indicated, the address of such individual is c/o Agrify Corporation, 101 Middlesex Turnpike, Suite 6, PMB 326, Burlington, MA 01803.</w:t>
      </w:r>
    </w:p>
    <w:p>
      <w:pPr>
        <w:ind w:left="880" w:right="49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Includes (i) options to purchase 616,805 shares of common stock, (ii) 471,727 shares of common stock held by RTC3 2020 Irrevocable Family Trust, of which Mr. Chang retains the authority to remove the independent trustee,</w:t>
      </w:r>
    </w:p>
    <w:p>
      <w:pPr>
        <w:spacing w:after="0" w:line="1" w:lineRule="exact"/>
        <w:rPr>
          <w:rFonts w:ascii="Arial" w:cs="Arial" w:eastAsia="Arial" w:hAnsi="Arial"/>
          <w:sz w:val="15"/>
          <w:szCs w:val="15"/>
          <w:color w:val="auto"/>
        </w:rPr>
      </w:pPr>
    </w:p>
    <w:p>
      <w:pPr>
        <w:ind w:left="880" w:right="579"/>
        <w:spacing w:after="0" w:line="295" w:lineRule="auto"/>
        <w:rPr>
          <w:rFonts w:ascii="Arial" w:cs="Arial" w:eastAsia="Arial" w:hAnsi="Arial"/>
          <w:sz w:val="15"/>
          <w:szCs w:val="15"/>
          <w:color w:val="auto"/>
        </w:rPr>
      </w:pPr>
      <w:r>
        <w:rPr>
          <w:rFonts w:ascii="Arial" w:cs="Arial" w:eastAsia="Arial" w:hAnsi="Arial"/>
          <w:sz w:val="15"/>
          <w:szCs w:val="15"/>
          <w:color w:val="auto"/>
        </w:rPr>
        <w:t>(iii) 129,548 shares of common stock held by NXT3J Capital, LLC, an entity controlled by Mr. Chang, (iv) warrants to purchase 126,438 shares of common stock associated with our 2020 convertible promissory notes held by RTC3 2020 Irrevocable Family Trust (of which 63,219 was transferred from NXT3J Capital, LLC to RTC3 2020 Irrevocable Family Trust), and (v) options to purchase 40,590 shares of common stock held by Mr. Chang’s son.</w:t>
      </w:r>
    </w:p>
    <w:p>
      <w:pPr>
        <w:sectPr>
          <w:pgSz w:w="11900" w:h="16838" w:orient="portrait"/>
          <w:cols w:equalWidth="0" w:num="1">
            <w:col w:w="9019"/>
          </w:cols>
          <w:pgMar w:left="1440" w:top="274"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59" w:hanging="426"/>
        <w:spacing w:after="0" w:line="277"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(i) 116,913 shares of common stock, (ii) 542,636 shares of common stock held by Inventronics, of which Mr. Hua shares voting and dispositive control, and (iii) options to purchase 41,120 shares of common stock.</w:t>
      </w:r>
    </w:p>
    <w:p>
      <w:pPr>
        <w:ind w:left="880" w:hanging="426"/>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shares of common stock underlying options.</w:t>
      </w:r>
    </w:p>
    <w:p>
      <w:pPr>
        <w:spacing w:after="0" w:line="18" w:lineRule="exact"/>
        <w:rPr>
          <w:rFonts w:ascii="Arial" w:cs="Arial" w:eastAsia="Arial" w:hAnsi="Arial"/>
          <w:sz w:val="16"/>
          <w:szCs w:val="16"/>
          <w:color w:val="auto"/>
        </w:rPr>
      </w:pPr>
    </w:p>
    <w:p>
      <w:pPr>
        <w:ind w:left="880" w:right="679" w:hanging="426"/>
        <w:spacing w:after="0" w:line="26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20,593 shares of common stock held by an immediate family member of Mr. Massie and (ii) options to purchase 90,661 shares of common stock.</w:t>
      </w:r>
    </w:p>
    <w:p>
      <w:pPr>
        <w:ind w:left="880" w:hanging="426"/>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20,593 shares of common stock and (ii) options to purchase 308,403 shares of common stock.</w:t>
      </w:r>
    </w:p>
    <w:p>
      <w:pPr>
        <w:spacing w:after="0" w:line="18" w:lineRule="exact"/>
        <w:rPr>
          <w:rFonts w:ascii="Arial" w:cs="Arial" w:eastAsia="Arial" w:hAnsi="Arial"/>
          <w:sz w:val="16"/>
          <w:szCs w:val="16"/>
          <w:color w:val="auto"/>
        </w:rPr>
      </w:pPr>
    </w:p>
    <w:p>
      <w:pPr>
        <w:ind w:left="880" w:right="599" w:hanging="426"/>
        <w:spacing w:after="0" w:line="26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818,383 shares of common stock and (ii) 233,824 shares of common stock held by R&amp;T Trust, of which Li Chen is the trustee and holds voting and dispositive power over such shares. The address of R&amp;T Trust is 18 Walker Drive, Princeton, NJ.</w:t>
      </w:r>
    </w:p>
    <w:p>
      <w:pPr>
        <w:ind w:left="880" w:right="499" w:hanging="426"/>
        <w:spacing w:after="0" w:line="272"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609,842 shares of common stock and (ii) warrants to purchase 177,014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articles of incorporation authorizes the issuance of up to 50,000,000 shares of common stock, par value $0.001 per share, and 3,000,000 shares of preferred stock, par value $0.001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As of the date of this prospectus, there were 13,666,013 shares of common stock outstanding, warrants to purchase 828,173 shares of our common stock associated with our 2020 convertible promissory notes, warrants to purchase 352,967 shares of our common stock associated with representative’s warrants issued to the underwriters in connection with our IPO and this offering and 2,842,990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99"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83"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460" w:right="1099" w:firstLine="432"/>
        <w:spacing w:after="0" w:line="311" w:lineRule="auto"/>
        <w:rPr>
          <w:sz w:val="20"/>
          <w:szCs w:val="20"/>
          <w:color w:val="auto"/>
        </w:rPr>
      </w:pPr>
      <w:r>
        <w:rPr>
          <w:rFonts w:ascii="Arial" w:cs="Arial" w:eastAsia="Arial" w:hAnsi="Arial"/>
          <w:sz w:val="16"/>
          <w:szCs w:val="16"/>
          <w:color w:val="auto"/>
        </w:rPr>
        <w:t>We do not have any shares of preferred stock outstanding. Upon the consummation of our IPO on February 1, 2021, all 100,000 outstanding shares of Series A Preferred Stock outstanding automatically converted into 1,373,038 shares of common stock at a conversion price of $7.72 per share.</w:t>
      </w:r>
    </w:p>
    <w:p>
      <w:pPr>
        <w:spacing w:after="0" w:line="81"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options to purchase 2,842,990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warrants to purchase 1,014,473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shares of common stock are listed on the NASDAQ Capital Market under the symbol “AGFY.”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As of the date of this prospectus, there were 13,666,013 shares of common stock outstanding, which were held by approximately 46 record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jc w:val="both"/>
        <w:ind w:left="460" w:right="619" w:firstLine="432"/>
        <w:spacing w:after="0" w:line="293" w:lineRule="auto"/>
        <w:rPr>
          <w:sz w:val="20"/>
          <w:szCs w:val="20"/>
          <w:color w:val="auto"/>
        </w:rPr>
      </w:pPr>
      <w:r>
        <w:rPr>
          <w:rFonts w:ascii="Arial" w:cs="Arial" w:eastAsia="Arial" w:hAnsi="Arial"/>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8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6"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91"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combination meets all of the requirements of the resident domestic corporation’s articles of incorporation and</w:t>
      </w:r>
    </w:p>
    <w:p>
      <w:pPr>
        <w:spacing w:after="0" w:line="46" w:lineRule="exact"/>
        <w:rPr>
          <w:sz w:val="20"/>
          <w:szCs w:val="20"/>
          <w:color w:val="auto"/>
        </w:rPr>
      </w:pPr>
    </w:p>
    <w:p>
      <w:pPr>
        <w:ind w:left="460" w:right="559" w:hanging="6"/>
        <w:spacing w:after="0" w:line="285"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75"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business combination provisions do not apply to a person after the expiration of four years after the person first became an interested stockholder.</w:t>
      </w:r>
    </w:p>
    <w:p>
      <w:pPr>
        <w:spacing w:after="0" w:line="89"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Control Share Acquisitions</w:t>
      </w:r>
    </w:p>
    <w:p>
      <w:pPr>
        <w:spacing w:after="0" w:line="131"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8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91" w:lineRule="exact"/>
        <w:rPr>
          <w:sz w:val="20"/>
          <w:szCs w:val="20"/>
          <w:color w:val="auto"/>
        </w:rPr>
      </w:pPr>
    </w:p>
    <w:p>
      <w:pPr>
        <w:ind w:left="460" w:right="459" w:firstLine="432"/>
        <w:spacing w:after="0" w:line="245"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such occurrence.</w:t>
      </w:r>
    </w:p>
    <w:p>
      <w:pPr>
        <w:spacing w:after="0" w:line="10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98"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Based upon the number of shares outstanding as of February 7, 2021, upon the closing of this offering, we will have outstanding an aggregate of 19,221,568 shares of common stock, assuming no exercise of the underwriters’ over-allotment option and no exercise of outstanding options. All of the shares sold in this offering by us will be freely tradable without restrictions or further registration under the Securities Act, unless held by our affiliates, as that term is defined under Rule 144 under the Securities Act, or subject to lock-up agreements. Except for the shares of common stock issued in connection with our IPO,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24"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shares will be eligible for sale in the public market on the date of this prospectus; and</w:t>
      </w:r>
    </w:p>
    <w:p>
      <w:pPr>
        <w:spacing w:after="0" w:line="144" w:lineRule="exact"/>
        <w:rPr>
          <w:rFonts w:ascii="Arial" w:cs="Arial" w:eastAsia="Arial" w:hAnsi="Arial"/>
          <w:sz w:val="18"/>
          <w:szCs w:val="18"/>
          <w:color w:val="auto"/>
        </w:rPr>
      </w:pPr>
    </w:p>
    <w:p>
      <w:pPr>
        <w:ind w:left="1320" w:right="479" w:hanging="434"/>
        <w:spacing w:after="0" w:line="279" w:lineRule="auto"/>
        <w:tabs>
          <w:tab w:leader="none" w:pos="13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6,308,943 shares will be eligible for sale in the public market upon expiration of lock-up agreements 181 days after the date of the IPO prospectus (which period may be reduced to a minimum of 90 days if we meet certain stock price milestones), subject in certain circumstances to the volume, manner of sale and other limitations of Rule 144 and Rule 701.</w:t>
      </w:r>
    </w:p>
    <w:p>
      <w:pPr>
        <w:spacing w:after="0" w:line="104"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As of February 7, 2021, of the 2,842,990 shares of common stock issuable upon exercise of outstanding options, approximately 1,681,651 shares will be vested and eligible for sale 181 days after the date of the IPO prospectus.</w:t>
      </w:r>
    </w:p>
    <w:p>
      <w:pPr>
        <w:spacing w:after="0" w:line="11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7"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4" w:lineRule="exact"/>
        <w:rPr>
          <w:sz w:val="20"/>
          <w:szCs w:val="20"/>
          <w:color w:val="auto"/>
        </w:rPr>
      </w:pPr>
    </w:p>
    <w:p>
      <w:pPr>
        <w:ind w:left="1320" w:right="539" w:hanging="434"/>
        <w:spacing w:after="0" w:line="263"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192,216 shares immediately after the closing of this offering based on the number of shares of common stock outstanding as of February 7, 2021.</w:t>
      </w:r>
    </w:p>
    <w:p>
      <w:pPr>
        <w:spacing w:after="0" w:line="116" w:lineRule="exact"/>
        <w:rPr>
          <w:rFonts w:ascii="Arial" w:cs="Arial" w:eastAsia="Arial" w:hAnsi="Arial"/>
          <w:sz w:val="18"/>
          <w:szCs w:val="18"/>
          <w:color w:val="auto"/>
        </w:rPr>
      </w:pPr>
    </w:p>
    <w:p>
      <w:pPr>
        <w:ind w:left="1320" w:right="619" w:hanging="434"/>
        <w:spacing w:after="0" w:line="342" w:lineRule="auto"/>
        <w:tabs>
          <w:tab w:leader="none" w:pos="13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on The NASDAQ Capital Market during the four calendar weeks preceding the filing of a notice on Form 144 with respect to the sale.</w:t>
      </w:r>
    </w:p>
    <w:p>
      <w:pPr>
        <w:spacing w:after="0" w:line="4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Such sales by affiliates must also comply with the manner of sale, current public information and notice provisions of Rule 144.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Statements</w:t>
      </w:r>
    </w:p>
    <w:p>
      <w:pPr>
        <w:spacing w:after="0" w:line="162"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Arrangements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and our directors, officers and substantially all of our holders of one percent (1%) or more of our outstanding shares of common stock as of the date of our IPO prospectus (including securities exercisable for or convertible into shares of common stock), have agreed with the underwriters in our IPO that, subject to certain exceptions, until July 27, 2021, which is 181 days following the date of the IPO prospectus,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provided, however in the event that for 20 consecutive trading days the closing price of our common stock is in excess of 100% of the IPO price per share pursuant to the IPO prospectus (the “Stock Price Milestone Date”), then the lock-up period shall be reduced to the later of 90 days after the date of the IPO prospectus and five trading days after the Stock Price Milestone Date. These agreements are described in the section of this prospectus titled “Underwriting.”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Holders of shares of our common stock issued upon conversion of our shares of Series A Preferred Stock simultaneously with the closing of our IPO have piggyback registration rights with respect to such shares of common stock on any registration statements we file with the Securities and Exchange Commission, subject to certain limited exceptions.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Underwriters</w:t>
            </w:r>
          </w:p>
        </w:tc>
        <w:tc>
          <w:tcPr>
            <w:tcW w:w="1260" w:type="dxa"/>
            <w:vAlign w:val="bottom"/>
          </w:tcPr>
          <w:p>
            <w:pPr>
              <w:jc w:val="right"/>
              <w:ind w:right="314"/>
              <w:spacing w:after="0"/>
              <w:rPr>
                <w:sz w:val="20"/>
                <w:szCs w:val="20"/>
                <w:color w:val="auto"/>
              </w:rPr>
            </w:pPr>
            <w:r>
              <w:rPr>
                <w:rFonts w:ascii="Arial" w:cs="Arial" w:eastAsia="Arial" w:hAnsi="Arial"/>
                <w:sz w:val="16"/>
                <w:szCs w:val="16"/>
                <w:b w:val="1"/>
                <w:bCs w:val="1"/>
                <w:color w:val="auto"/>
              </w:rPr>
              <w:t>Shares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Roth Capital Partners, LLC</w:t>
            </w:r>
          </w:p>
        </w:tc>
        <w:tc>
          <w:tcPr>
            <w:tcW w:w="1260" w:type="dxa"/>
            <w:vAlign w:val="bottom"/>
          </w:tcPr>
          <w:p>
            <w:pPr>
              <w:jc w:val="right"/>
              <w:spacing w:after="0"/>
              <w:rPr>
                <w:sz w:val="20"/>
                <w:szCs w:val="20"/>
                <w:color w:val="auto"/>
              </w:rPr>
            </w:pPr>
            <w:r>
              <w:rPr>
                <w:rFonts w:ascii="Arial" w:cs="Arial" w:eastAsia="Arial" w:hAnsi="Arial"/>
                <w:sz w:val="18"/>
                <w:szCs w:val="18"/>
                <w:color w:val="auto"/>
              </w:rPr>
              <w:t>555,555</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5,555,555</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shares of common stock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 and acceptance of our shares of common stock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42" w:lineRule="auto"/>
        <w:rPr>
          <w:sz w:val="20"/>
          <w:szCs w:val="20"/>
          <w:color w:val="auto"/>
        </w:rPr>
      </w:pPr>
      <w:r>
        <w:rPr>
          <w:rFonts w:ascii="Arial" w:cs="Arial" w:eastAsia="Arial" w:hAnsi="Arial"/>
          <w:sz w:val="16"/>
          <w:szCs w:val="16"/>
          <w:color w:val="auto"/>
        </w:rPr>
        <w:t>We have been advised by Maxim that the underwriters intend to make a market in our shares of common stock but that they are not obligated to do so and may discontinue making a market at any time without notice.</w:t>
      </w:r>
    </w:p>
    <w:p>
      <w:pPr>
        <w:spacing w:after="0" w:line="43"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granted the underwriters an option to buy up to an aggregate of 833,333 additional shares of 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Shares sold by the underwriters to the public will initially be offered at the initial offering price set forth on the cover of this prospectus. Any shares sold by the underwriters to securities dealers may be sold at a discount of up to $0.4725 per share from the public offering price. The underwriters may offer the shares through one or more of their affiliates or selling agents. If all the shares are not sold at the public offering price, Maxim may change the offering price and the other selling terms. Upon execution of the underwriting agreement, the underwriters will be obligated to purchase the shares at the prices and upon the terms stated therein.</w:t>
      </w:r>
    </w:p>
    <w:p>
      <w:pPr>
        <w:spacing w:after="0" w:line="114"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$12.555 per share, which represents the public offering price of our shares set forth on the cover page of this prospectus less a 7% underwriting discount.</w:t>
      </w:r>
    </w:p>
    <w:p>
      <w:pPr>
        <w:spacing w:after="0" w:line="109"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The following table shows the per share and approximate total underwriting discount we will pay to the underwriters assuming both no exercise and full exercise of the underwriters’ option to purchase up to 833,333 additional shares.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No</w:t>
            </w:r>
          </w:p>
        </w:tc>
        <w:tc>
          <w:tcPr>
            <w:tcW w:w="20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Full</w:t>
            </w: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Exercise</w:t>
            </w:r>
          </w:p>
        </w:tc>
        <w:tc>
          <w:tcPr>
            <w:tcW w:w="20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6"/>
                <w:szCs w:val="16"/>
                <w:b w:val="1"/>
                <w:bCs w:val="1"/>
                <w:color w:val="auto"/>
              </w:rPr>
              <w:t>Exercise</w:t>
            </w:r>
          </w:p>
        </w:tc>
      </w:tr>
      <w:tr>
        <w:trPr>
          <w:trHeight w:val="47"/>
        </w:trPr>
        <w:tc>
          <w:tcPr>
            <w:tcW w:w="58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0.945</w:t>
            </w:r>
          </w:p>
        </w:tc>
      </w:tr>
      <w:tr>
        <w:trPr>
          <w:trHeight w:val="244"/>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5,250,000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6,037,500</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have agreed to pay Maxim’s out-of-pocket accountable expenses, including Maxim’s legal fees, up to a maximum amount of $200,000, irrespective of whether the offering is consummated.</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estimate that the total expenses of the offering payable by us, not including the underwriting discount, will be approximately $300,000. We have also agreed to reimburse the underwriters for certain expenses incurred by them.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6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have also agreed to issue to Maxim (or its permitted assignees) the warrants to purchase a number of our shares of common stock equal to an aggregate of 3% of the total number of shares of common stock sold in this offering (or Representative’s Warrants). The Representative’s Warrants will have an exercise price equal to 125% of the offering price of the shares of common stock sold in this offering and may be exercised on a cashless basis. The Representative’s Warrants are exercisable commencing 180 days after the effective date of the registration statement related to this offering, and will expire five years after the commencement of sales of this offering. The Representative’s Warrants are not redeemable by us. We have agreed to a one time demand registration of the shares of common stock underlying the Representative’s Warrants for a period of five years from the commencement of sales of this offering. The Representative’s Warrants also provide for unlimited “piggyback” registration rights at our expense with respect to the underlying shares of common stock during the five year period from the commencement of sales of this offering. The Representative’s Warrants and the shares of common stock underlying the Representative’s Warrants, have been deemed compensation by FINRA and are therefore subject to a 180-day lock-up pursuant to Rule 5110(e)(1) 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commencement of sales of this offering, except to any FINRA member participating in the offering, their officers or partners, associated persons or affiliates.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48"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We have granted Maxim, for the twelve (12) month period following the date of the IPO prospectus, or January 27, 2022, a right of first refusal to act as lead managing underwriter and book runner for any and all future public or private equity, equity-linked, convertible and debt offerings during such twelve (12) month period following the date of the IPO prospectus by us, or any successor to or any subsidiary of our company subject to such procedures as agreed upon in the underwriting agreement entered into in connection with our IPO. In the event that Maxim exercises its right of first refusal, we have the right to require Maxim to include one or more additional broker-dealers to act as co-manager in the applicable offering for up to an aggregate of twenty percent (20%) of the economics of such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and our directors, officers and substantially all of our holders of one percent (1%) or more of our outstanding shares of common stock as of the date of our IPO prospectus (including securities exercisable for or convertible into shares of common stock) entered into customary “lock-up” agreements in connection with our IPO pursuant to which such persons and entities agreed not to offer, issue, sell, contract to sell, encumber, grant any option for the sale of or otherwise dispose of any of our securities until July 27, 2021, which is 181 days following the date of the IPO prospectus, provided, however, in the event that for 20 consecutive trading days the closing price of our common stock is in excess of 100% of the IPO price per share (the “Stock Price Milestone Date”), then the lock-up period shall be reduced to the later of 90 days after the date of the IPO prospectus and five trading days after the Stock Price Milestone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1139" w:firstLine="432"/>
        <w:spacing w:after="0" w:line="311"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shares of common stock are listed on The NASDAQ Capital Market under the symbol “AGFY.”</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shares of common stock during and after this offering, including:</w:t>
      </w:r>
    </w:p>
    <w:p>
      <w:pPr>
        <w:spacing w:after="0" w:line="43" w:lineRule="exact"/>
        <w:rPr>
          <w:sz w:val="20"/>
          <w:szCs w:val="20"/>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00"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04"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0" w:lineRule="exact"/>
        <w:rPr>
          <w:sz w:val="20"/>
          <w:szCs w:val="20"/>
          <w:color w:val="auto"/>
        </w:rPr>
      </w:pPr>
    </w:p>
    <w:p>
      <w:pPr>
        <w:jc w:val="both"/>
        <w:ind w:left="460" w:right="599" w:firstLine="432"/>
        <w:spacing w:after="0" w:line="286" w:lineRule="auto"/>
        <w:rPr>
          <w:sz w:val="20"/>
          <w:szCs w:val="20"/>
          <w:color w:val="auto"/>
        </w:rPr>
      </w:pPr>
      <w:r>
        <w:rPr>
          <w:rFonts w:ascii="Arial" w:cs="Arial" w:eastAsia="Arial" w:hAnsi="Arial"/>
          <w:sz w:val="17"/>
          <w:szCs w:val="17"/>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8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The public offering price will be determined by negotiation among us and Maxim. The price of our common stock on The Nasdaq Capital Market during recent periods will only be one of many factors in determining the public offering price. Other factors to be considered in determining the public offering price include our history, our prospects, the industry in which we operate, our past and present operating results, the previous experience of our executive officers, the general condition of the securities markets at the time of this offering and discussions between the underwriters and prospective investors. The recent market price used throughout this prospectus may not be indicative of the final offering price. Neither we nor the underwriters can assure investors that an active trading market will develop for our shares of common stock or that the shares of common stock will trade in the public market at or above the public offering price.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4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Canada</w:t>
      </w:r>
      <w:r>
        <w:rPr>
          <w:rFonts w:ascii="Arial" w:cs="Arial" w:eastAsia="Arial" w:hAnsi="Arial"/>
          <w:sz w:val="17"/>
          <w:szCs w:val="17"/>
          <w:color w:val="auto"/>
        </w:rPr>
        <w:t>. The securities may be sold in Canada only to purchasers purchasing, or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purchasing, as principal that are accredited investors, as defined in National Instrument 45-106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subsection 73.3(1) of the Securities Act (Ontario), and are permitted clients,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National Instrument 31 103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10"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 xml:space="preserve">Pursuant to section 3A.3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1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9"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44" w:lineRule="exact"/>
        <w:rPr>
          <w:rFonts w:ascii="Arial" w:cs="Arial" w:eastAsia="Arial" w:hAnsi="Arial"/>
          <w:sz w:val="18"/>
          <w:szCs w:val="18"/>
          <w:color w:val="auto"/>
        </w:rPr>
      </w:pPr>
    </w:p>
    <w:p>
      <w:pPr>
        <w:ind w:left="1320" w:right="699" w:hanging="434"/>
        <w:spacing w:after="0" w:line="279" w:lineRule="auto"/>
        <w:tabs>
          <w:tab w:leader="none" w:pos="13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3" w:lineRule="exact"/>
        <w:rPr>
          <w:rFonts w:ascii="Arial" w:cs="Arial" w:eastAsia="Arial" w:hAnsi="Arial"/>
          <w:sz w:val="17"/>
          <w:szCs w:val="17"/>
          <w:color w:val="auto"/>
        </w:rPr>
      </w:pPr>
    </w:p>
    <w:p>
      <w:pPr>
        <w:jc w:val="both"/>
        <w:ind w:left="1320" w:right="559" w:hanging="434"/>
        <w:spacing w:after="0" w:line="263" w:lineRule="auto"/>
        <w:tabs>
          <w:tab w:leader="none" w:pos="13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16"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84"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58" w:lineRule="exact"/>
        <w:rPr>
          <w:sz w:val="20"/>
          <w:szCs w:val="20"/>
          <w:color w:val="auto"/>
        </w:rPr>
      </w:pPr>
    </w:p>
    <w:p>
      <w:pPr>
        <w:ind w:left="1320" w:right="519" w:hanging="434"/>
        <w:spacing w:after="0" w:line="257"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i w:val="1"/>
          <w:iCs w:val="1"/>
          <w:color w:val="auto"/>
        </w:rPr>
        <w:t>FSMA</w:t>
      </w:r>
      <w:r>
        <w:rPr>
          <w:rFonts w:ascii="Arial" w:cs="Arial" w:eastAsia="Arial" w:hAnsi="Arial"/>
          <w:sz w:val="18"/>
          <w:szCs w:val="18"/>
          <w:color w:val="auto"/>
        </w:rPr>
        <w:t>) received by it in connection with the issue or sale of the securities in circumstances in which Section 21(1) of the FSMA does not apply to us; and</w:t>
      </w:r>
    </w:p>
    <w:p>
      <w:pPr>
        <w:spacing w:after="0" w:line="120"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62"/>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4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i w:val="1"/>
          <w:iCs w:val="1"/>
          <w:color w:val="auto"/>
        </w:rPr>
        <w:t>CISA</w:t>
      </w:r>
      <w:r>
        <w:rPr>
          <w:rFonts w:ascii="Arial" w:cs="Arial" w:eastAsia="Arial" w:hAnsi="Arial"/>
          <w:sz w:val="17"/>
          <w:szCs w:val="17"/>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No placement document, prospectus, product disclosure statement or other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has been lodged with the Australian Securities and Investments Commission (</w:t>
      </w:r>
      <w:r>
        <w:rPr>
          <w:rFonts w:ascii="Arial" w:cs="Arial" w:eastAsia="Arial" w:hAnsi="Arial"/>
          <w:sz w:val="18"/>
          <w:szCs w:val="18"/>
          <w:i w:val="1"/>
          <w:iCs w:val="1"/>
          <w:color w:val="auto"/>
        </w:rPr>
        <w:t>ASIC</w:t>
      </w:r>
      <w:r>
        <w:rPr>
          <w:rFonts w:ascii="Arial" w:cs="Arial" w:eastAsia="Arial" w:hAnsi="Arial"/>
          <w:sz w:val="18"/>
          <w:szCs w:val="18"/>
          <w:color w:val="auto"/>
        </w:rPr>
        <w:t>), in relation to the offering.</w:t>
      </w:r>
    </w:p>
    <w:p>
      <w:pPr>
        <w:spacing w:after="0" w:line="116"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 xml:space="preserve">This prospectus does not constitute a prospectus, product disclosure statement or other disclosure document under the Corporations Act 2001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does not purport to include the information required for a prospectus, product disclosure statement or other disclosure document under the Corporations Act.</w:t>
      </w:r>
    </w:p>
    <w:p>
      <w:pPr>
        <w:spacing w:after="0" w:line="11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Any offer in Australia of the securities may only be made to persons (the </w:t>
      </w:r>
      <w:r>
        <w:rPr>
          <w:rFonts w:ascii="Arial" w:cs="Arial" w:eastAsia="Arial" w:hAnsi="Arial"/>
          <w:sz w:val="18"/>
          <w:szCs w:val="18"/>
          <w:i w:val="1"/>
          <w:iCs w:val="1"/>
          <w:color w:val="auto"/>
        </w:rPr>
        <w:t>Exempt Investors</w:t>
      </w:r>
      <w:r>
        <w:rPr>
          <w:rFonts w:ascii="Arial" w:cs="Arial" w:eastAsia="Arial" w:hAnsi="Arial"/>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0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2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0"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b w:val="1"/>
          <w:bCs w:val="1"/>
          <w:i w:val="1"/>
          <w:iCs w:val="1"/>
          <w:color w:val="auto"/>
        </w:rPr>
        <w:t xml:space="preserve">Notice to Prospective Investors in the Cayman Islands. </w:t>
      </w:r>
      <w:r>
        <w:rPr>
          <w:rFonts w:ascii="Arial" w:cs="Arial" w:eastAsia="Arial" w:hAnsi="Arial"/>
          <w:sz w:val="18"/>
          <w:szCs w:val="18"/>
          <w:color w:val="auto"/>
        </w:rPr>
        <w:t>No invitation, whether directly or indirectly,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made to the public in the Cayman Islands to subscribe for our securities.</w:t>
      </w:r>
    </w:p>
    <w:p>
      <w:pPr>
        <w:spacing w:after="0" w:line="89"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Taiwan</w:t>
      </w:r>
      <w:r>
        <w:rPr>
          <w:rFonts w:ascii="Arial" w:cs="Arial" w:eastAsia="Arial" w:hAnsi="Arial"/>
          <w:sz w:val="17"/>
          <w:szCs w:val="17"/>
          <w:color w:val="auto"/>
        </w:rPr>
        <w:t>. The securities have not been and will not be registered with the Financial Supervisory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10" w:lineRule="exact"/>
        <w:rPr>
          <w:sz w:val="20"/>
          <w:szCs w:val="20"/>
          <w:color w:val="auto"/>
        </w:rPr>
      </w:pPr>
    </w:p>
    <w:p>
      <w:pPr>
        <w:jc w:val="both"/>
        <w:ind w:left="460" w:right="499" w:firstLine="432"/>
        <w:spacing w:after="0" w:line="287" w:lineRule="auto"/>
        <w:rPr>
          <w:sz w:val="20"/>
          <w:szCs w:val="20"/>
          <w:color w:val="auto"/>
        </w:rPr>
      </w:pPr>
      <w:r>
        <w:rPr>
          <w:rFonts w:ascii="Arial" w:cs="Arial" w:eastAsia="Arial" w:hAnsi="Arial"/>
          <w:sz w:val="16"/>
          <w:szCs w:val="16"/>
          <w:b w:val="1"/>
          <w:bCs w:val="1"/>
          <w:i w:val="1"/>
          <w:iCs w:val="1"/>
          <w:color w:val="auto"/>
        </w:rPr>
        <w:t>Notice to Prospective Investors in Hong Kong</w:t>
      </w:r>
      <w:r>
        <w:rPr>
          <w:rFonts w:ascii="Arial" w:cs="Arial" w:eastAsia="Arial" w:hAnsi="Arial"/>
          <w:sz w:val="16"/>
          <w:szCs w:val="16"/>
          <w:color w:val="auto"/>
        </w:rPr>
        <w:t>. The contents of this prospectus have not been reviewed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any regulatory authority in Hong Kong. You are advised to exercise caution in relation to the offer. If you are in any doubt about any of the contents of this prospectus, you should obtain independent professional advice.</w:t>
      </w:r>
    </w:p>
    <w:p>
      <w:pPr>
        <w:spacing w:after="0" w:line="2" w:lineRule="exact"/>
        <w:rPr>
          <w:sz w:val="20"/>
          <w:szCs w:val="20"/>
          <w:color w:val="auto"/>
        </w:rPr>
      </w:pPr>
    </w:p>
    <w:p>
      <w:pPr>
        <w:ind w:left="460" w:right="499"/>
        <w:spacing w:after="0" w:line="285" w:lineRule="auto"/>
        <w:rPr>
          <w:sz w:val="20"/>
          <w:szCs w:val="20"/>
          <w:color w:val="auto"/>
        </w:rPr>
      </w:pPr>
      <w:r>
        <w:rPr>
          <w:rFonts w:ascii="Arial" w:cs="Arial" w:eastAsia="Arial" w:hAnsi="Arial"/>
          <w:sz w:val="16"/>
          <w:szCs w:val="16"/>
          <w:color w:val="auto"/>
        </w:rPr>
        <w:t>Please note that (i) our shares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which are or are intended to be disposed of only to persons outside Hong Kong or only to “professional investors” within the meaning of the SFO and any rules made thereunder.</w:t>
      </w:r>
    </w:p>
    <w:p>
      <w:pPr>
        <w:spacing w:after="0" w:line="107"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Notice to Prospective Investors in the People’s Republic of China</w:t>
      </w:r>
      <w:r>
        <w:rPr>
          <w:rFonts w:ascii="Arial" w:cs="Arial" w:eastAsia="Arial" w:hAnsi="Arial"/>
          <w:sz w:val="17"/>
          <w:szCs w:val="17"/>
          <w:color w:val="auto"/>
        </w:rPr>
        <w:t>. This prospectus may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circulated or distributed in the PRC and the shares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85"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 xml:space="preserve">You may read and copy all or any portion of the registration statement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We also maintain a website at</w:t>
      </w:r>
      <w:r>
        <w:rPr>
          <w:rFonts w:ascii="Arial" w:cs="Arial" w:eastAsia="Arial" w:hAnsi="Arial"/>
          <w:sz w:val="16"/>
          <w:szCs w:val="16"/>
          <w:i w:val="1"/>
          <w:iCs w:val="1"/>
          <w:color w:val="auto"/>
        </w:rPr>
        <w:t xml:space="preserve"> www.agrify.com</w:t>
      </w:r>
      <w:r>
        <w:rPr>
          <w:rFonts w:ascii="Arial" w:cs="Arial" w:eastAsia="Arial" w:hAnsi="Arial"/>
          <w:sz w:val="16"/>
          <w:szCs w:val="16"/>
          <w:color w:val="auto"/>
        </w:rPr>
        <w:t>. The information contained on, or that can be</w:t>
      </w:r>
      <w:r>
        <w:rPr>
          <w:rFonts w:ascii="Arial" w:cs="Arial" w:eastAsia="Arial" w:hAnsi="Arial"/>
          <w:sz w:val="16"/>
          <w:szCs w:val="16"/>
          <w:i w:val="1"/>
          <w:iCs w:val="1"/>
          <w:color w:val="auto"/>
        </w:rPr>
        <w:t xml:space="preserve"> </w:t>
      </w:r>
      <w:r>
        <w:rPr>
          <w:rFonts w:ascii="Arial" w:cs="Arial" w:eastAsia="Arial" w:hAnsi="Arial"/>
          <w:sz w:val="16"/>
          <w:szCs w:val="16"/>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97"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We are subject to the informational requirements of the Exchange Act, and, in accordance with the Exchange Act, are required to file annual, quarterly and current reports, proxy and information statements and other information with the SEC. Such annual, quarterly and current reports, proxy and information statements and other information can be inspected and copied at the locations set forth above.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Years Ended December 31, 2019 and 2018:</w:t>
      </w: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Consolidated Statements of Stockholders’ Equity Deficit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Quarter Ended September 30, 2020</w:t>
            </w: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w w:val="92"/>
              </w:rPr>
            </w:pPr>
            <w:hyperlink w:anchor="page137">
              <w:r>
                <w:rPr>
                  <w:rFonts w:ascii="Arial" w:cs="Arial" w:eastAsia="Arial" w:hAnsi="Arial"/>
                  <w:sz w:val="18"/>
                  <w:szCs w:val="18"/>
                  <w:u w:val="single" w:color="auto"/>
                  <w:color w:val="0000EE"/>
                  <w:w w:val="92"/>
                </w:rPr>
                <w:t>Condensed Consolidated Balance Sheets as of September 30, 2020 and December 31, 2019</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F-20</w:t>
            </w:r>
          </w:p>
        </w:tc>
      </w:tr>
      <w:tr>
        <w:trPr>
          <w:trHeight w:val="175"/>
        </w:trPr>
        <w:tc>
          <w:tcPr>
            <w:tcW w:w="180" w:type="dxa"/>
            <w:vAlign w:val="bottom"/>
          </w:tcPr>
          <w:p>
            <w:pPr>
              <w:spacing w:after="0"/>
              <w:rPr>
                <w:sz w:val="15"/>
                <w:szCs w:val="15"/>
                <w:color w:val="auto"/>
              </w:rPr>
            </w:pPr>
          </w:p>
        </w:tc>
        <w:tc>
          <w:tcPr>
            <w:tcW w:w="676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Condensed Consolidated Statements of Operations for the Nine Months Ended September 30,</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00" w:type="dxa"/>
            <w:vAlign w:val="bottom"/>
            <w:gridSpan w:val="9"/>
          </w:tcPr>
          <w:p>
            <w:pPr>
              <w:ind w:left="18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2020 and 2019</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180" w:type="dxa"/>
            <w:vAlign w:val="bottom"/>
            <w:shd w:val="clear" w:color="auto" w:fill="CCEEFF"/>
          </w:tcPr>
          <w:p>
            <w:pPr>
              <w:spacing w:after="0"/>
              <w:rPr>
                <w:sz w:val="15"/>
                <w:szCs w:val="15"/>
                <w:color w:val="auto"/>
              </w:rPr>
            </w:pPr>
          </w:p>
        </w:tc>
        <w:tc>
          <w:tcPr>
            <w:tcW w:w="6900" w:type="dxa"/>
            <w:vAlign w:val="bottom"/>
            <w:gridSpan w:val="9"/>
            <w:shd w:val="clear" w:color="auto" w:fill="CCEEFF"/>
          </w:tcPr>
          <w:p>
            <w:pPr>
              <w:spacing w:after="0" w:line="176" w:lineRule="exact"/>
              <w:rPr>
                <w:rFonts w:ascii="Arial" w:cs="Arial" w:eastAsia="Arial" w:hAnsi="Arial"/>
                <w:sz w:val="18"/>
                <w:szCs w:val="18"/>
                <w:color w:val="0000EE"/>
                <w:w w:val="98"/>
              </w:rPr>
            </w:pPr>
            <w:hyperlink w:anchor="page139">
              <w:r>
                <w:rPr>
                  <w:rFonts w:ascii="Arial" w:cs="Arial" w:eastAsia="Arial" w:hAnsi="Arial"/>
                  <w:sz w:val="18"/>
                  <w:szCs w:val="18"/>
                  <w:color w:val="0000EE"/>
                  <w:w w:val="98"/>
                </w:rPr>
                <w:t>Condensed Consolidated Statements of Stockholders Equity for the Nine Months Ended</w:t>
              </w:r>
            </w:hyperlink>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6"/>
            <w:shd w:val="clear" w:color="auto" w:fill="CCEEFF"/>
          </w:tcPr>
          <w:p>
            <w:pPr>
              <w:ind w:left="18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September 30, 2020 and 2019</w:t>
              </w:r>
            </w:hyperlink>
          </w:p>
        </w:tc>
        <w:tc>
          <w:tcPr>
            <w:tcW w:w="56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180" w:type="dxa"/>
            <w:vAlign w:val="bottom"/>
          </w:tcPr>
          <w:p>
            <w:pPr>
              <w:spacing w:after="0"/>
              <w:rPr>
                <w:sz w:val="15"/>
                <w:szCs w:val="15"/>
                <w:color w:val="auto"/>
              </w:rPr>
            </w:pPr>
          </w:p>
        </w:tc>
        <w:tc>
          <w:tcPr>
            <w:tcW w:w="6900" w:type="dxa"/>
            <w:vAlign w:val="bottom"/>
            <w:gridSpan w:val="9"/>
          </w:tcPr>
          <w:p>
            <w:pPr>
              <w:spacing w:after="0" w:line="17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Condensed Consolidated Statements of Cash Flows for the Nine Months Ended September 30,</w:t>
              </w:r>
            </w:hyperlink>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tcBorders>
              <w:top w:val="single" w:sz="8" w:color="0000EE"/>
            </w:tcBorders>
            <w:gridSpan w:val="8"/>
          </w:tcPr>
          <w:p>
            <w:pPr>
              <w:ind w:left="18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2020 and 2019</w:t>
              </w:r>
            </w:hyperlink>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Notes to Condensed Consolidated Financial Statements (Unaudited)</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F-24 – F-45</w:t>
            </w: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0"/>
              </w:rPr>
              <w:t>TriGrow Systems, Inc. and Subsidiary</w:t>
            </w:r>
          </w:p>
        </w:tc>
        <w:tc>
          <w:tcPr>
            <w:tcW w:w="102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02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Fiscal Years Ended December 31, 2019 and 2018:</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F-46</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F-47</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F-48</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Statements of Stockholders’ Equity</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F-49</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F-50</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F-51 – F-62</w:t>
            </w:r>
          </w:p>
        </w:tc>
      </w:tr>
      <w:tr>
        <w:trPr>
          <w:trHeight w:val="405"/>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2620"/>
              <w:spacing w:after="0"/>
              <w:rPr>
                <w:sz w:val="20"/>
                <w:szCs w:val="20"/>
                <w:color w:val="auto"/>
              </w:rPr>
            </w:pPr>
            <w:r>
              <w:rPr>
                <w:rFonts w:ascii="Arial" w:cs="Arial" w:eastAsia="Arial" w:hAnsi="Arial"/>
                <w:sz w:val="18"/>
                <w:szCs w:val="18"/>
                <w:color w:val="auto"/>
                <w:w w:val="88"/>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Corporation and Subsidiary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19, 2020 (except for Note 13, as to which is dated January 12, 2021).</w:t>
      </w:r>
    </w:p>
    <w:p>
      <w:pPr>
        <w:spacing w:after="0" w:line="17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December 31, 2019 and 2018; 3,616,125 and 2,326,458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55" w:lineRule="auto"/>
        <w:rPr>
          <w:sz w:val="20"/>
          <w:szCs w:val="20"/>
          <w:color w:val="auto"/>
        </w:rPr>
      </w:pPr>
      <w:r>
        <w:rPr>
          <w:rFonts w:ascii="Arial" w:cs="Arial" w:eastAsia="Arial" w:hAnsi="Arial"/>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Miscellaneous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Borders>
              <w:top w:val="single" w:sz="8" w:color="auto"/>
            </w:tcBorders>
          </w:tcPr>
          <w:p>
            <w:pPr>
              <w:spacing w:after="0"/>
              <w:rPr>
                <w:sz w:val="21"/>
                <w:szCs w:val="21"/>
                <w:color w:val="auto"/>
              </w:rPr>
            </w:pP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33"/>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20"/>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96" w:lineRule="exact"/>
        <w:rPr>
          <w:sz w:val="20"/>
          <w:szCs w:val="20"/>
          <w:color w:val="auto"/>
        </w:rPr>
      </w:pPr>
    </w:p>
    <w:p>
      <w:pPr>
        <w:ind w:left="460"/>
        <w:spacing w:after="0"/>
        <w:tabs>
          <w:tab w:leader="none" w:pos="6060" w:val="left"/>
          <w:tab w:leader="none" w:pos="6580" w:val="left"/>
          <w:tab w:leader="none" w:pos="7280" w:val="left"/>
          <w:tab w:leader="none" w:pos="792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(3,042)</w:t>
        <w:tab/>
        <w:t>$</w:t>
      </w:r>
      <w:r>
        <w:rPr>
          <w:sz w:val="20"/>
          <w:szCs w:val="20"/>
          <w:color w:val="auto"/>
        </w:rPr>
        <w:tab/>
      </w:r>
      <w:r>
        <w:rPr>
          <w:rFonts w:ascii="Arial" w:cs="Arial" w:eastAsia="Arial" w:hAnsi="Arial"/>
          <w:sz w:val="16"/>
          <w:szCs w:val="16"/>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31750</wp:posOffset>
            </wp:positionV>
            <wp:extent cx="148272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1" w:name="page122"/>
    <w:bookmarkEnd w:id="1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AGRIFY CORPORATION AND SUBSIDIARY CONSOLIDATED STATEMENTS STOCKHOLDERS’ EQUITY DEFICIT (In thousands, except share amounts)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5"/>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w w:val="99"/>
              </w:rPr>
              <w:t>Conversion of notes payable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1,289,667</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3,616,125</w:t>
            </w:r>
          </w:p>
        </w:tc>
        <w:tc>
          <w:tcPr>
            <w:tcW w:w="50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96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3,879</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3,746</w:t>
      </w:r>
      <w:r>
        <w:rPr>
          <w:sz w:val="20"/>
          <w:szCs w:val="20"/>
          <w:color w:val="auto"/>
        </w:rPr>
        <w:tab/>
      </w:r>
      <w:r>
        <w:rPr>
          <w:rFonts w:ascii="Arial" w:cs="Arial" w:eastAsia="Arial" w:hAnsi="Arial"/>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11,091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3" w:name="page124"/>
    <w:bookmarkEnd w:id="1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Agrify Valiant LLC did not begin its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03"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1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11"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2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Inventories, which are stated at the lower of cost or net realizable value, consist primarily of supplies.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using the weighted average method.</w:t>
      </w:r>
    </w:p>
    <w:p>
      <w:pPr>
        <w:spacing w:after="0" w:line="143"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jc w:val="both"/>
        <w:ind w:left="460" w:right="659" w:firstLine="432"/>
        <w:spacing w:after="0" w:line="259" w:lineRule="auto"/>
        <w:rPr>
          <w:sz w:val="20"/>
          <w:szCs w:val="20"/>
          <w:color w:val="auto"/>
        </w:rPr>
      </w:pPr>
      <w:r>
        <w:rPr>
          <w:rFonts w:ascii="Arial" w:cs="Arial" w:eastAsia="Arial" w:hAnsi="Arial"/>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spacing w:after="0" w:line="255" w:lineRule="auto"/>
        <w:rPr>
          <w:sz w:val="20"/>
          <w:szCs w:val="20"/>
          <w:color w:val="auto"/>
        </w:rPr>
      </w:pPr>
      <w:r>
        <w:rPr>
          <w:rFonts w:ascii="Arial" w:cs="Arial" w:eastAsia="Arial" w:hAnsi="Arial"/>
          <w:sz w:val="18"/>
          <w:szCs w:val="18"/>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Company uses assumptions in establishing the carrying value of its intangible assets. Intangible assets resulted from investment in the Company’s website and trademark.</w:t>
      </w:r>
    </w:p>
    <w:p>
      <w:pPr>
        <w:spacing w:after="0" w:line="103"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07"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(in thousands):</w:t>
      </w:r>
    </w:p>
    <w:p>
      <w:pPr>
        <w:spacing w:after="0" w:line="130"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4,088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11"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97"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carrying value of the Company’s investment in TPI was $0 as of December 31, 2019 and 2018.</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did not recognize revenue from TPI for the years ended December 31, 2019 and 2018.</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0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06" w:lineRule="exact"/>
        <w:rPr>
          <w:sz w:val="20"/>
          <w:szCs w:val="20"/>
          <w:color w:val="auto"/>
        </w:rPr>
      </w:pPr>
    </w:p>
    <w:p>
      <w:pPr>
        <w:ind w:left="460" w:right="759" w:firstLine="432"/>
        <w:spacing w:after="0" w:line="287"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Interaction between Topic 808 and Topic 606 </w:t>
      </w:r>
      <w:r>
        <w:rPr>
          <w:rFonts w:ascii="Arial" w:cs="Arial" w:eastAsia="Arial" w:hAnsi="Arial"/>
          <w:sz w:val="16"/>
          <w:szCs w:val="16"/>
          <w:color w:val="auto"/>
        </w:rPr>
        <w:t>(“ASU2018-18”), which clarifies that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between collaborative arrangement participants should be accounted for as revenue under Topic</w:t>
      </w:r>
    </w:p>
    <w:p>
      <w:pPr>
        <w:spacing w:after="0" w:line="2"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Vendor Receivables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and 2018, inventory consists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2,481</w:t>
            </w: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2"/>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w w:val="94"/>
              </w:rPr>
              <w:t>Website Domain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
        </w:trPr>
        <w:tc>
          <w:tcPr>
            <w:tcW w:w="4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Based on the intangible assets in service as of December 31, 2019, estimated amortization expenses are $14 for each of the next ten years.</w:t>
      </w:r>
    </w:p>
    <w:p>
      <w:pPr>
        <w:spacing w:after="0" w:line="103"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$7 and $0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65"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9" w:lineRule="exact"/>
        <w:rPr>
          <w:sz w:val="20"/>
          <w:szCs w:val="20"/>
          <w:color w:val="auto"/>
        </w:rPr>
      </w:pPr>
    </w:p>
    <w:p>
      <w:pPr>
        <w:ind w:left="460" w:right="819" w:firstLine="432"/>
        <w:spacing w:after="0" w:line="311" w:lineRule="auto"/>
        <w:rPr>
          <w:sz w:val="20"/>
          <w:szCs w:val="20"/>
          <w:color w:val="auto"/>
        </w:rPr>
      </w:pPr>
      <w:r>
        <w:rPr>
          <w:rFonts w:ascii="Arial" w:cs="Arial" w:eastAsia="Arial" w:hAnsi="Arial"/>
          <w:sz w:val="16"/>
          <w:szCs w:val="16"/>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68"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$3.10 per share for gross proceeds of $4,000.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On June 4, 2019, the Company adopted its 2019 Stock Option Plan allowing the issuance of 1,743,744 shares. During December 2019 the Company granted 493,102 options to various employees and consultants. As of December 31, 2019, there were 1,250,641 shares available to be granted under the 2019 Stock Option Plan.</w:t>
      </w:r>
    </w:p>
    <w:p>
      <w:pPr>
        <w:spacing w:after="0" w:line="6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4"/>
              </w:rPr>
              <w:t>60%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w w:val="90"/>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0% Expected life (years)</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7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average exercise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price</w:t>
            </w: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gridSpan w:val="4"/>
            <w:shd w:val="clear" w:color="auto" w:fill="CCEEFF"/>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4"/>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3"/>
        </w:trPr>
        <w:tc>
          <w:tcPr>
            <w:tcW w:w="43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1"/>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303"/>
        </w:trPr>
        <w:tc>
          <w:tcPr>
            <w:tcW w:w="4360" w:type="dxa"/>
            <w:vAlign w:val="bottom"/>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53,726</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1"/>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432"/>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There was no aggregate intrinsic value at December 31, 2019 as the Company’s stock price of $3.10 on December 31, 2019, was below the exercise price of the outstanding stock options.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December 31, 2019:</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Arial" w:cs="Arial" w:eastAsia="Arial" w:hAnsi="Arial"/>
                <w:sz w:val="16"/>
                <w:szCs w:val="16"/>
                <w:b w:val="1"/>
                <w:bCs w:val="1"/>
                <w:color w:val="auto"/>
                <w:w w:val="88"/>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9,772</w:t>
            </w:r>
          </w:p>
        </w:tc>
        <w:tc>
          <w:tcPr>
            <w:tcW w:w="2040" w:type="dxa"/>
            <w:vAlign w:val="bottom"/>
            <w:gridSpan w:val="3"/>
          </w:tcPr>
          <w:p>
            <w:pPr>
              <w:ind w:left="176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following table summarizes information about options expected to vest after December 31, 2019:</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w w:val="93"/>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7"/>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6"/>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4"/>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355,331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84,045</w:t>
            </w: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Employee Benefit Plan</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09"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Company recognizes rent expense on a straight-line basis over the respective lease period. Rent expense was $53 and $10 for the years ended December 31, 2019 and 2018, respectively.</w:t>
      </w:r>
    </w:p>
    <w:p>
      <w:pPr>
        <w:spacing w:after="0" w:line="43" w:lineRule="exact"/>
        <w:rPr>
          <w:sz w:val="20"/>
          <w:szCs w:val="20"/>
          <w:color w:val="auto"/>
        </w:rPr>
      </w:pPr>
    </w:p>
    <w:p>
      <w:pPr>
        <w:jc w:val="both"/>
        <w:ind w:left="460" w:right="599" w:firstLine="432"/>
        <w:spacing w:after="0" w:line="277" w:lineRule="auto"/>
        <w:rPr>
          <w:sz w:val="20"/>
          <w:szCs w:val="20"/>
          <w:color w:val="auto"/>
        </w:rPr>
      </w:pPr>
      <w:r>
        <w:rPr>
          <w:rFonts w:ascii="Arial" w:cs="Arial" w:eastAsia="Arial" w:hAnsi="Arial"/>
          <w:sz w:val="18"/>
          <w:szCs w:val="18"/>
          <w:color w:val="auto"/>
        </w:rPr>
        <w:t>Future minimum lease commitments under operating leases as of December 31, 2019 are $30 until April 30,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25"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 holders of the Series A Convertible Preferred Stock have the right to receive dividends prior and in preference to any payment of any dividend on the common stock, at a rate of 7% per stock per annum.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Agrify Brands, LLC (formerly TriGrow Brands, LLC), an owner of portfolio cannabis consumer brands. In consideration of TriGrow’s shares, the Company issued to TriGrow’s shareholders 595,552 shares of the Company’s common stock, $0.001 par value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of Authorized Shares</w:t>
      </w:r>
    </w:p>
    <w:p>
      <w:pPr>
        <w:spacing w:after="0" w:line="144" w:lineRule="exact"/>
        <w:rPr>
          <w:sz w:val="20"/>
          <w:szCs w:val="20"/>
          <w:color w:val="auto"/>
        </w:rPr>
      </w:pPr>
    </w:p>
    <w:p>
      <w:pPr>
        <w:jc w:val="both"/>
        <w:ind w:left="460" w:right="499" w:firstLine="432"/>
        <w:spacing w:after="0" w:line="340" w:lineRule="auto"/>
        <w:rPr>
          <w:sz w:val="20"/>
          <w:szCs w:val="20"/>
          <w:color w:val="auto"/>
        </w:rPr>
      </w:pPr>
      <w:r>
        <w:rPr>
          <w:rFonts w:ascii="Arial" w:cs="Arial" w:eastAsia="Arial" w:hAnsi="Arial"/>
          <w:sz w:val="15"/>
          <w:szCs w:val="15"/>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Subsequent Event, Reverse Stock Split</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January 2021, the Company effected a 1-for-1.581804 reverse stock split to the outstanding shares of common stock of the Company. All references made to share or per share amounts in the accompanying consolidated financial statements and applicable disclosures have been retroactively adjusted to reflect the reverse stock split.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Prepaid inventory</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1,675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Notes payable, net of debt discount of $2,434,675 and $0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9,098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50,000,000 and 6,500,000 shares, $0.001 par value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authorized as of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respectively; 4,211,677 and 3,616,125 shares issued at September 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56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Preferred 2,895,000 and 0 shares, $0.001 par value authorized as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5"/>
              </w:rPr>
              <w:t>September 30, 2020 and December 31, 2019, respectively; 0 shares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1"/>
              </w:rPr>
              <w:t>issued as of September 30, 2020 and December 31, 2019, respectively;</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A stock 105,000 and 0 shares, $0.001 par value authorized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September 30, 2020 and December 31, 2019, respectively; 100,000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shares issued at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511"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380" w:right="880"/>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OPERATIONS (UNAUDITED)</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Nine months ended</w:t>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(loss)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700" w:val="left"/>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7,734 $</w:t>
      </w:r>
      <w:r>
        <w:rPr>
          <w:sz w:val="20"/>
          <w:szCs w:val="20"/>
          <w:color w:val="auto"/>
        </w:rPr>
        <w:tab/>
      </w:r>
      <w:r>
        <w:rPr>
          <w:rFonts w:ascii="Arial" w:cs="Arial" w:eastAsia="Arial" w:hAnsi="Arial"/>
          <w:sz w:val="15"/>
          <w:szCs w:val="15"/>
          <w:color w:val="auto"/>
        </w:rPr>
        <w:t>2,425</w:t>
      </w:r>
    </w:p>
    <w:p>
      <w:pPr>
        <w:spacing w:after="0" w:line="90" w:lineRule="exact"/>
        <w:rPr>
          <w:sz w:val="20"/>
          <w:szCs w:val="20"/>
          <w:color w:val="auto"/>
        </w:rPr>
      </w:pPr>
    </w:p>
    <w:p>
      <w:pPr>
        <w:ind w:left="720"/>
        <w:spacing w:after="0"/>
        <w:tabs>
          <w:tab w:leader="none" w:pos="1900" w:val="left"/>
        </w:tabs>
        <w:rPr>
          <w:sz w:val="20"/>
          <w:szCs w:val="20"/>
          <w:color w:val="auto"/>
        </w:rPr>
      </w:pPr>
      <w:r>
        <w:rPr>
          <w:rFonts w:ascii="Arial" w:cs="Arial" w:eastAsia="Arial" w:hAnsi="Arial"/>
          <w:sz w:val="18"/>
          <w:szCs w:val="18"/>
          <w:color w:val="auto"/>
        </w:rPr>
        <w:t>6,874</w:t>
      </w:r>
      <w:r>
        <w:rPr>
          <w:sz w:val="20"/>
          <w:szCs w:val="20"/>
          <w:color w:val="auto"/>
        </w:rPr>
        <w:tab/>
      </w:r>
      <w:r>
        <w:rPr>
          <w:rFonts w:ascii="Arial" w:cs="Arial" w:eastAsia="Arial" w:hAnsi="Arial"/>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31750</wp:posOffset>
            </wp:positionV>
            <wp:extent cx="5143500"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1980" w:val="left"/>
        </w:tabs>
        <w:rPr>
          <w:sz w:val="20"/>
          <w:szCs w:val="20"/>
          <w:color w:val="auto"/>
        </w:rPr>
      </w:pPr>
      <w:r>
        <w:rPr>
          <w:rFonts w:ascii="Arial" w:cs="Arial" w:eastAsia="Arial" w:hAnsi="Arial"/>
          <w:sz w:val="18"/>
          <w:szCs w:val="18"/>
          <w:color w:val="auto"/>
        </w:rPr>
        <w:t>860</w:t>
      </w:r>
      <w:r>
        <w:rPr>
          <w:sz w:val="20"/>
          <w:szCs w:val="20"/>
          <w:color w:val="auto"/>
        </w:rPr>
        <w:tab/>
      </w: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2,392</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6,940</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9,332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8,562</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8" w:name="page139"/>
    <w:bookmarkEnd w:id="1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3" w:lineRule="auto"/>
        <w:rPr>
          <w:sz w:val="20"/>
          <w:szCs w:val="20"/>
          <w:color w:val="auto"/>
        </w:rPr>
      </w:pPr>
      <w:r>
        <w:rPr>
          <w:rFonts w:ascii="Arial" w:cs="Arial" w:eastAsia="Arial" w:hAnsi="Arial"/>
          <w:sz w:val="18"/>
          <w:szCs w:val="18"/>
          <w:b w:val="1"/>
          <w:bCs w:val="1"/>
          <w:color w:val="auto"/>
        </w:rPr>
        <w:t>AGRIFY CORPORATION AND SUBSIDIARIES CONDENSED CONSOLIDATED STATEMENTS OF STOCKHOLDERS’ EQUITY FOR THE NINE MONTHS ENDED SEPTEMBER 30, 2019 and 2020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0"/>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120"/>
              <w:spacing w:after="0"/>
              <w:rPr>
                <w:sz w:val="20"/>
                <w:szCs w:val="20"/>
                <w:color w:val="auto"/>
              </w:rPr>
            </w:pPr>
            <w:r>
              <w:rPr>
                <w:rFonts w:ascii="Arial" w:cs="Arial" w:eastAsia="Arial" w:hAnsi="Arial"/>
                <w:sz w:val="14"/>
                <w:szCs w:val="14"/>
                <w:b w:val="1"/>
                <w:bCs w:val="1"/>
                <w:color w:val="auto"/>
                <w:w w:val="96"/>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14"/>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  Subscription Accumulated</w:t>
            </w:r>
          </w:p>
        </w:tc>
        <w:tc>
          <w:tcPr>
            <w:tcW w:w="900" w:type="dxa"/>
            <w:vAlign w:val="bottom"/>
            <w:gridSpan w:val="6"/>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640" w:type="dxa"/>
            <w:vAlign w:val="bottom"/>
            <w:gridSpan w:val="10"/>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11"/>
            <w:vMerge w:val="restart"/>
          </w:tcPr>
          <w:p>
            <w:pPr>
              <w:jc w:val="right"/>
              <w:ind w:right="120"/>
              <w:spacing w:after="0"/>
              <w:rPr>
                <w:sz w:val="20"/>
                <w:szCs w:val="20"/>
                <w:color w:val="auto"/>
              </w:rPr>
            </w:pPr>
            <w:r>
              <w:rPr>
                <w:rFonts w:ascii="Arial" w:cs="Arial" w:eastAsia="Arial" w:hAnsi="Arial"/>
                <w:sz w:val="14"/>
                <w:szCs w:val="14"/>
                <w:b w:val="1"/>
                <w:bCs w:val="1"/>
                <w:color w:val="auto"/>
                <w:w w:val="96"/>
              </w:rPr>
              <w:t>Amount Shares Amount</w:t>
            </w:r>
          </w:p>
        </w:tc>
        <w:tc>
          <w:tcPr>
            <w:tcW w:w="2360" w:type="dxa"/>
            <w:vAlign w:val="bottom"/>
            <w:gridSpan w:val="14"/>
            <w:vMerge w:val="continue"/>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16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80" w:type="dxa"/>
            <w:vAlign w:val="bottom"/>
            <w:gridSpan w:val="11"/>
            <w:vMerge w:val="continue"/>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2,326,458</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(1,851)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subscription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2"/>
              </w:rPr>
              <w:t>1,289,667</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2,948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3,950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rPr>
              <w:t>201</w:t>
            </w:r>
            <w:r>
              <w:rPr>
                <w:rFonts w:ascii="Arial" w:cs="Arial" w:eastAsia="Arial" w:hAnsi="Arial"/>
                <w:sz w:val="16"/>
                <w:szCs w:val="16"/>
                <w:color w:val="auto"/>
              </w:rPr>
              <w:t>9</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3,616,125</w:t>
            </w:r>
          </w:p>
        </w:tc>
        <w:tc>
          <w:tcPr>
            <w:tcW w:w="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760" w:type="dxa"/>
            <w:vAlign w:val="bottom"/>
            <w:gridSpan w:val="5"/>
          </w:tcPr>
          <w:p>
            <w:pPr>
              <w:ind w:left="240"/>
              <w:spacing w:after="0"/>
              <w:rPr>
                <w:sz w:val="20"/>
                <w:szCs w:val="20"/>
                <w:color w:val="auto"/>
              </w:rPr>
            </w:pPr>
            <w:r>
              <w:rPr>
                <w:rFonts w:ascii="Arial" w:cs="Arial" w:eastAsia="Arial" w:hAnsi="Arial"/>
                <w:sz w:val="16"/>
                <w:szCs w:val="16"/>
                <w:color w:val="auto"/>
              </w:rPr>
              <w:t>—</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3,039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center"/>
              <w:ind w:left="139"/>
              <w:spacing w:after="0"/>
              <w:rPr>
                <w:sz w:val="20"/>
                <w:szCs w:val="20"/>
                <w:color w:val="auto"/>
              </w:rPr>
            </w:pPr>
            <w:r>
              <w:rPr>
                <w:rFonts w:ascii="Arial" w:cs="Arial" w:eastAsia="Arial" w:hAnsi="Arial"/>
                <w:sz w:val="16"/>
                <w:szCs w:val="16"/>
                <w:color w:val="auto"/>
                <w:w w:val="94"/>
              </w:rPr>
              <w:t>(3,052)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9"/>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20"/>
              <w:spacing w:after="0"/>
              <w:rPr>
                <w:sz w:val="20"/>
                <w:szCs w:val="20"/>
                <w:color w:val="auto"/>
              </w:rPr>
            </w:pPr>
            <w:r>
              <w:rPr>
                <w:rFonts w:ascii="Arial" w:cs="Arial" w:eastAsia="Arial" w:hAnsi="Arial"/>
                <w:sz w:val="14"/>
                <w:szCs w:val="14"/>
                <w:b w:val="1"/>
                <w:bCs w:val="1"/>
                <w:color w:val="auto"/>
                <w:w w:val="94"/>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244"/>
              <w:spacing w:after="0" w:line="149"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Paid-In</w:t>
            </w:r>
          </w:p>
        </w:tc>
        <w:tc>
          <w:tcPr>
            <w:tcW w:w="2560" w:type="dxa"/>
            <w:vAlign w:val="bottom"/>
            <w:gridSpan w:val="16"/>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Subscription Accumulated attributable</w:t>
            </w:r>
          </w:p>
        </w:tc>
        <w:tc>
          <w:tcPr>
            <w:tcW w:w="40" w:type="dxa"/>
            <w:vAlign w:val="bottom"/>
          </w:tcPr>
          <w:p>
            <w:pPr>
              <w:spacing w:after="0"/>
              <w:rPr>
                <w:sz w:val="5"/>
                <w:szCs w:val="5"/>
                <w:color w:val="auto"/>
              </w:rPr>
            </w:pPr>
          </w:p>
        </w:tc>
        <w:tc>
          <w:tcPr>
            <w:tcW w:w="1600" w:type="dxa"/>
            <w:vAlign w:val="bottom"/>
            <w:gridSpan w:val="9"/>
            <w:vMerge w:val="restart"/>
          </w:tcPr>
          <w:p>
            <w:pPr>
              <w:jc w:val="right"/>
              <w:spacing w:after="0" w:line="149" w:lineRule="exact"/>
              <w:rPr>
                <w:sz w:val="20"/>
                <w:szCs w:val="20"/>
                <w:color w:val="auto"/>
              </w:rPr>
            </w:pPr>
            <w:r>
              <w:rPr>
                <w:rFonts w:ascii="Arial" w:cs="Arial" w:eastAsia="Arial" w:hAnsi="Arial"/>
                <w:sz w:val="14"/>
                <w:szCs w:val="14"/>
                <w:b w:val="1"/>
                <w:bCs w:val="1"/>
                <w:color w:val="auto"/>
                <w:w w:val="93"/>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5"/>
                <w:szCs w:val="5"/>
                <w:color w:val="auto"/>
              </w:rPr>
            </w:pPr>
          </w:p>
        </w:tc>
        <w:tc>
          <w:tcPr>
            <w:tcW w:w="1100" w:type="dxa"/>
            <w:vAlign w:val="bottom"/>
            <w:gridSpan w:val="9"/>
            <w:vMerge w:val="restart"/>
          </w:tcPr>
          <w:p>
            <w:pPr>
              <w:jc w:val="right"/>
              <w:ind w:right="20"/>
              <w:spacing w:after="0"/>
              <w:rPr>
                <w:sz w:val="20"/>
                <w:szCs w:val="20"/>
                <w:color w:val="auto"/>
              </w:rPr>
            </w:pPr>
            <w:r>
              <w:rPr>
                <w:rFonts w:ascii="Arial" w:cs="Arial" w:eastAsia="Arial" w:hAnsi="Arial"/>
                <w:sz w:val="14"/>
                <w:szCs w:val="14"/>
                <w:b w:val="1"/>
                <w:bCs w:val="1"/>
                <w:color w:val="auto"/>
                <w:w w:val="98"/>
              </w:rPr>
              <w:t>Shares  Amount</w:t>
            </w: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56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3,616,125</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(4,893)</w:t>
            </w:r>
          </w:p>
        </w:tc>
        <w:tc>
          <w:tcPr>
            <w:tcW w:w="9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 based</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803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Stock</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Issuance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Preferred A</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6"/>
                <w:szCs w:val="16"/>
                <w:color w:val="auto"/>
                <w:w w:val="96"/>
              </w:rPr>
              <w:t>100,000</w:t>
            </w:r>
          </w:p>
        </w:tc>
        <w:tc>
          <w:tcPr>
            <w:tcW w:w="180" w:type="dxa"/>
            <w:vAlign w:val="bottom"/>
          </w:tcPr>
          <w:p>
            <w:pPr>
              <w:spacing w:after="0"/>
              <w:rPr>
                <w:sz w:val="17"/>
                <w:szCs w:val="17"/>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Investment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Agrify Valiant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Acquisition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TriGrow</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Systems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595,552</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1,563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Warrants issued</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recorded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 debt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discount 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connection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 notes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issuances</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6"/>
                <w:szCs w:val="16"/>
                <w:color w:val="auto"/>
              </w:rPr>
              <w:t>(8,562)</w:t>
            </w:r>
          </w:p>
        </w:tc>
        <w:tc>
          <w:tcPr>
            <w:tcW w:w="900" w:type="dxa"/>
            <w:vAlign w:val="bottom"/>
            <w:gridSpan w:val="6"/>
          </w:tcPr>
          <w:p>
            <w:pPr>
              <w:jc w:val="right"/>
              <w:ind w:right="40"/>
              <w:spacing w:after="0"/>
              <w:rPr>
                <w:sz w:val="20"/>
                <w:szCs w:val="20"/>
                <w:color w:val="auto"/>
              </w:rPr>
            </w:pPr>
            <w:r>
              <w:rPr>
                <w:rFonts w:ascii="Arial" w:cs="Arial" w:eastAsia="Arial" w:hAnsi="Arial"/>
                <w:sz w:val="16"/>
                <w:szCs w:val="16"/>
                <w:color w:val="auto"/>
              </w:rPr>
              <w:t>(8,562)</w:t>
            </w:r>
          </w:p>
        </w:tc>
        <w:tc>
          <w:tcPr>
            <w:tcW w:w="720" w:type="dxa"/>
            <w:vAlign w:val="bottom"/>
            <w:gridSpan w:val="5"/>
          </w:tcPr>
          <w:p>
            <w:pPr>
              <w:jc w:val="right"/>
              <w:ind w:right="40"/>
              <w:spacing w:after="0"/>
              <w:rPr>
                <w:sz w:val="20"/>
                <w:szCs w:val="20"/>
                <w:color w:val="auto"/>
              </w:rPr>
            </w:pPr>
            <w:r>
              <w:rPr>
                <w:rFonts w:ascii="Arial" w:cs="Arial" w:eastAsia="Arial" w:hAnsi="Arial"/>
                <w:sz w:val="16"/>
                <w:szCs w:val="16"/>
                <w:color w:val="auto"/>
              </w:rPr>
              <w:t>(49)</w:t>
            </w:r>
          </w:p>
        </w:tc>
        <w:tc>
          <w:tcPr>
            <w:tcW w:w="920" w:type="dxa"/>
            <w:vAlign w:val="bottom"/>
            <w:gridSpan w:val="5"/>
          </w:tcPr>
          <w:p>
            <w:pPr>
              <w:jc w:val="right"/>
              <w:ind w:right="60"/>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4,211,677</w:t>
            </w:r>
          </w:p>
        </w:tc>
        <w:tc>
          <w:tcPr>
            <w:tcW w:w="116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4 100,000</w:t>
            </w:r>
          </w:p>
        </w:tc>
        <w:tc>
          <w:tcPr>
            <w:tcW w:w="18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17,645</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(13,455)</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4,194</w:t>
            </w: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CASH FLOWS (UNAUDITED)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(8,562)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Preferred A Stock</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Minority interest in Valiant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PPP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of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notes payable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Beginning of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Cash –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4,958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Supplemental disclosure of non-cash investing and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7"/>
              </w:rPr>
              <w:t>Warrants issued and recorded as debt discount in connection with notes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payable issuances</w:t>
            </w: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Bifurcated embedded conversion options recorded as derivative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debt discount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20"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Company has two wholly owned subsidiaries, AGM Service Corp LLC and Ariafy Finance LLC; it holds 50% of Teejan Podponics International LLC (“TPI”) since December 2018 and it holds 60% of Agrify-Valiant, LLC, formed in December 2019.</w:t>
      </w:r>
    </w:p>
    <w:p>
      <w:pPr>
        <w:spacing w:after="0" w:line="11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cannabis consumer brands.</w:t>
      </w:r>
    </w:p>
    <w:p>
      <w:pPr>
        <w:spacing w:after="0" w:line="107"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On July 21, 2020, the Company acquired all the outstanding shares of Harbor Mountain Holdings, LLC (“HMH”), located in the Atlanta, GA area, that has been producing and assembling many of the Company’s products.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148"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19"/>
        <w:spacing w:after="0" w:line="296" w:lineRule="auto"/>
        <w:rPr>
          <w:sz w:val="20"/>
          <w:szCs w:val="20"/>
          <w:color w:val="auto"/>
        </w:rPr>
      </w:pPr>
      <w:r>
        <w:rPr>
          <w:rFonts w:ascii="Arial" w:cs="Arial" w:eastAsia="Arial" w:hAnsi="Arial"/>
          <w:sz w:val="16"/>
          <w:szCs w:val="16"/>
          <w:color w:val="auto"/>
        </w:rPr>
        <w:t>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Agrify Inc. and its wholly owned subsidiaries, AGM Service Corp LLC (formerly AGM Service Corp Inc.), HMH,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48"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0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00"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$7,300 by January 22, 2021.</w:t>
      </w:r>
    </w:p>
    <w:p>
      <w:pPr>
        <w:spacing w:after="0" w:line="12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September 30, 2020 and December 31,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September 30, 2020.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may exceed the federally insured limits.</w:t>
      </w:r>
    </w:p>
    <w:p>
      <w:pPr>
        <w:spacing w:after="0" w:line="143"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16"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98" w:lineRule="exact"/>
        <w:rPr>
          <w:sz w:val="20"/>
          <w:szCs w:val="20"/>
          <w:color w:val="auto"/>
        </w:rPr>
      </w:pPr>
    </w:p>
    <w:p>
      <w:pPr>
        <w:ind w:left="460" w:right="839" w:firstLine="432"/>
        <w:spacing w:after="0" w:line="327" w:lineRule="auto"/>
        <w:rPr>
          <w:sz w:val="20"/>
          <w:szCs w:val="20"/>
          <w:color w:val="auto"/>
        </w:rPr>
      </w:pPr>
      <w:r>
        <w:rPr>
          <w:rFonts w:ascii="Arial" w:cs="Arial" w:eastAsia="Arial" w:hAnsi="Arial"/>
          <w:sz w:val="15"/>
          <w:szCs w:val="15"/>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72"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106"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Company does not recognize ROU assets or lease liabilities for leases with a term of 12 months or less for any asset classes (short term leases).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93" w:lineRule="auto"/>
        <w:rPr>
          <w:sz w:val="20"/>
          <w:szCs w:val="20"/>
          <w:color w:val="auto"/>
        </w:rPr>
      </w:pPr>
      <w:r>
        <w:rPr>
          <w:rFonts w:ascii="Arial" w:cs="Arial" w:eastAsia="Arial" w:hAnsi="Arial"/>
          <w:sz w:val="16"/>
          <w:szCs w:val="16"/>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97"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4" w:lineRule="exact"/>
        <w:rPr>
          <w:sz w:val="20"/>
          <w:szCs w:val="20"/>
          <w:color w:val="auto"/>
        </w:rPr>
      </w:pPr>
    </w:p>
    <w:p>
      <w:pPr>
        <w:ind w:left="460" w:right="1519" w:firstLine="432"/>
        <w:spacing w:after="0" w:line="277" w:lineRule="auto"/>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sell our offering to customers under a combination of a contract and purchase order.</w:t>
      </w:r>
    </w:p>
    <w:p>
      <w:pPr>
        <w:spacing w:after="0" w:line="14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9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14"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98"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We enter contracts that can include various combinations of equipment, services and construction, which are generally capable of being distinct and accounted for as separate performance obligations.</w:t>
      </w:r>
    </w:p>
    <w:p>
      <w:pPr>
        <w:spacing w:after="0" w:line="65"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9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83"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7,734</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10"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Accounts Receivables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Prepaid Expenses and Other Receivables consisted of the following as of September 30, 2020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46"/>
        </w:trPr>
        <w:tc>
          <w:tcPr>
            <w:tcW w:w="28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Prepaid software</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
        </w:trPr>
        <w:tc>
          <w:tcPr>
            <w:tcW w:w="28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professional fees</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Prepaid expenses</w:t>
            </w: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84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555"/>
              <w:spacing w:after="0"/>
              <w:rPr>
                <w:sz w:val="20"/>
                <w:szCs w:val="20"/>
                <w:color w:val="auto"/>
              </w:rPr>
            </w:pPr>
            <w:r>
              <w:rPr>
                <w:rFonts w:ascii="Arial" w:cs="Arial" w:eastAsia="Arial" w:hAnsi="Arial"/>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Prepaid Inventory</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Property and equipment, net consisted of the following as of September 30, 2020 and December 31, 2019:</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Machinery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Depreciation expense for the Nine months ended September 30, 2020 and 2019 was $100 and $0,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Capitalized website costs, net</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breakdown of acquisition-related intangible assets as of September 30, 2020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There were $0 acquisition related intangibles as of December 31, 2019. Amortization expenses amounted to $129 and $0 for the Nine months ended September 30, 2020 and 2019,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Intangible Assets and Goodwill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Estimated future amortization expense on finite-lived acquisition-related intangible assets is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1239" w:firstLine="432"/>
        <w:spacing w:after="0" w:line="277" w:lineRule="auto"/>
        <w:rPr>
          <w:sz w:val="20"/>
          <w:szCs w:val="20"/>
          <w:color w:val="auto"/>
        </w:rPr>
      </w:pPr>
      <w:r>
        <w:rPr>
          <w:rFonts w:ascii="Arial" w:cs="Arial" w:eastAsia="Arial" w:hAnsi="Arial"/>
          <w:sz w:val="18"/>
          <w:szCs w:val="18"/>
          <w:color w:val="auto"/>
        </w:rPr>
        <w:t>There was $238 goodwill activity since the acquisition date of January 22, 2020 (see note 11) to September 30, 2020.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Accrued expenses consisted of the following as of September 30, 2020 and December 31, 2019:</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related fees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costs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TriGrow</w:t>
      </w:r>
    </w:p>
    <w:p>
      <w:pPr>
        <w:spacing w:after="0" w:line="14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1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80"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Obligation to invest cash in profit interest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56"/>
        </w:trPr>
        <w:tc>
          <w:tcPr>
            <w:tcW w:w="68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103"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amount of revenue of TriGrow included in the Company’s condensed consolidated statement of operations from the acquisition date of January 22, 2020 to September 30, 2020 was $4,000.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4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9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9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103"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139" w:firstLine="432"/>
        <w:spacing w:after="0" w:line="308" w:lineRule="auto"/>
        <w:rPr>
          <w:sz w:val="20"/>
          <w:szCs w:val="20"/>
          <w:color w:val="auto"/>
        </w:rPr>
      </w:pPr>
      <w:r>
        <w:rPr>
          <w:rFonts w:ascii="Arial" w:cs="Arial" w:eastAsia="Arial" w:hAnsi="Arial"/>
          <w:sz w:val="17"/>
          <w:szCs w:val="17"/>
          <w:color w:val="auto"/>
        </w:rPr>
        <w:t>The amount of revenue of HMH included in the Company’s condensed consolidated statement of operations from the acquisition date of July 22, 2020 to September 30, 2020 was $0.</w:t>
      </w:r>
    </w:p>
    <w:p>
      <w:pPr>
        <w:spacing w:after="0" w:line="79"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The following pro forma financial information summarizes the combined results of operations for the Company, TriGrow and HMH, as though the acquisition of TriGrow and HMH occurred on January 1, 2019.</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5"/>
          </w:tcPr>
          <w:p>
            <w:pPr>
              <w:jc w:val="right"/>
              <w:ind w:right="87"/>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7"/>
                <w:szCs w:val="17"/>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47"/>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7,766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2,266</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9,785</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5,425</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860" w:type="dxa"/>
            <w:vAlign w:val="bottom"/>
            <w:tcBorders>
              <w:bottom w:val="single" w:sz="8" w:color="CCEEFF"/>
            </w:tcBorders>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9,720</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5,362</w:t>
            </w:r>
          </w:p>
        </w:tc>
      </w:tr>
    </w:tbl>
    <w:p>
      <w:pPr>
        <w:spacing w:after="0" w:line="21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11"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The carrying value of the Company’s investment in TPI was $0 as of September 30, 2020 and December 31, 2019. The Company did not recognize revenue from TPI for the Nine months ended September 30, 2020 and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5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54" w:right="513"/>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12 — Debt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73" w:lineRule="auto"/>
        <w:rPr>
          <w:sz w:val="20"/>
          <w:szCs w:val="20"/>
          <w:color w:val="auto"/>
        </w:rPr>
      </w:pPr>
      <w:r>
        <w:rPr>
          <w:rFonts w:ascii="Arial" w:cs="Arial" w:eastAsia="Arial" w:hAnsi="Arial"/>
          <w:sz w:val="17"/>
          <w:szCs w:val="17"/>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1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a total proceeds of $44. The PPP Loan is scheduled to mature on July 27, 2022, has an interest rate of 1.00% per annum and is subject to the terms and conditions mentioned above.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Convertible Promissory Notes</w:t>
      </w:r>
    </w:p>
    <w:p>
      <w:pPr>
        <w:spacing w:after="0" w:line="148" w:lineRule="exact"/>
        <w:rPr>
          <w:sz w:val="20"/>
          <w:szCs w:val="20"/>
          <w:color w:val="auto"/>
        </w:rPr>
      </w:pPr>
    </w:p>
    <w:p>
      <w:pPr>
        <w:ind w:left="460" w:right="679" w:firstLine="432"/>
        <w:spacing w:after="0" w:line="269" w:lineRule="auto"/>
        <w:rPr>
          <w:sz w:val="20"/>
          <w:szCs w:val="20"/>
          <w:color w:val="auto"/>
        </w:rPr>
      </w:pPr>
      <w:r>
        <w:rPr>
          <w:rFonts w:ascii="Arial" w:cs="Arial" w:eastAsia="Arial" w:hAnsi="Arial"/>
          <w:sz w:val="17"/>
          <w:szCs w:val="17"/>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1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0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1" w:lineRule="exact"/>
        <w:rPr>
          <w:sz w:val="20"/>
          <w:szCs w:val="20"/>
          <w:color w:val="auto"/>
        </w:rPr>
      </w:pPr>
    </w:p>
    <w:p>
      <w:pPr>
        <w:ind w:left="460" w:right="479" w:hanging="6"/>
        <w:spacing w:after="0" w:line="284" w:lineRule="auto"/>
        <w:tabs>
          <w:tab w:leader="none" w:pos="6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 conversion price per share of $7.43, subject to adjustment pursuant to the terms of the Notes), all outstanding shares of Series A convertible preferred stock of the Company (at a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91"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On September 30, 2020, the Company’s Board of Directors approved the increase of the total aggregate offering amount of the Notes to $10,000 and on November 23, 2020 it increased to $13,500.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Convertible Promissory Notes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September 30, 2020, a total of $5,800 of Notes and Warrants to purchase 366,670 shares of Common Stock were subscribed. Through September 30, 2020, the aggregate relative fair value of the Warrants of $1,362 was recorded as debt discount at issuance and is being amortized over the term of the respective Notes.</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Derivative Liabilities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 The variable-share settlement feature was valued using a combination of a discounted cash flow and a Black-Scholes valuation technique. At issuance, the significant unobservable inputs used in the discounted cash flow were a discount rate of 20% and a probability of a Public Transaction occurring of 56%. The Black-Scholes assumptions were as follows: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0.14%</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0.75</w:t>
            </w:r>
          </w:p>
        </w:tc>
        <w:tc>
          <w:tcPr>
            <w:tcW w:w="900" w:type="dxa"/>
            <w:vAlign w:val="bottom"/>
          </w:tcPr>
          <w:p>
            <w:pPr>
              <w:ind w:left="20"/>
              <w:spacing w:after="0"/>
              <w:rPr>
                <w:sz w:val="20"/>
                <w:szCs w:val="20"/>
                <w:color w:val="auto"/>
              </w:rPr>
            </w:pPr>
            <w:r>
              <w:rPr>
                <w:rFonts w:ascii="Arial" w:cs="Arial" w:eastAsia="Arial" w:hAnsi="Arial"/>
                <w:sz w:val="18"/>
                <w:szCs w:val="18"/>
                <w:color w:val="auto"/>
              </w:rPr>
              <w:t>– 1.75</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September 30, 2020, the significant unobservable inputs used in the discounted cash flow were a discount rate of 20% and a probability of Public Transaction occurring of 56%. The Black-Scholes assumptions were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0.13%</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0.71</w:t>
            </w:r>
          </w:p>
        </w:tc>
        <w:tc>
          <w:tcPr>
            <w:tcW w:w="900" w:type="dxa"/>
            <w:vAlign w:val="bottom"/>
          </w:tcPr>
          <w:p>
            <w:pPr>
              <w:ind w:left="20"/>
              <w:spacing w:after="0"/>
              <w:rPr>
                <w:sz w:val="20"/>
                <w:szCs w:val="20"/>
                <w:color w:val="auto"/>
              </w:rPr>
            </w:pPr>
            <w:r>
              <w:rPr>
                <w:rFonts w:ascii="Arial" w:cs="Arial" w:eastAsia="Arial" w:hAnsi="Arial"/>
                <w:sz w:val="18"/>
                <w:szCs w:val="18"/>
                <w:color w:val="auto"/>
              </w:rPr>
              <w:t>– 1.71</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4"/>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Capital Structure</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90"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86" w:lineRule="auto"/>
        <w:rPr>
          <w:sz w:val="20"/>
          <w:szCs w:val="20"/>
          <w:color w:val="auto"/>
        </w:rPr>
      </w:pPr>
      <w:r>
        <w:rPr>
          <w:rFonts w:ascii="Arial" w:cs="Arial" w:eastAsia="Arial" w:hAnsi="Arial"/>
          <w:sz w:val="17"/>
          <w:szCs w:val="17"/>
          <w:color w:val="auto"/>
        </w:rPr>
        <w:t>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9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On March 19, 2020, the Company increased the number of shares designated as Series A from 100,000 shares to 105,000 shares.</w:t>
      </w:r>
    </w:p>
    <w:p>
      <w:pPr>
        <w:spacing w:after="0" w:line="7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 (see additional information in Note 19).</w:t>
      </w:r>
    </w:p>
    <w:p>
      <w:pPr>
        <w:spacing w:after="0" w:line="117"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May 2020, the Company issued 4,000 Series A Convertible Preferred Stock, $0.001 par value, for total consideration of $4,000.</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$3.10 per share for gross proceeds of $4,000 of which only $3,000 were received in cash by September 30, 2019.</w:t>
      </w:r>
    </w:p>
    <w:p>
      <w:pPr>
        <w:spacing w:after="0" w:line="116"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On June 4, 2019, the Company adopted its 2019 Stock Option Plan allowing the issuance of 1,743,744 shares. On August 10, 2020, the Company’s Board of Director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December 2019, the Company granted 493,102 options to various employees and consultants.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May 2020, the Company cancelled all the options that were granted in December 2019.</w:t>
      </w:r>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06"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On August 10, 2020, the Company’s Board of Directors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104" w:lineRule="exact"/>
        <w:rPr>
          <w:sz w:val="20"/>
          <w:szCs w:val="20"/>
          <w:color w:val="auto"/>
        </w:rPr>
      </w:pPr>
    </w:p>
    <w:p>
      <w:pPr>
        <w:ind w:left="460" w:right="859" w:firstLine="432"/>
        <w:spacing w:after="0" w:line="342" w:lineRule="auto"/>
        <w:rPr>
          <w:sz w:val="20"/>
          <w:szCs w:val="20"/>
          <w:color w:val="auto"/>
        </w:rPr>
      </w:pPr>
      <w:r>
        <w:rPr>
          <w:rFonts w:ascii="Arial" w:cs="Arial" w:eastAsia="Arial" w:hAnsi="Arial"/>
          <w:sz w:val="16"/>
          <w:szCs w:val="16"/>
          <w:color w:val="auto"/>
        </w:rPr>
        <w:t>Stock options that were granted during fiscal year 2020 have several vesting conditions, including an event-based vesting acceleration (defined as a change in control, including an initial public offering).</w:t>
      </w:r>
    </w:p>
    <w:p>
      <w:pPr>
        <w:spacing w:after="0" w:line="56"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10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As of September 30, 2020, there were 1,664,230 shares available to be granted under the Company’s 2019 Stock Option Plan.</w:t>
      </w:r>
    </w:p>
    <w:p>
      <w:pPr>
        <w:spacing w:after="0" w:line="103"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The following table presents option activity under the Company’s stock option plans for the Nine months ended September 30, 2020 (no outstanding options for the three months ended September 30, 2019):</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2020</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1,849,194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(495,155)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Options outstanding at September 30,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line="20" w:lineRule="exact"/>
              <w:rPr>
                <w:sz w:val="1"/>
                <w:szCs w:val="1"/>
                <w:color w:val="auto"/>
              </w:rPr>
            </w:pPr>
          </w:p>
        </w:tc>
      </w:tr>
      <w:tr>
        <w:trPr>
          <w:trHeight w:val="283"/>
        </w:trPr>
        <w:tc>
          <w:tcPr>
            <w:tcW w:w="5000" w:type="dxa"/>
            <w:vAlign w:val="bottom"/>
            <w:vMerge w:val="continue"/>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1,690,852</w:t>
            </w:r>
          </w:p>
        </w:tc>
        <w:tc>
          <w:tcPr>
            <w:tcW w:w="1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Options vested and exercisable as of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fair value of options granted in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September 30, 2020:</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89"/>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235"/>
              <w:spacing w:after="0"/>
              <w:rPr>
                <w:sz w:val="20"/>
                <w:szCs w:val="20"/>
                <w:color w:val="auto"/>
              </w:rPr>
            </w:pPr>
            <w:r>
              <w:rPr>
                <w:rFonts w:ascii="Arial" w:cs="Arial" w:eastAsia="Arial" w:hAnsi="Arial"/>
                <w:sz w:val="16"/>
                <w:szCs w:val="16"/>
                <w:b w:val="1"/>
                <w:bCs w:val="1"/>
                <w:color w:val="auto"/>
                <w:w w:val="94"/>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left="275"/>
              <w:spacing w:after="0"/>
              <w:rPr>
                <w:sz w:val="20"/>
                <w:szCs w:val="20"/>
                <w:color w:val="auto"/>
              </w:rPr>
            </w:pPr>
            <w:r>
              <w:rPr>
                <w:rFonts w:ascii="Arial" w:cs="Arial" w:eastAsia="Arial" w:hAnsi="Arial"/>
                <w:sz w:val="16"/>
                <w:szCs w:val="16"/>
                <w:b w:val="1"/>
                <w:bCs w:val="1"/>
                <w:color w:val="auto"/>
                <w:w w:val="89"/>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1,436,224</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560" w:type="dxa"/>
            <w:vAlign w:val="bottom"/>
          </w:tcPr>
          <w:p>
            <w:pPr>
              <w:jc w:val="right"/>
              <w:ind w:right="215"/>
              <w:spacing w:after="0"/>
              <w:rPr>
                <w:sz w:val="20"/>
                <w:szCs w:val="20"/>
                <w:color w:val="auto"/>
              </w:rPr>
            </w:pPr>
            <w:r>
              <w:rPr>
                <w:rFonts w:ascii="Arial" w:cs="Arial" w:eastAsia="Arial" w:hAnsi="Arial"/>
                <w:sz w:val="18"/>
                <w:szCs w:val="18"/>
                <w:color w:val="auto"/>
              </w:rPr>
              <w:t>254,628</w:t>
            </w:r>
          </w:p>
        </w:tc>
        <w:tc>
          <w:tcPr>
            <w:tcW w:w="2360" w:type="dxa"/>
            <w:vAlign w:val="bottom"/>
            <w:gridSpan w:val="3"/>
          </w:tcPr>
          <w:p>
            <w:pPr>
              <w:jc w:val="center"/>
              <w:ind w:left="370"/>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F-40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information about options expected to vest after September 30, 2020:</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6"/>
                <w:szCs w:val="16"/>
                <w:b w:val="1"/>
                <w:bCs w:val="1"/>
                <w:color w:val="auto"/>
                <w:w w:val="90"/>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2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1,205,068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Arial" w:cs="Arial" w:eastAsia="Arial" w:hAnsi="Arial"/>
                <w:sz w:val="18"/>
                <w:szCs w:val="18"/>
                <w:color w:val="auto"/>
              </w:rPr>
              <w:t>192,571</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 Employee Benefit Plan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6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20"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81" w:lineRule="exact"/>
        <w:rPr>
          <w:sz w:val="20"/>
          <w:szCs w:val="20"/>
          <w:color w:val="auto"/>
        </w:rPr>
      </w:pPr>
    </w:p>
    <w:p>
      <w:pPr>
        <w:jc w:val="both"/>
        <w:ind w:left="460" w:right="639" w:firstLine="432"/>
        <w:spacing w:after="0" w:line="277" w:lineRule="auto"/>
        <w:rPr>
          <w:sz w:val="20"/>
          <w:szCs w:val="20"/>
          <w:color w:val="auto"/>
        </w:rPr>
      </w:pPr>
      <w:r>
        <w:rPr>
          <w:rFonts w:ascii="Arial" w:cs="Arial" w:eastAsia="Arial" w:hAnsi="Arial"/>
          <w:sz w:val="18"/>
          <w:szCs w:val="18"/>
          <w:color w:val="auto"/>
        </w:rPr>
        <w:t>Additional information of our lease activity, for the nine months ended September 30, 2020 and 2019,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24</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79"/>
              </w:rPr>
              <w:t>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5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4.17 years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32"/>
        </w:trPr>
        <w:tc>
          <w:tcPr>
            <w:tcW w:w="558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17 —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As of September 30, 2020, the maturities of lease liabilities under non-cancellable finance leases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7"/>
              </w:rPr>
              <w:t>Finance Leases</w:t>
            </w:r>
          </w:p>
        </w:tc>
      </w:tr>
      <w:tr>
        <w:trPr>
          <w:trHeight w:val="46"/>
        </w:trPr>
        <w:tc>
          <w:tcPr>
            <w:tcW w:w="6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year ending December 31,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2020 (remainder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4"/>
        </w:trPr>
        <w:tc>
          <w:tcPr>
            <w:tcW w:w="6860" w:type="dxa"/>
            <w:vAlign w:val="bottom"/>
          </w:tcPr>
          <w:p>
            <w:pPr>
              <w:ind w:left="180"/>
              <w:spacing w:after="0"/>
              <w:rPr>
                <w:sz w:val="20"/>
                <w:szCs w:val="20"/>
                <w:color w:val="auto"/>
              </w:rPr>
            </w:pPr>
            <w:r>
              <w:rPr>
                <w:rFonts w:ascii="Arial" w:cs="Arial" w:eastAsia="Arial" w:hAnsi="Arial"/>
                <w:sz w:val="18"/>
                <w:szCs w:val="18"/>
                <w:color w:val="auto"/>
              </w:rPr>
              <w:t>Total minimum lease payments</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Total lease liabilities</w:t>
            </w: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On January 5, 2021, the Company received a demand letter from two of its former employees (and one of such employee’s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The Company do not believe these claims have any merit and intend to vigorously defend against these claims.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15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11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15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18 — Related Parties</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describes the net purchasing activity with entities identified as related parties to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3,078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8100" w:type="dxa"/>
            <w:vAlign w:val="bottom"/>
            <w:gridSpan w:val="8"/>
          </w:tcPr>
          <w:p>
            <w:pPr>
              <w:jc w:val="right"/>
              <w:ind w:right="132"/>
              <w:spacing w:after="0"/>
              <w:rPr>
                <w:sz w:val="20"/>
                <w:szCs w:val="20"/>
                <w:color w:val="auto"/>
              </w:rPr>
            </w:pPr>
            <w:r>
              <w:rPr>
                <w:rFonts w:ascii="Arial" w:cs="Arial" w:eastAsia="Arial" w:hAnsi="Arial"/>
                <w:sz w:val="18"/>
                <w:szCs w:val="18"/>
                <w:color w:val="auto"/>
                <w:w w:val="94"/>
              </w:rPr>
              <w:t>The following table summarizes net related party payables as of September 30, 2020 and December 31,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6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r>
      <w:tr>
        <w:trPr>
          <w:trHeight w:val="243"/>
        </w:trPr>
        <w:tc>
          <w:tcPr>
            <w:tcW w:w="55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19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On January 27, 2021, the Company entered into an underwriting agreement with Maxim Group LLC, as representative of the underwriters named therein, in connection with its initial public offering (“IPO”). On January 27, 2021, the Company announced the pricing of the IPO of 5,400,000 shares of common stock for a price of $10.00 per share, less certain underwriting discounts and commissions. The Company also granted the underwriters a 45-day option to purchase up to 810,000 additional shares of common stock on the same terms and conditions for the purpose of covering any over-allotments in connection with the IPO.</w:t>
      </w:r>
    </w:p>
    <w:p>
      <w:pPr>
        <w:spacing w:after="0" w:line="83"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The IPO closed on February 1, 2021 (the “IPO Closing Date”) and was made pursuant to the Company’s registration statement on Form S-1 (File No. 333- 251616), which was declared effective by the Securities and Exchange Commission (the “SEC”) on January 27, 2021 under the Securities Act of 1933, as amended (the “Securities Act”), and the Company’s registration statement on Form S-1MEF (File No. 333-252490). A final prospectus describing the terms of the IPO was filed by the Company with the SEC on January 29, 2021.</w:t>
      </w:r>
    </w:p>
    <w:p>
      <w:pPr>
        <w:spacing w:after="0" w:line="9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Subsequently, the underwriters exercised the over-allotment option, and on February 4, 2021, the Company closed on the sale of an additional 810,000 shares of common stock for a price of $10.00 per share, less a 7% underwriting commission. The exercise of the over-allotment option brings the total number of shares of common stock sold by the Company in connection with the IPO to 6,210,000 shares and the total net proceeds received in connection with the IPO to approximately $57 million, after deducting underwriting discounts and estimated offering expenses.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19 — Subsequent Events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2020 Omnibus Equity Incentive Plan</w:t>
      </w:r>
    </w:p>
    <w:p>
      <w:pPr>
        <w:spacing w:after="0" w:line="144"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On December 18, 2020, the Company’s board of directors, and on January 11, 2021, the Company’s stockholders, have adopted and approved the 2020 Omnibus Equity Incentive Plan (the “2020 Plan”), which has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9"/>
          <w:szCs w:val="19"/>
          <w:color w:val="auto"/>
          <w:vertAlign w:val="superscript"/>
        </w:rPr>
        <w:t>th</w:t>
      </w:r>
      <w:r>
        <w:rPr>
          <w:rFonts w:ascii="Arial" w:cs="Arial" w:eastAsia="Arial" w:hAnsi="Arial"/>
          <w:sz w:val="17"/>
          <w:szCs w:val="17"/>
          <w:color w:val="auto"/>
        </w:rPr>
        <w:t>) anniversary of the date on which it is adopted by the board of directors.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Stock Options</w:t>
      </w:r>
    </w:p>
    <w:p>
      <w:pPr>
        <w:spacing w:after="0" w:line="11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7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On December 21, 2020, the Company’s Board of Directors approved a grant of 44,254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8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January 24, 2021, the Company’s Board of Directors approved a grant of 144,360 options to purchase shares of common stock to directors. The options will expire 10 years from the date of grant and have an exercise price per share of $4.86. 25% of the options vest 12 months following issuance and the balance vests in 36 equal monthly installments thereafter.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 1-for-1.581804 reverse stock split of the Company’s common stock was effected on January 12, 2021, as disclosed in the registration statement of which these financial statements are a part. All share and per share information has been retroactively adjusted to give effect to the reverse stock split for all periods presented, unless otherwise indicated.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 and Convertible Promissory Notes</w:t>
      </w:r>
    </w:p>
    <w:p>
      <w:pPr>
        <w:spacing w:after="0" w:line="117"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 Convertible Promissory Notes. After the amendment:</w:t>
      </w:r>
    </w:p>
    <w:p>
      <w:pPr>
        <w:spacing w:after="0" w:line="56" w:lineRule="exact"/>
        <w:rPr>
          <w:sz w:val="20"/>
          <w:szCs w:val="20"/>
          <w:color w:val="auto"/>
        </w:rPr>
      </w:pPr>
    </w:p>
    <w:p>
      <w:pPr>
        <w:ind w:left="1320" w:right="499" w:hanging="434"/>
        <w:spacing w:after="0" w:line="296" w:lineRule="auto"/>
        <w:tabs>
          <w:tab w:leader="none" w:pos="129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19 — Subsequent Events </w:t>
      </w:r>
      <w:r>
        <w:rPr>
          <w:rFonts w:ascii="Arial" w:cs="Arial" w:eastAsia="Arial" w:hAnsi="Arial"/>
          <w:sz w:val="18"/>
          <w:szCs w:val="18"/>
          <w:color w:val="auto"/>
        </w:rPr>
        <w:t>(cont.)</w:t>
      </w:r>
    </w:p>
    <w:p>
      <w:pPr>
        <w:spacing w:after="0" w:line="189" w:lineRule="exact"/>
        <w:rPr>
          <w:sz w:val="20"/>
          <w:szCs w:val="20"/>
          <w:color w:val="auto"/>
        </w:rPr>
      </w:pPr>
    </w:p>
    <w:p>
      <w:pPr>
        <w:ind w:left="1320" w:right="479" w:hanging="434"/>
        <w:spacing w:after="0" w:line="296" w:lineRule="auto"/>
        <w:tabs>
          <w:tab w:leader="none" w:pos="12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5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100330</wp:posOffset>
            </wp:positionV>
            <wp:extent cx="1937385" cy="506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TriGrow Systems, Inc.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1045845"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657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3"/>
              </w:rPr>
              <w:t>Common stock: 15,328,617 and 10,555,000 shares, $0.001 par value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240" w:type="dxa"/>
            <w:vAlign w:val="bottom"/>
            <w:gridSpan w:val="6"/>
          </w:tcPr>
          <w:p>
            <w:pPr>
              <w:ind w:left="90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F-47</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(loss) profit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6"/>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4,732</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4,784</w:t>
            </w:r>
          </w:p>
        </w:tc>
        <w:tc>
          <w:tcPr>
            <w:tcW w:w="5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(5,007)</w:t>
            </w:r>
          </w:p>
        </w:tc>
        <w:tc>
          <w:tcPr>
            <w:tcW w:w="5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(4,894)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gridSpan w:val="6"/>
          </w:tcPr>
          <w:p>
            <w:pPr>
              <w:jc w:val="center"/>
              <w:ind w:left="6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Arial" w:cs="Arial" w:eastAsia="Arial" w:hAnsi="Arial"/>
                <w:sz w:val="18"/>
                <w:szCs w:val="18"/>
                <w:color w:val="auto"/>
                <w:w w:val="91"/>
              </w:rPr>
              <w:t>F-48</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type w:val="continuous"/>
        </w:sectPr>
      </w:pPr>
    </w:p>
    <w:bookmarkStart w:id="165" w:name="page166"/>
    <w:bookmarkEnd w:id="165"/>
    <w:p>
      <w:pPr>
        <w:spacing w:after="0" w:line="209" w:lineRule="auto"/>
        <w:framePr w:w="660" w:h="160" w:wrap="auto" w:vAnchor="page" w:hAnchor="page" w:x="2040" w:y="8066"/>
        <w:rPr>
          <w:rFonts w:ascii="Arial" w:cs="Arial" w:eastAsia="Arial" w:hAnsi="Arial"/>
          <w:sz w:val="16"/>
          <w:szCs w:val="16"/>
          <w:color w:val="auto"/>
        </w:rPr>
      </w:pPr>
      <w:r>
        <w:rPr>
          <w:rFonts w:ascii="Arial" w:cs="Arial" w:eastAsia="Arial" w:hAnsi="Arial"/>
          <w:sz w:val="16"/>
          <w:szCs w:val="16"/>
          <w:color w:val="auto"/>
        </w:rPr>
        <w:t>Net loss</w:t>
      </w:r>
    </w:p>
    <w:p>
      <w:pPr>
        <w:spacing w:after="0" w:line="245" w:lineRule="auto"/>
        <w:framePr w:w="920" w:h="376" w:wrap="auto" w:vAnchor="page" w:hAnchor="page" w:x="2040" w:y="5933"/>
        <w:rPr>
          <w:rFonts w:ascii="Arial" w:cs="Arial" w:eastAsia="Arial" w:hAnsi="Arial"/>
          <w:sz w:val="16"/>
          <w:szCs w:val="16"/>
          <w:color w:val="auto"/>
        </w:rPr>
      </w:pPr>
      <w:r>
        <w:rPr>
          <w:rFonts w:ascii="Arial" w:cs="Arial" w:eastAsia="Arial" w:hAnsi="Arial"/>
          <w:sz w:val="16"/>
          <w:szCs w:val="16"/>
          <w:color w:val="auto"/>
        </w:rPr>
        <w:t>Convertible notes</w:t>
      </w:r>
    </w:p>
    <w:p>
      <w:pPr>
        <w:spacing w:after="0" w:line="209" w:lineRule="auto"/>
        <w:framePr w:w="660" w:h="160" w:wrap="auto" w:vAnchor="page" w:hAnchor="page" w:x="2040" w:y="4988"/>
        <w:rPr>
          <w:rFonts w:ascii="Arial" w:cs="Arial" w:eastAsia="Arial" w:hAnsi="Arial"/>
          <w:sz w:val="16"/>
          <w:szCs w:val="16"/>
          <w:color w:val="auto"/>
        </w:rPr>
      </w:pPr>
      <w:r>
        <w:rPr>
          <w:rFonts w:ascii="Arial" w:cs="Arial" w:eastAsia="Arial" w:hAnsi="Arial"/>
          <w:sz w:val="16"/>
          <w:szCs w:val="16"/>
          <w:color w:val="auto"/>
        </w:rPr>
        <w:t>Net loss</w:t>
      </w:r>
    </w:p>
    <w:p>
      <w:pPr>
        <w:spacing w:after="0" w:line="228" w:lineRule="auto"/>
        <w:framePr w:w="1080" w:h="592" w:wrap="auto" w:vAnchor="page" w:hAnchor="page" w:x="1860" w:y="2896"/>
        <w:rPr>
          <w:rFonts w:ascii="Arial" w:cs="Arial" w:eastAsia="Arial" w:hAnsi="Arial"/>
          <w:sz w:val="18"/>
          <w:szCs w:val="18"/>
          <w:b w:val="1"/>
          <w:bCs w:val="1"/>
          <w:color w:val="auto"/>
        </w:rPr>
      </w:pPr>
      <w:r>
        <w:rPr>
          <w:rFonts w:ascii="Arial" w:cs="Arial" w:eastAsia="Arial" w:hAnsi="Arial"/>
          <w:sz w:val="18"/>
          <w:szCs w:val="18"/>
          <w:b w:val="1"/>
          <w:bCs w:val="1"/>
          <w:color w:val="auto"/>
        </w:rPr>
        <w:t>Balance, January 1, 2018</w:t>
      </w:r>
    </w:p>
    <w:p>
      <w:pPr>
        <w:spacing w:after="0" w:line="209" w:lineRule="auto"/>
        <w:framePr w:w="1360" w:h="160" w:wrap="auto" w:vAnchor="page" w:hAnchor="page" w:x="1860" w:y="29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jc w:val="center"/>
        <w:ind w:left="460" w:right="1460"/>
        <w:spacing w:after="0" w:line="266" w:lineRule="auto"/>
        <w:rPr>
          <w:sz w:val="20"/>
          <w:szCs w:val="20"/>
          <w:color w:val="auto"/>
        </w:rPr>
      </w:pPr>
      <w:r>
        <w:rPr>
          <w:rFonts w:ascii="Arial" w:cs="Arial" w:eastAsia="Arial" w:hAnsi="Arial"/>
          <w:sz w:val="18"/>
          <w:szCs w:val="18"/>
          <w:b w:val="1"/>
          <w:bCs w:val="1"/>
          <w:color w:val="auto"/>
        </w:rPr>
        <w:t>TRIGROW SYSTEMS, INC. AND SUBSIDIARY CONSOLIDATED STATEMENTS OF STOCKHOLDERS’ EQUITY (In thousands, except share amounts)</w:t>
      </w:r>
    </w:p>
    <w:p>
      <w:pPr>
        <w:spacing w:after="0" w:line="252" w:lineRule="exact"/>
        <w:rPr>
          <w:rFonts w:ascii="Arial" w:cs="Arial" w:eastAsia="Arial" w:hAnsi="Arial"/>
          <w:sz w:val="16"/>
          <w:szCs w:val="16"/>
          <w:b w:val="1"/>
          <w:bCs w:val="1"/>
          <w:u w:val="single" w:color="auto"/>
          <w:color w:val="0000EE"/>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w w:val="88"/>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4"/>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8"/>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7"/>
              </w:rPr>
              <w:t>Paid-In</w:t>
            </w:r>
          </w:p>
        </w:tc>
        <w:tc>
          <w:tcPr>
            <w:tcW w:w="18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w w:val="93"/>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4"/>
              </w:rPr>
              <w:t>to Trigrow</w:t>
            </w:r>
          </w:p>
        </w:tc>
        <w:tc>
          <w:tcPr>
            <w:tcW w:w="1760" w:type="dxa"/>
            <w:vAlign w:val="bottom"/>
            <w:gridSpan w:val="9"/>
            <w:vMerge w:val="restart"/>
          </w:tcPr>
          <w:p>
            <w:pPr>
              <w:ind w:left="40"/>
              <w:spacing w:after="0" w:line="142" w:lineRule="exact"/>
              <w:rPr>
                <w:sz w:val="20"/>
                <w:szCs w:val="20"/>
                <w:color w:val="auto"/>
              </w:rPr>
            </w:pPr>
            <w:r>
              <w:rPr>
                <w:rFonts w:ascii="Arial" w:cs="Arial" w:eastAsia="Arial" w:hAnsi="Arial"/>
                <w:sz w:val="16"/>
                <w:szCs w:val="16"/>
                <w:b w:val="1"/>
                <w:bCs w:val="1"/>
                <w:color w:val="auto"/>
                <w:w w:val="8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Amount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Arial" w:cs="Arial" w:eastAsia="Arial" w:hAnsi="Arial"/>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7"/>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5"/>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notes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2,072,794</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stock options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2"/>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9,538,746</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3,014,993</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rFonts w:ascii="Arial" w:cs="Arial" w:eastAsia="Arial" w:hAnsi="Arial"/>
          <w:sz w:val="16"/>
          <w:szCs w:val="16"/>
          <w:b w:val="1"/>
          <w:bCs w:val="1"/>
          <w:u w:val="single" w:color="auto"/>
          <w:color w:val="0000EE"/>
        </w:rPr>
      </w:pPr>
    </w:p>
    <w:p>
      <w:pPr>
        <w:jc w:val="center"/>
        <w:ind w:right="1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rFonts w:ascii="Arial" w:cs="Arial" w:eastAsia="Arial" w:hAnsi="Arial"/>
          <w:sz w:val="16"/>
          <w:szCs w:val="16"/>
          <w:b w:val="1"/>
          <w:bCs w:val="1"/>
          <w:u w:val="single" w:color="auto"/>
          <w:color w:val="0000EE"/>
        </w:rPr>
      </w:pPr>
    </w:p>
    <w:p>
      <w:pPr>
        <w:ind w:left="4340"/>
        <w:spacing w:after="0"/>
        <w:rPr>
          <w:sz w:val="20"/>
          <w:szCs w:val="20"/>
          <w:color w:val="auto"/>
        </w:rPr>
      </w:pPr>
      <w:r>
        <w:rPr>
          <w:rFonts w:ascii="Arial" w:cs="Arial" w:eastAsia="Arial" w:hAnsi="Arial"/>
          <w:sz w:val="18"/>
          <w:szCs w:val="18"/>
          <w:color w:val="auto"/>
        </w:rPr>
        <w:t>F-49</w:t>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00"/>
          </w:cols>
          <w:pgMar w:left="1440" w:top="702" w:right="459"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600" w:type="dxa"/>
            <w:vAlign w:val="bottom"/>
          </w:tcPr>
          <w:p>
            <w:pPr>
              <w:ind w:left="180"/>
              <w:spacing w:after="0"/>
              <w:rPr>
                <w:sz w:val="20"/>
                <w:szCs w:val="20"/>
                <w:color w:val="auto"/>
              </w:rPr>
            </w:pPr>
            <w:r>
              <w:rPr>
                <w:rFonts w:ascii="Arial" w:cs="Arial" w:eastAsia="Arial" w:hAnsi="Arial"/>
                <w:sz w:val="18"/>
                <w:szCs w:val="18"/>
                <w:color w:val="auto"/>
              </w:rPr>
              <w:t>Conversion of Convertible notes to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November 14, 2018, the Company established TriGrow Brands, LLC (now Agrify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(now Agrify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Non-controlling interests</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years end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w:t>
      </w:r>
    </w:p>
    <w:p>
      <w:pPr>
        <w:spacing w:after="0" w:line="162"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Cash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December 31, 2019.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may exceed the federally insured limits. Revenue is primarily from product sales and royalty revenue.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certain customers whose revenue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or whose accounts receivable balances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accounts receivable, as follows:</w:t>
      </w:r>
    </w:p>
    <w:p>
      <w:pPr>
        <w:spacing w:after="0" w:line="130"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0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Intangible assets are related to the establishment of Brands and capital contribution made by a non-controlling entity in the form of license agreement and from investment in the Company’s website domain.</w:t>
      </w:r>
    </w:p>
    <w:p>
      <w:pPr>
        <w:spacing w:after="0" w:line="43"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As of December 31, 2019, and 2018, the value of the license agreement was $167 and the Company’s domain was $3. Investments in the Company’s website are amortized over their estimated useful lives of</w:t>
      </w:r>
    </w:p>
    <w:p>
      <w:pPr>
        <w:ind w:left="460" w:right="739"/>
        <w:spacing w:after="0" w:line="260" w:lineRule="auto"/>
        <w:rPr>
          <w:sz w:val="20"/>
          <w:szCs w:val="20"/>
          <w:color w:val="auto"/>
        </w:rPr>
      </w:pPr>
      <w:r>
        <w:rPr>
          <w:rFonts w:ascii="Arial" w:cs="Arial" w:eastAsia="Arial" w:hAnsi="Arial"/>
          <w:sz w:val="18"/>
          <w:szCs w:val="18"/>
          <w:color w:val="auto"/>
        </w:rPr>
        <w:t>3 years. As of December 31, 2019, and 2018, amortizable intangible assets were $3 and $3, and accumulated amortization was $2 and $1, respectively.</w:t>
      </w:r>
    </w:p>
    <w:p>
      <w:pPr>
        <w:spacing w:after="0" w:line="11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7"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20"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69" w:lineRule="auto"/>
        <w:rPr>
          <w:sz w:val="20"/>
          <w:szCs w:val="20"/>
          <w:color w:val="auto"/>
        </w:rPr>
      </w:pPr>
      <w:r>
        <w:rPr>
          <w:rFonts w:ascii="Arial" w:cs="Arial" w:eastAsia="Arial" w:hAnsi="Arial"/>
          <w:sz w:val="17"/>
          <w:szCs w:val="17"/>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14"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19"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 xml:space="preserve">In August 2014, the Financial Accounting Standards Board (“FASB”) issued ASU No. 2014-15, </w:t>
      </w:r>
      <w:r>
        <w:rPr>
          <w:rFonts w:ascii="Arial" w:cs="Arial" w:eastAsia="Arial" w:hAnsi="Arial"/>
          <w:sz w:val="18"/>
          <w:szCs w:val="18"/>
          <w:i w:val="1"/>
          <w:iCs w:val="1"/>
          <w:color w:val="auto"/>
        </w:rPr>
        <w:t xml:space="preserve">Disclosure of Uncertainties about an Entity’s Ability to Continue as a Going Concern </w:t>
      </w:r>
      <w:r>
        <w:rPr>
          <w:rFonts w:ascii="Arial" w:cs="Arial" w:eastAsia="Arial" w:hAnsi="Arial"/>
          <w:sz w:val="18"/>
          <w:szCs w:val="18"/>
          <w:color w:val="auto"/>
        </w:rPr>
        <w:t>(“ASU 2014-15”).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9"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Inventory</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290</w:t>
            </w:r>
          </w:p>
        </w:tc>
        <w:tc>
          <w:tcPr>
            <w:tcW w:w="16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187</w:t>
            </w:r>
          </w:p>
        </w:tc>
        <w:tc>
          <w:tcPr>
            <w:tcW w:w="92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Intangible Assets,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6"/>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$1 and $1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27"/>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92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Advance from Customers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On November 16, 2018, the Company increased its authorized number of shares of common stock to 10,555,000 shares and to simultaneously declared a 1,000 for 1 stock split of its common shares.</w:t>
      </w:r>
    </w:p>
    <w:p>
      <w:pPr>
        <w:spacing w:after="0" w:line="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 KISS</w:t>
      </w:r>
    </w:p>
    <w:p>
      <w:pPr>
        <w:spacing w:after="0" w:line="158"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On May 11, 2018, the Company issued Series 1 KISS notes for $500 (“KISS 1”). The KISS 1 has maturity date of 18 months from the date of issuance and shall:</w:t>
      </w:r>
    </w:p>
    <w:p>
      <w:pPr>
        <w:spacing w:after="0" w:line="103" w:lineRule="exact"/>
        <w:rPr>
          <w:sz w:val="20"/>
          <w:szCs w:val="20"/>
          <w:color w:val="auto"/>
        </w:rPr>
      </w:pPr>
    </w:p>
    <w:p>
      <w:pPr>
        <w:ind w:left="1280" w:hanging="394"/>
        <w:spacing w:after="0"/>
        <w:tabs>
          <w:tab w:leader="none" w:pos="12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Be automatically converted to 500,000 Preferred Stock issued in the next equity financing; or</w:t>
      </w:r>
    </w:p>
    <w:p>
      <w:pPr>
        <w:spacing w:after="0" w:line="142" w:lineRule="exact"/>
        <w:rPr>
          <w:rFonts w:ascii="Arial" w:cs="Arial" w:eastAsia="Arial" w:hAnsi="Arial"/>
          <w:sz w:val="17"/>
          <w:szCs w:val="17"/>
          <w:color w:val="auto"/>
        </w:rPr>
      </w:pPr>
    </w:p>
    <w:p>
      <w:pPr>
        <w:ind w:left="1320" w:right="479" w:hanging="434"/>
        <w:spacing w:after="0" w:line="279" w:lineRule="auto"/>
        <w:tabs>
          <w:tab w:leader="none" w:pos="128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76" w:lineRule="exact"/>
        <w:rPr>
          <w:rFonts w:ascii="Arial" w:cs="Arial" w:eastAsia="Arial" w:hAnsi="Arial"/>
          <w:sz w:val="17"/>
          <w:szCs w:val="17"/>
          <w:color w:val="auto"/>
        </w:rPr>
      </w:pPr>
    </w:p>
    <w:p>
      <w:pPr>
        <w:ind w:left="1320" w:right="539" w:hanging="434"/>
        <w:spacing w:after="0" w:line="263" w:lineRule="auto"/>
        <w:tabs>
          <w:tab w:leader="none" w:pos="12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16"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Series 1 KISS do not bear any interest. On April 30, 2019, the KISS 1 note was converted to 500,000 Preferred A Stock as part of the Company’s Preferred A financing round.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1.A KISS</w:t>
      </w:r>
    </w:p>
    <w:p>
      <w:pPr>
        <w:spacing w:after="0" w:line="144"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During August 3, 2018 and September 14, 2018, the Company issued Series 1.A KISS notes for a total of $800 (“KISS 1.A”). The KISS 1.A has maturity date of 18 months from the date of issuance and shall:</w:t>
      </w:r>
    </w:p>
    <w:p>
      <w:pPr>
        <w:spacing w:after="0" w:line="56" w:lineRule="exact"/>
        <w:rPr>
          <w:sz w:val="20"/>
          <w:szCs w:val="20"/>
          <w:color w:val="auto"/>
        </w:rPr>
      </w:pPr>
    </w:p>
    <w:p>
      <w:pPr>
        <w:ind w:left="1280" w:hanging="394"/>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 automatically converted to Preferred Stock issued in the next equity financing; or</w:t>
      </w:r>
    </w:p>
    <w:p>
      <w:pPr>
        <w:spacing w:after="0" w:line="130" w:lineRule="exact"/>
        <w:rPr>
          <w:rFonts w:ascii="Arial" w:cs="Arial" w:eastAsia="Arial" w:hAnsi="Arial"/>
          <w:sz w:val="18"/>
          <w:szCs w:val="18"/>
          <w:color w:val="auto"/>
        </w:rPr>
      </w:pPr>
    </w:p>
    <w:p>
      <w:pPr>
        <w:ind w:left="1320" w:right="559" w:hanging="434"/>
        <w:spacing w:after="0" w:line="279" w:lineRule="auto"/>
        <w:tabs>
          <w:tab w:leader="none" w:pos="12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0" w:lineRule="exact"/>
        <w:rPr>
          <w:rFonts w:ascii="Arial" w:cs="Arial" w:eastAsia="Arial" w:hAnsi="Arial"/>
          <w:sz w:val="17"/>
          <w:szCs w:val="17"/>
          <w:color w:val="auto"/>
        </w:rPr>
      </w:pPr>
    </w:p>
    <w:p>
      <w:pPr>
        <w:ind w:left="1320" w:right="799" w:hanging="434"/>
        <w:spacing w:after="0" w:line="277" w:lineRule="auto"/>
        <w:tabs>
          <w:tab w:leader="none" w:pos="12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KISS1.A’s holders to shares, at any time on or after the maturity of KISS 1.</w:t>
      </w:r>
    </w:p>
    <w:p>
      <w:pPr>
        <w:spacing w:after="0" w:line="8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1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Series 1.A KISS do not bear any interest and were converted to 442,199 Preferred A Stock on April 30, 2019 as part of the Company’s Preferred A financing round.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November 2018, TriGrow adopted its 2018 Stock Plan allowing the issuance of 1,055,000 shares.</w:t>
      </w:r>
    </w:p>
    <w:p>
      <w:pPr>
        <w:spacing w:after="0" w:line="1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Expected life (years)</w:t>
            </w:r>
          </w:p>
        </w:tc>
        <w:tc>
          <w:tcPr>
            <w:tcW w:w="352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Weighted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average</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979,279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940,533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Borders>
              <w:bottom w:val="single" w:sz="8" w:color="CCEEFF"/>
            </w:tcBorders>
            <w:vMerge w:val="continue"/>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gridSpan w:val="2"/>
            <w:vMerge w:val="continue"/>
          </w:tcPr>
          <w:p>
            <w:pPr>
              <w:spacing w:after="0"/>
              <w:rPr>
                <w:sz w:val="22"/>
                <w:szCs w:val="22"/>
                <w:color w:val="auto"/>
              </w:rPr>
            </w:pPr>
          </w:p>
        </w:tc>
        <w:tc>
          <w:tcPr>
            <w:tcW w:w="1240" w:type="dxa"/>
            <w:vAlign w:val="bottom"/>
            <w:tcBorders>
              <w:bottom w:val="single" w:sz="8" w:color="CCEEFF"/>
            </w:tcBorders>
            <w:gridSpan w:val="3"/>
            <w:vMerge w:val="continue"/>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aggregate intrinsic value at December 31, 2019 was $196 as the Company’s stock price of $0.201 on grant date was higher than the exercise price of the stock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Income Taxes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9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Arial" w:cs="Arial" w:eastAsia="Arial" w:hAnsi="Arial"/>
                <w:sz w:val="16"/>
                <w:szCs w:val="16"/>
                <w:b w:val="1"/>
                <w:bCs w:val="1"/>
                <w:color w:val="auto"/>
                <w:w w:val="90"/>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State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r>
      <w:tr>
        <w:trPr>
          <w:trHeight w:val="244"/>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liabilities as of December 31, 2019 and 2018 are summarized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Employee Benefit Plan</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Subsequent Events</w:t>
      </w:r>
    </w:p>
    <w:p>
      <w:pPr>
        <w:spacing w:after="0" w:line="16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4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b w:val="1"/>
          <w:bCs w:val="1"/>
          <w:color w:val="auto"/>
        </w:rPr>
        <w:t>Through and including March 13, 2021 (the 25</w:t>
      </w:r>
      <w:r>
        <w:rPr>
          <w:rFonts w:ascii="Arial" w:cs="Arial" w:eastAsia="Arial" w:hAnsi="Arial"/>
          <w:sz w:val="18"/>
          <w:szCs w:val="18"/>
          <w:b w:val="1"/>
          <w:bCs w:val="1"/>
          <w:color w:val="auto"/>
          <w:vertAlign w:val="superscript"/>
        </w:rPr>
        <w:t>th</w:t>
      </w:r>
      <w:r>
        <w:rPr>
          <w:rFonts w:ascii="Arial" w:cs="Arial" w:eastAsia="Arial" w:hAnsi="Arial"/>
          <w:sz w:val="16"/>
          <w:szCs w:val="16"/>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5,555,555 Shares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426085</wp:posOffset>
            </wp:positionV>
            <wp:extent cx="3051810" cy="8489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8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Maxim Group LLC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534035</wp:posOffset>
            </wp:positionV>
            <wp:extent cx="514350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576580</wp:posOffset>
            </wp:positionV>
            <wp:extent cx="514350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859790</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lvl w:ilvl="1">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upperLetter"/>
      <w:start w:val="68"/>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3"/>
    </w:lvl>
  </w:abstractNum>
  <w:abstractNum w:abstractNumId="49">
    <w:nsid w:val="47398C89"/>
    <w:multiLevelType w:val="hybridMultilevel"/>
    <w:lvl w:ilvl="0">
      <w:lvlJc w:val="left"/>
      <w:lvlText w:val="(%1)"/>
      <w:numFmt w:val="lowerRoman"/>
      <w:start w:val="4"/>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3"/>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lowerRoman"/>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2"/>
    </w:lvl>
  </w:abstractNum>
  <w:abstractNum w:abstractNumId="65">
    <w:nsid w:val="4AD084E9"/>
    <w:multiLevelType w:val="hybridMultilevel"/>
    <w:lvl w:ilvl="0">
      <w:lvlJc w:val="left"/>
      <w:lvlText w:val="%1."/>
      <w:numFmt w:val="lowerLetter"/>
      <w:start w:val="1"/>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2021-02-19T05:12:46Z</dcterms:created>
  <dcterms:modified xsi:type="dcterms:W3CDTF">2021-02-19T05:12:46Z</dcterms:modified>
</cp:coreProperties>
</file>