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Confidentially submitted to the Securities and Exchange Commission on February 9, 2021. This draft registration statement has not been publicly filed with the Securities and Exchange Commission and all information herein remains strictly confidential.</w:t>
      </w:r>
    </w:p>
    <w:p>
      <w:pPr>
        <w:ind w:left="6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21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1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25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8742</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30-0943453</w:t>
            </w:r>
          </w:p>
        </w:tc>
      </w:tr>
    </w:tbl>
    <w:p>
      <w:pPr>
        <w:spacing w:after="0" w:line="26" w:lineRule="exact"/>
        <w:rPr>
          <w:sz w:val="24"/>
          <w:szCs w:val="24"/>
          <w:color w:val="auto"/>
        </w:rPr>
      </w:pPr>
    </w:p>
    <w:tbl>
      <w:tblPr>
        <w:tblLayout w:type="fixed"/>
        <w:tblInd w:w="460" w:type="dxa"/>
        <w:tblCellMar>
          <w:top w:w="0" w:type="dxa"/>
          <w:left w:w="0" w:type="dxa"/>
          <w:bottom w:w="0" w:type="dxa"/>
          <w:right w:w="0" w:type="dxa"/>
        </w:tblCellMar>
      </w:tblPr>
      <w:tr>
        <w:trPr>
          <w:trHeight w:val="211"/>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tcPr>
          <w:p>
            <w:pPr>
              <w:spacing w:after="0"/>
              <w:rPr>
                <w:sz w:val="18"/>
                <w:szCs w:val="18"/>
                <w:color w:val="auto"/>
              </w:rPr>
            </w:pPr>
          </w:p>
        </w:tc>
        <w:tc>
          <w:tcPr>
            <w:tcW w:w="26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tcPr>
          <w:p>
            <w:pPr>
              <w:spacing w:after="0"/>
              <w:rPr>
                <w:sz w:val="18"/>
                <w:szCs w:val="18"/>
                <w:color w:val="auto"/>
              </w:rPr>
            </w:pPr>
          </w:p>
        </w:tc>
        <w:tc>
          <w:tcPr>
            <w:tcW w:w="27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395"/>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including area code, of registrant’s principal executive offices)</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Raymond Chang,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186"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Mitchell S. Nussbaum, Esq.</w:t>
            </w:r>
          </w:p>
        </w:tc>
        <w:tc>
          <w:tcPr>
            <w:tcW w:w="38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Barry I. Grossman, Esq.</w:t>
            </w:r>
          </w:p>
        </w:tc>
      </w:t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David J. Levine, Esq.</w:t>
            </w:r>
          </w:p>
        </w:tc>
        <w:tc>
          <w:tcPr>
            <w:tcW w:w="38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Lawrence A. Rosenbloom, Esq.</w:t>
            </w:r>
          </w:p>
        </w:tc>
      </w:t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38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380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1345 Avenue of the Americas, 11</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New York, NY 10154</w:t>
            </w:r>
          </w:p>
        </w:tc>
        <w:tc>
          <w:tcPr>
            <w:tcW w:w="38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New York, NY 10105</w:t>
            </w:r>
          </w:p>
        </w:tc>
      </w:tr>
      <w:tr>
        <w:trPr>
          <w:trHeight w:val="216"/>
        </w:trPr>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38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Tel: (212) 370-1300</w:t>
            </w:r>
          </w:p>
        </w:tc>
      </w:tr>
      <w:tr>
        <w:trPr>
          <w:trHeight w:val="238"/>
        </w:trPr>
        <w:tc>
          <w:tcPr>
            <w:tcW w:w="286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Fax: (212) 937-3943</w:t>
            </w:r>
          </w:p>
        </w:tc>
        <w:tc>
          <w:tcPr>
            <w:tcW w:w="38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Fax: (212) 370-7889</w:t>
            </w:r>
          </w:p>
        </w:tc>
      </w:tr>
    </w:tbl>
    <w:p>
      <w:pPr>
        <w:spacing w:after="0" w:line="19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57" w:lineRule="exact"/>
        <w:rPr>
          <w:sz w:val="24"/>
          <w:szCs w:val="24"/>
          <w:color w:val="auto"/>
        </w:rPr>
      </w:pPr>
    </w:p>
    <w:p>
      <w:pPr>
        <w:ind w:left="460" w:right="6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this registration statement.</w:t>
      </w:r>
    </w:p>
    <w:p>
      <w:pPr>
        <w:spacing w:after="0" w:line="24" w:lineRule="exact"/>
        <w:rPr>
          <w:sz w:val="24"/>
          <w:szCs w:val="24"/>
          <w:color w:val="auto"/>
        </w:rPr>
      </w:pPr>
    </w:p>
    <w:p>
      <w:pPr>
        <w:ind w:left="460" w:right="739" w:firstLine="432"/>
        <w:spacing w:after="0" w:line="285"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8"/>
          <w:szCs w:val="18"/>
          <w:color w:val="auto"/>
        </w:rPr>
        <w:t>£</w:t>
      </w:r>
    </w:p>
    <w:p>
      <w:pPr>
        <w:spacing w:after="0" w:line="7" w:lineRule="exact"/>
        <w:rPr>
          <w:sz w:val="24"/>
          <w:szCs w:val="24"/>
          <w:color w:val="auto"/>
        </w:rPr>
      </w:pPr>
    </w:p>
    <w:p>
      <w:pPr>
        <w:ind w:left="460" w:right="6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21" w:lineRule="exact"/>
        <w:rPr>
          <w:sz w:val="24"/>
          <w:szCs w:val="24"/>
          <w:color w:val="auto"/>
        </w:rPr>
      </w:pPr>
    </w:p>
    <w:p>
      <w:pPr>
        <w:jc w:val="both"/>
        <w:ind w:left="460" w:right="6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35" w:lineRule="exact"/>
        <w:rPr>
          <w:sz w:val="24"/>
          <w:szCs w:val="24"/>
          <w:color w:val="auto"/>
        </w:rPr>
      </w:pPr>
    </w:p>
    <w:p>
      <w:pPr>
        <w:jc w:val="both"/>
        <w:ind w:left="460" w:right="639" w:firstLine="432"/>
        <w:spacing w:after="0" w:line="260"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1" w:lineRule="exact"/>
        <w:rPr>
          <w:sz w:val="24"/>
          <w:szCs w:val="24"/>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9019"/>
          </w:cols>
          <w:pgMar w:left="1440" w:top="266" w:right="1440" w:bottom="420" w:gutter="0" w:footer="0" w:header="0"/>
        </w:sectPr>
      </w:pPr>
    </w:p>
    <w:p>
      <w:pPr>
        <w:spacing w:after="0" w:line="1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Arial" w:cs="Arial" w:eastAsia="Arial" w:hAnsi="Arial"/>
          <w:sz w:val="17"/>
          <w:szCs w:val="17"/>
          <w:color w:val="auto"/>
        </w:rPr>
        <w:t>£</w:t>
      </w:r>
    </w:p>
    <w:p>
      <w:pPr>
        <w:spacing w:after="0" w:line="87" w:lineRule="exact"/>
        <w:rPr>
          <w:sz w:val="24"/>
          <w:szCs w:val="24"/>
          <w:color w:val="auto"/>
        </w:rPr>
      </w:pPr>
    </w:p>
    <w:p>
      <w:pPr>
        <w:sectPr>
          <w:pgSz w:w="11900" w:h="16838" w:orient="portrait"/>
          <w:cols w:equalWidth="0" w:num="2">
            <w:col w:w="4580" w:space="720"/>
            <w:col w:w="3719"/>
          </w:cols>
          <w:pgMar w:left="1440" w:top="266" w:right="1440" w:bottom="42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p>
      <w:pPr>
        <w:spacing w:after="0" w:line="76" w:lineRule="exact"/>
        <w:rPr>
          <w:sz w:val="24"/>
          <w:szCs w:val="24"/>
          <w:color w:val="auto"/>
        </w:rPr>
      </w:pPr>
    </w:p>
    <w:p>
      <w:pPr>
        <w:sectPr>
          <w:pgSz w:w="11900" w:h="16838" w:orient="portrait"/>
          <w:cols w:equalWidth="0" w:num="2">
            <w:col w:w="4580" w:space="720"/>
            <w:col w:w="3719"/>
          </w:cols>
          <w:pgMar w:left="1440" w:top="266" w:right="1440" w:bottom="420" w:gutter="0" w:footer="0" w:header="0"/>
          <w:type w:val="continuous"/>
        </w:sectPr>
      </w:pPr>
    </w:p>
    <w:p>
      <w:pPr>
        <w:spacing w:after="0" w:line="4"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(Do not check if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317500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p>
      <w:pPr>
        <w:sectPr>
          <w:pgSz w:w="11900" w:h="16838" w:orient="portrait"/>
          <w:cols w:equalWidth="0" w:num="2">
            <w:col w:w="4580" w:space="720"/>
            <w:col w:w="3719"/>
          </w:cols>
          <w:pgMar w:left="1440" w:top="266" w:right="1440" w:bottom="420" w:gutter="0" w:footer="0" w:header="0"/>
          <w:type w:val="continuous"/>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0" w:type="dxa"/>
            <w:vAlign w:val="bottom"/>
          </w:tcPr>
          <w:p>
            <w:pPr>
              <w:spacing w:after="0"/>
              <w:rPr>
                <w:sz w:val="1"/>
                <w:szCs w:val="1"/>
                <w:color w:val="auto"/>
              </w:rPr>
            </w:pPr>
          </w:p>
        </w:tc>
      </w:tr>
      <w:tr>
        <w:trPr>
          <w:trHeight w:val="259"/>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160" w:type="dxa"/>
            <w:vAlign w:val="bottom"/>
          </w:tcPr>
          <w:p>
            <w:pPr>
              <w:spacing w:after="0"/>
              <w:rPr>
                <w:sz w:val="22"/>
                <w:szCs w:val="22"/>
                <w:color w:val="auto"/>
              </w:rPr>
            </w:pPr>
          </w:p>
        </w:tc>
        <w:tc>
          <w:tcPr>
            <w:tcW w:w="1100" w:type="dxa"/>
            <w:vAlign w:val="bottom"/>
            <w:gridSpan w:val="2"/>
          </w:tcPr>
          <w:p>
            <w:pPr>
              <w:jc w:val="center"/>
              <w:ind w:right="24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4"/>
              </w:rPr>
              <w:t>Fee</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43"/>
        </w:trPr>
        <w:tc>
          <w:tcPr>
            <w:tcW w:w="5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9,409.88</w:t>
            </w:r>
          </w:p>
        </w:tc>
        <w:tc>
          <w:tcPr>
            <w:tcW w:w="0" w:type="dxa"/>
            <w:vAlign w:val="bottom"/>
          </w:tcPr>
          <w:p>
            <w:pPr>
              <w:spacing w:after="0"/>
              <w:rPr>
                <w:sz w:val="1"/>
                <w:szCs w:val="1"/>
                <w:color w:val="auto"/>
              </w:rPr>
            </w:pPr>
          </w:p>
        </w:tc>
      </w:tr>
      <w:tr>
        <w:trPr>
          <w:trHeight w:val="28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 warrants to purchase common stock</w:t>
            </w:r>
            <w:r>
              <w:rPr>
                <w:rFonts w:ascii="Times New Roman" w:cs="Times New Roman" w:eastAsia="Times New Roman" w:hAnsi="Times New Roman"/>
                <w:sz w:val="20"/>
                <w:szCs w:val="20"/>
                <w:color w:val="auto"/>
                <w:vertAlign w:val="superscript"/>
              </w:rPr>
              <w:t>(4)</w:t>
            </w:r>
          </w:p>
        </w:tc>
        <w:tc>
          <w:tcPr>
            <w:tcW w:w="1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underlying Representative’s warrants</w:t>
            </w:r>
            <w:r>
              <w:rPr>
                <w:rFonts w:ascii="Times New Roman" w:cs="Times New Roman" w:eastAsia="Times New Roman" w:hAnsi="Times New Roman"/>
                <w:sz w:val="20"/>
                <w:szCs w:val="20"/>
                <w:color w:val="auto"/>
                <w:vertAlign w:val="superscript"/>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819" w:hanging="426"/>
        <w:spacing w:after="0" w:line="269"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common stock that may be issued upon exercise of a 45-day option granted to the underwriters to cover over-allotments, if any.</w:t>
      </w:r>
    </w:p>
    <w:p>
      <w:pPr>
        <w:ind w:left="880" w:right="4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 (the “Securities Act”).</w:t>
      </w:r>
    </w:p>
    <w:p>
      <w:pPr>
        <w:ind w:left="880" w:right="499" w:hanging="426"/>
        <w:spacing w:after="0" w:line="264" w:lineRule="auto"/>
        <w:tabs>
          <w:tab w:leader="none" w:pos="87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paid at time of initial filing.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70" w:lineRule="auto"/>
        <w:tabs>
          <w:tab w:leader="none" w:pos="87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 of the public offering price. As estimated solely for the purpose of calculating the registration fee pursuant to Rule 457(g) under the Securities Act, the proposed maximum aggregate offering price of the representative’s warrant is $[•], which is equal to [•]% of the maximum aggregate price at which such warrants may be exercised (or $[•]).</w:t>
      </w:r>
    </w:p>
    <w:p>
      <w:pPr>
        <w:spacing w:after="0" w:line="96" w:lineRule="exact"/>
        <w:rPr>
          <w:sz w:val="20"/>
          <w:szCs w:val="20"/>
          <w:color w:val="auto"/>
        </w:rPr>
      </w:pPr>
    </w:p>
    <w:p>
      <w:pPr>
        <w:ind w:left="460" w:right="51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9" w:lineRule="exact"/>
        <w:rPr>
          <w:sz w:val="20"/>
          <w:szCs w:val="20"/>
          <w:color w:val="auto"/>
        </w:rPr>
      </w:pPr>
    </w:p>
    <w:p>
      <w:pPr>
        <w:ind w:left="460" w:right="539"/>
        <w:spacing w:after="0" w:line="281" w:lineRule="auto"/>
        <w:rPr>
          <w:sz w:val="20"/>
          <w:szCs w:val="20"/>
          <w:color w:val="auto"/>
        </w:rPr>
      </w:pPr>
      <w:r>
        <w:rPr>
          <w:rFonts w:ascii="Times New Roman" w:cs="Times New Roman" w:eastAsia="Times New Roman" w:hAnsi="Times New Roman"/>
          <w:sz w:val="16"/>
          <w:szCs w:val="16"/>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42" w:lineRule="exact"/>
        <w:rPr>
          <w:sz w:val="20"/>
          <w:szCs w:val="20"/>
          <w:color w:val="auto"/>
        </w:rPr>
      </w:pPr>
    </w:p>
    <w:p>
      <w:pPr>
        <w:ind w:left="460"/>
        <w:spacing w:after="0"/>
        <w:tabs>
          <w:tab w:leader="none" w:pos="380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 DATED FEBRUARY 9, 2021</w:t>
      </w:r>
    </w:p>
    <w:p>
      <w:pPr>
        <w:spacing w:after="0" w:line="39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3,795,547 Shares</w:t>
      </w:r>
    </w:p>
    <w:p>
      <w:pPr>
        <w:spacing w:after="0" w:line="2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161290</wp:posOffset>
            </wp:positionV>
            <wp:extent cx="3051810" cy="848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181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offering 3,795,547 shares of our common stock in a firm commitment underwritten public offering based on an assumed offering price of $19.76 per share, which was the last reported sale price of our common stock on The NASDAQ Capital Market on February 5, 2021.</w:t>
      </w:r>
    </w:p>
    <w:p>
      <w:pPr>
        <w:spacing w:after="0" w:line="176"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 The last reported sale price of our common stock on The NASDAQ Capital Market on February 5, 2021 was $19.76 per share.</w:t>
      </w:r>
    </w:p>
    <w:p>
      <w:pPr>
        <w:spacing w:after="0" w:line="17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assumed offering price used throughout this prospectus has been included for illustration purposes only. The actual offering price may differ materially from the assumed price used in the prospectus and will be determined by negotiations between us and the representatives of the underwriters and may not be indicative of prices that will prevail in the trading market.</w:t>
      </w:r>
    </w:p>
    <w:p>
      <w:pPr>
        <w:spacing w:after="0" w:line="176" w:lineRule="exact"/>
        <w:rPr>
          <w:sz w:val="20"/>
          <w:szCs w:val="20"/>
          <w:color w:val="auto"/>
        </w:rPr>
      </w:pPr>
    </w:p>
    <w:p>
      <w:pPr>
        <w:ind w:left="460" w:right="6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we have elected to comply with certain reduced public company reporting requirements for this prospectus and future filings. See “Prospectus Summary — Emerging Growth Company Status.”</w:t>
      </w:r>
    </w:p>
    <w:p>
      <w:pPr>
        <w:spacing w:after="0" w:line="171"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Underwriting</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Discounts and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45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Price to Public</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Commissions</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Proceeds to Us</w:t>
            </w:r>
          </w:p>
        </w:tc>
      </w:tr>
      <w:tr>
        <w:trPr>
          <w:trHeight w:val="24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w w:val="70"/>
              </w:rPr>
              <w:t>$</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37"/>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73" w:lineRule="exact"/>
        <w:rPr>
          <w:sz w:val="20"/>
          <w:szCs w:val="20"/>
          <w:color w:val="auto"/>
        </w:rPr>
      </w:pPr>
    </w:p>
    <w:p>
      <w:pPr>
        <w:ind w:left="880" w:right="959" w:hanging="426"/>
        <w:spacing w:after="0" w:line="275"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underwriting discount of 7% of the public offering price,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11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have granted the representative of the underwriters the right to purchase an additional 569,333 shares of our common stock to cover over-allotments based on the assumed offering price.</w:t>
      </w:r>
    </w:p>
    <w:p>
      <w:pPr>
        <w:spacing w:after="0" w:line="90"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w:t>
            </w:r>
          </w:p>
        </w:tc>
        <w:tc>
          <w:tcPr>
            <w:tcW w:w="16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 2021.</w:t>
            </w:r>
          </w:p>
        </w:tc>
      </w:tr>
      <w:tr>
        <w:trPr>
          <w:trHeight w:val="521"/>
        </w:trPr>
        <w:tc>
          <w:tcPr>
            <w:tcW w:w="5120" w:type="dxa"/>
            <w:vAlign w:val="bottom"/>
          </w:tcPr>
          <w:p>
            <w:pPr>
              <w:ind w:left="2980"/>
              <w:spacing w:after="0"/>
              <w:rPr>
                <w:sz w:val="20"/>
                <w:szCs w:val="20"/>
                <w:color w:val="auto"/>
              </w:rPr>
            </w:pPr>
            <w:r>
              <w:rPr>
                <w:rFonts w:ascii="Times New Roman" w:cs="Times New Roman" w:eastAsia="Times New Roman" w:hAnsi="Times New Roman"/>
                <w:sz w:val="25"/>
                <w:szCs w:val="25"/>
                <w:b w:val="1"/>
                <w:bCs w:val="1"/>
                <w:color w:val="auto"/>
              </w:rPr>
              <w:t>Maxim Group LLC</w:t>
            </w: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4"/>
        </w:trPr>
        <w:tc>
          <w:tcPr>
            <w:tcW w:w="51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3"/>
              </w:rPr>
              <w:t>, 2021</w:t>
            </w:r>
          </w:p>
        </w:tc>
        <w:tc>
          <w:tcPr>
            <w:tcW w:w="1680" w:type="dxa"/>
            <w:vAlign w:val="bottom"/>
          </w:tcPr>
          <w:p>
            <w:pPr>
              <w:spacing w:after="0"/>
              <w:rPr>
                <w:sz w:val="24"/>
                <w:szCs w:val="24"/>
                <w:color w:val="auto"/>
              </w:rPr>
            </w:pPr>
          </w:p>
        </w:tc>
      </w:tr>
      <w:tr>
        <w:trPr>
          <w:trHeight w:val="405"/>
        </w:trPr>
        <w:tc>
          <w:tcPr>
            <w:tcW w:w="5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Business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0"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42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2423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2" w:lineRule="exact"/>
        <w:rPr>
          <w:sz w:val="20"/>
          <w:szCs w:val="20"/>
          <w:color w:val="auto"/>
        </w:rPr>
      </w:pPr>
    </w:p>
    <w:p>
      <w:pPr>
        <w:jc w:val="both"/>
        <w:ind w:left="540" w:right="8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92" w:lineRule="exact"/>
        <w:rPr>
          <w:sz w:val="20"/>
          <w:szCs w:val="20"/>
          <w:color w:val="auto"/>
        </w:rPr>
      </w:pPr>
    </w:p>
    <w:p>
      <w:pPr>
        <w:ind w:left="540" w:right="6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62" w:lineRule="exact"/>
        <w:rPr>
          <w:sz w:val="20"/>
          <w:szCs w:val="20"/>
          <w:color w:val="auto"/>
        </w:rPr>
      </w:pPr>
    </w:p>
    <w:p>
      <w:pPr>
        <w:ind w:left="540" w:right="759" w:firstLine="432"/>
        <w:spacing w:after="0" w:line="256" w:lineRule="auto"/>
        <w:rPr>
          <w:sz w:val="20"/>
          <w:szCs w:val="20"/>
          <w:color w:val="auto"/>
        </w:rPr>
      </w:pPr>
      <w:r>
        <w:rPr>
          <w:rFonts w:ascii="Times New Roman" w:cs="Times New Roman" w:eastAsia="Times New Roman" w:hAnsi="Times New Roman"/>
          <w:sz w:val="18"/>
          <w:szCs w:val="18"/>
          <w:color w:val="auto"/>
        </w:rPr>
        <w:t>On January 27, 2021, we entered into an underwriting agreement with Maxim Group LLC, as representative of the underwriters named therein, in connection with our initial public offering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20" w:lineRule="exact"/>
        <w:rPr>
          <w:sz w:val="20"/>
          <w:szCs w:val="20"/>
          <w:color w:val="auto"/>
        </w:rPr>
      </w:pPr>
    </w:p>
    <w:p>
      <w:pPr>
        <w:ind w:left="540" w:right="779" w:firstLine="432"/>
        <w:spacing w:after="0" w:line="258" w:lineRule="auto"/>
        <w:rPr>
          <w:sz w:val="20"/>
          <w:szCs w:val="20"/>
          <w:color w:val="auto"/>
        </w:rPr>
      </w:pPr>
      <w:r>
        <w:rPr>
          <w:rFonts w:ascii="Times New Roman" w:cs="Times New Roman" w:eastAsia="Times New Roman" w:hAnsi="Times New Roman"/>
          <w:sz w:val="18"/>
          <w:szCs w:val="18"/>
          <w:color w:val="auto"/>
        </w:rPr>
        <w:t>The IPO closed on February 1, 2021 (the “IPO Closing Date”) and was made pursuant to our registration statement on Form S-1 (File No. 333- 251616), which was declared effective by the Securities and Exchange Commission (the “SEC”) on January 27, 2021 under the Securities Act of 1933, as amended (the “Securities Act”), and our registration statement on Form S-1MEF (File No. 333-252490). A final prospectus describing the terms of the IPO was filed with the SEC on January 29, 2021.</w:t>
      </w:r>
    </w:p>
    <w:p>
      <w:pPr>
        <w:spacing w:after="0" w:line="102"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540" w:right="899" w:firstLine="432"/>
        <w:spacing w:after="0" w:line="266" w:lineRule="auto"/>
        <w:rPr>
          <w:sz w:val="20"/>
          <w:szCs w:val="20"/>
          <w:color w:val="auto"/>
        </w:rPr>
      </w:pPr>
      <w:r>
        <w:rPr>
          <w:rFonts w:ascii="Times New Roman" w:cs="Times New Roman" w:eastAsia="Times New Roman" w:hAnsi="Times New Roman"/>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purpose and function of each of these entities is as follows:</w:t>
      </w:r>
    </w:p>
    <w:p>
      <w:pPr>
        <w:spacing w:after="0" w:line="142" w:lineRule="exact"/>
        <w:rPr>
          <w:sz w:val="20"/>
          <w:szCs w:val="20"/>
          <w:color w:val="auto"/>
        </w:rPr>
      </w:pPr>
    </w:p>
    <w:p>
      <w:pPr>
        <w:ind w:left="540" w:right="6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TriGrow Systems, LLC</w:t>
      </w:r>
      <w:r>
        <w:rPr>
          <w:rFonts w:ascii="Times New Roman" w:cs="Times New Roman" w:eastAsia="Times New Roman" w:hAnsi="Times New Roman"/>
          <w:sz w:val="18"/>
          <w:szCs w:val="18"/>
          <w:color w:val="auto"/>
        </w:rPr>
        <w:t>: We acquired TriGrow Systems, Inc. (“TriGrow”) in January 2020. TriGrow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sole distributor of our vertical farming units. Following the acquisition of TriGrow, we began selling our products directly to end customers.</w:t>
      </w:r>
    </w:p>
    <w:p>
      <w:pPr>
        <w:spacing w:after="0" w:line="106" w:lineRule="exact"/>
        <w:rPr>
          <w:sz w:val="20"/>
          <w:szCs w:val="20"/>
          <w:color w:val="auto"/>
        </w:rPr>
      </w:pPr>
    </w:p>
    <w:p>
      <w:pPr>
        <w:ind w:left="540" w:right="139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AGM Service Company LLC</w:t>
      </w:r>
      <w:r>
        <w:rPr>
          <w:rFonts w:ascii="Times New Roman" w:cs="Times New Roman" w:eastAsia="Times New Roman" w:hAnsi="Times New Roman"/>
          <w:sz w:val="18"/>
          <w:szCs w:val="18"/>
          <w:color w:val="auto"/>
        </w:rPr>
        <w:t>: AGM Service Company LLC serves as our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handling employment, benefits and other personnel matters for our company.</w:t>
      </w:r>
    </w:p>
    <w:p>
      <w:pPr>
        <w:spacing w:after="0" w:line="91" w:lineRule="exact"/>
        <w:rPr>
          <w:sz w:val="20"/>
          <w:szCs w:val="20"/>
          <w:color w:val="auto"/>
        </w:rPr>
      </w:pPr>
    </w:p>
    <w:p>
      <w:pPr>
        <w:jc w:val="both"/>
        <w:ind w:left="540" w:right="69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Agrify-Valiant, LLC</w:t>
      </w:r>
      <w:r>
        <w:rPr>
          <w:rFonts w:ascii="Times New Roman" w:cs="Times New Roman" w:eastAsia="Times New Roman" w:hAnsi="Times New Roman"/>
          <w:sz w:val="18"/>
          <w:szCs w:val="18"/>
          <w:color w:val="auto"/>
        </w:rPr>
        <w:t>: In December 2019, we established Agrify-Valiant, LLC as a joint venture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Valiant-America. Agrify Valiant, LLC was formed to expand our product offering to include various facility build-out, design, engineering and consulting services.</w:t>
      </w:r>
    </w:p>
    <w:p>
      <w:pPr>
        <w:sectPr>
          <w:pgSz w:w="11900" w:h="16838" w:orient="portrait"/>
          <w:cols w:equalWidth="0" w:num="1">
            <w:col w:w="9019"/>
          </w:cols>
          <w:pgMar w:left="1440" w:top="270" w:right="1440" w:bottom="1440" w:gutter="0" w:footer="0" w:header="0"/>
          <w:type w:val="continuous"/>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8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Agrify Brands, LLC</w:t>
      </w:r>
      <w:r>
        <w:rPr>
          <w:rFonts w:ascii="Times New Roman" w:cs="Times New Roman" w:eastAsia="Times New Roman" w:hAnsi="Times New Roman"/>
          <w:sz w:val="18"/>
          <w:szCs w:val="18"/>
          <w:color w:val="auto"/>
        </w:rPr>
        <w:t>: As part of the acquisition of TriGrow, we received TriGrow’s 75%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Agrify Brands, LLC (formerly TriGrow Brands, LLC), a licensor of an established portfolio of consumer brands that utilize our grow technology.</w:t>
      </w:r>
    </w:p>
    <w:p>
      <w:pPr>
        <w:spacing w:after="0" w:line="106" w:lineRule="exact"/>
        <w:rPr>
          <w:sz w:val="20"/>
          <w:szCs w:val="20"/>
          <w:color w:val="auto"/>
        </w:rPr>
      </w:pPr>
    </w:p>
    <w:p>
      <w:pPr>
        <w:ind w:left="540" w:right="13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Ariafy Finance, LLC</w:t>
      </w:r>
      <w:r>
        <w:rPr>
          <w:rFonts w:ascii="Times New Roman" w:cs="Times New Roman" w:eastAsia="Times New Roman" w:hAnsi="Times New Roman"/>
          <w:sz w:val="18"/>
          <w:szCs w:val="18"/>
          <w:color w:val="auto"/>
        </w:rPr>
        <w:t>: Ariafy Finance, LLC was set up to be used as the entity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financing to our customers.</w:t>
      </w:r>
    </w:p>
    <w:p>
      <w:pPr>
        <w:spacing w:after="0" w:line="77" w:lineRule="exact"/>
        <w:rPr>
          <w:sz w:val="20"/>
          <w:szCs w:val="20"/>
          <w:color w:val="auto"/>
        </w:rPr>
      </w:pPr>
    </w:p>
    <w:p>
      <w:pPr>
        <w:ind w:left="540" w:right="6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Agxiom, LLC</w:t>
      </w:r>
      <w:r>
        <w:rPr>
          <w:rFonts w:ascii="Times New Roman" w:cs="Times New Roman" w:eastAsia="Times New Roman" w:hAnsi="Times New Roman"/>
          <w:sz w:val="18"/>
          <w:szCs w:val="18"/>
          <w:color w:val="auto"/>
        </w:rPr>
        <w:t>: Agxiom, LLC houses the data that is imported from and exported to Metrc, a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reporting platform.</w:t>
      </w:r>
    </w:p>
    <w:p>
      <w:pPr>
        <w:spacing w:after="0" w:line="91" w:lineRule="exact"/>
        <w:rPr>
          <w:sz w:val="20"/>
          <w:szCs w:val="20"/>
          <w:color w:val="auto"/>
        </w:rPr>
      </w:pPr>
    </w:p>
    <w:p>
      <w:pPr>
        <w:ind w:left="540" w:right="11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Harbor Mountain Holdings, LLC</w:t>
      </w:r>
      <w:r>
        <w:rPr>
          <w:rFonts w:ascii="Times New Roman" w:cs="Times New Roman" w:eastAsia="Times New Roman" w:hAnsi="Times New Roman"/>
          <w:sz w:val="18"/>
          <w:szCs w:val="18"/>
          <w:color w:val="auto"/>
        </w:rPr>
        <w:t>: In July 2020, we acquired Harbor Mountain Holdings,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(HMH”), a company that has been producing and assembling many of our products.</w:t>
      </w:r>
    </w:p>
    <w:p>
      <w:pPr>
        <w:spacing w:after="0" w:line="93"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108" w:lineRule="exact"/>
        <w:rPr>
          <w:sz w:val="20"/>
          <w:szCs w:val="20"/>
          <w:color w:val="auto"/>
        </w:rPr>
      </w:pPr>
    </w:p>
    <w:p>
      <w:pPr>
        <w:ind w:left="540" w:right="619" w:firstLine="432"/>
        <w:spacing w:after="0" w:line="253" w:lineRule="auto"/>
        <w:rPr>
          <w:sz w:val="20"/>
          <w:szCs w:val="20"/>
          <w:color w:val="auto"/>
        </w:rPr>
      </w:pPr>
      <w:r>
        <w:rPr>
          <w:rFonts w:ascii="Times New Roman" w:cs="Times New Roman" w:eastAsia="Times New Roman" w:hAnsi="Times New Roman"/>
          <w:sz w:val="18"/>
          <w:szCs w:val="18"/>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24"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principal address is 101 Middlesex Turnpike, Suite 6, PMB 326, Burlington, MA 01803. Our telephone number is (617) 896-5243. We maintain a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contained on our website is not, and should not be interpreted to be, a part of this 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Times New Roman" w:cs="Times New Roman" w:eastAsia="Times New Roman" w:hAnsi="Times New Roman"/>
          <w:sz w:val="18"/>
          <w:szCs w:val="18"/>
          <w:i w:val="1"/>
          <w:iCs w:val="1"/>
          <w:color w:val="auto"/>
        </w:rPr>
        <w:t>Agrify “Precision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Elevated™” </w:t>
      </w:r>
      <w:r>
        <w:rPr>
          <w:rFonts w:ascii="Times New Roman" w:cs="Times New Roman" w:eastAsia="Times New Roman" w:hAnsi="Times New Roman"/>
          <w:sz w:val="18"/>
          <w:szCs w:val="18"/>
          <w:color w:val="auto"/>
        </w:rPr>
        <w:t>cultivation solution is vastly differentiated from anything else on the market in that it combines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13"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ectPr>
          <w:pgSz w:w="11900" w:h="16838" w:orient="portrait"/>
          <w:cols w:equalWidth="0" w:num="1">
            <w:col w:w="9019"/>
          </w:cols>
          <w:pgMar w:left="1440" w:top="270" w:right="1440"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204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7204710"/>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21"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Agrify Vertical Farming Unit (AVFU), as well as our proprietary Software as a Service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 SaaS (also known as subscribeware or rentware) is a software licensing and delivery model wherein software is licensed on a subscription basis and is centrally hosted.</w:t>
      </w:r>
    </w:p>
    <w:p>
      <w:pPr>
        <w:spacing w:after="0" w:line="107" w:lineRule="exact"/>
        <w:rPr>
          <w:sz w:val="20"/>
          <w:szCs w:val="20"/>
          <w:color w:val="auto"/>
        </w:rPr>
      </w:pPr>
    </w:p>
    <w:p>
      <w:pPr>
        <w:ind w:left="540" w:right="579" w:firstLine="432"/>
        <w:spacing w:after="0" w:line="261"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1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12" w:lineRule="exact"/>
        <w:rPr>
          <w:sz w:val="20"/>
          <w:szCs w:val="20"/>
          <w:color w:val="auto"/>
        </w:rPr>
      </w:pPr>
    </w:p>
    <w:p>
      <w:pPr>
        <w:ind w:left="540" w:right="779" w:firstLine="432"/>
        <w:spacing w:after="0" w:line="274" w:lineRule="auto"/>
        <w:rPr>
          <w:sz w:val="20"/>
          <w:szCs w:val="20"/>
          <w:color w:val="auto"/>
        </w:rPr>
      </w:pPr>
      <w:r>
        <w:rPr>
          <w:rFonts w:ascii="Times New Roman" w:cs="Times New Roman" w:eastAsia="Times New Roman" w:hAnsi="Times New Roman"/>
          <w:sz w:val="17"/>
          <w:szCs w:val="17"/>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9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21" w:lineRule="exact"/>
        <w:rPr>
          <w:sz w:val="20"/>
          <w:szCs w:val="20"/>
          <w:color w:val="auto"/>
        </w:rPr>
      </w:pPr>
    </w:p>
    <w:p>
      <w:pPr>
        <w:ind w:left="540" w:right="619" w:firstLine="432"/>
        <w:spacing w:after="0" w:line="254"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62"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20" w:lineRule="exact"/>
        <w:rPr>
          <w:sz w:val="20"/>
          <w:szCs w:val="20"/>
          <w:color w:val="auto"/>
        </w:rPr>
      </w:pPr>
    </w:p>
    <w:p>
      <w:pPr>
        <w:jc w:val="both"/>
        <w:ind w:left="540" w:right="57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83"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121"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Agrify Vertical Farming Unit</w:t>
      </w:r>
    </w:p>
    <w:p>
      <w:pPr>
        <w:spacing w:after="0" w:line="162" w:lineRule="exact"/>
        <w:rPr>
          <w:sz w:val="20"/>
          <w:szCs w:val="20"/>
          <w:color w:val="auto"/>
        </w:rPr>
      </w:pPr>
    </w:p>
    <w:p>
      <w:pPr>
        <w:ind w:left="540" w:right="69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4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27" w:lineRule="exact"/>
        <w:rPr>
          <w:sz w:val="20"/>
          <w:szCs w:val="20"/>
          <w:color w:val="auto"/>
        </w:rPr>
      </w:pPr>
    </w:p>
    <w:p>
      <w:pPr>
        <w:ind w:left="540" w:right="559"/>
        <w:spacing w:after="0" w:line="261" w:lineRule="auto"/>
        <w:rPr>
          <w:sz w:val="20"/>
          <w:szCs w:val="20"/>
          <w:color w:val="auto"/>
        </w:rPr>
      </w:pPr>
      <w:r>
        <w:rPr>
          <w:rFonts w:ascii="Times New Roman" w:cs="Times New Roman" w:eastAsia="Times New Roman" w:hAnsi="Times New Roman"/>
          <w:sz w:val="18"/>
          <w:szCs w:val="18"/>
          <w:color w:val="auto"/>
        </w:rPr>
        <w:t>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35"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80" w:lineRule="exact"/>
        <w:rPr>
          <w:sz w:val="20"/>
          <w:szCs w:val="20"/>
          <w:color w:val="auto"/>
        </w:rPr>
      </w:pPr>
    </w:p>
    <w:p>
      <w:pPr>
        <w:ind w:left="540" w:right="579" w:firstLine="432"/>
        <w:spacing w:after="0" w:line="253"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68" w:lineRule="exact"/>
        <w:rPr>
          <w:sz w:val="20"/>
          <w:szCs w:val="20"/>
          <w:color w:val="auto"/>
        </w:rPr>
      </w:pPr>
    </w:p>
    <w:p>
      <w:pPr>
        <w:ind w:left="540" w:right="599" w:firstLine="432"/>
        <w:spacing w:after="0" w:line="258" w:lineRule="auto"/>
        <w:rPr>
          <w:sz w:val="20"/>
          <w:szCs w:val="20"/>
          <w:color w:val="auto"/>
        </w:rPr>
      </w:pPr>
      <w:r>
        <w:rPr>
          <w:rFonts w:ascii="Times New Roman" w:cs="Times New Roman" w:eastAsia="Times New Roman" w:hAnsi="Times New Roman"/>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5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Facility with Traditional Grow Room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9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2594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64" w:lineRule="exact"/>
        <w:rPr>
          <w:sz w:val="20"/>
          <w:szCs w:val="20"/>
          <w:color w:val="auto"/>
        </w:rPr>
      </w:pPr>
    </w:p>
    <w:p>
      <w:pPr>
        <w:ind w:left="540" w:right="127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30" w:lineRule="exact"/>
        <w:rPr>
          <w:sz w:val="20"/>
          <w:szCs w:val="20"/>
          <w:color w:val="auto"/>
        </w:rPr>
      </w:pPr>
    </w:p>
    <w:p>
      <w:pPr>
        <w:ind w:left="940" w:hanging="396"/>
        <w:spacing w:after="0"/>
        <w:tabs>
          <w:tab w:leader="none" w:pos="9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165"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ind w:left="540" w:right="111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90" w:lineRule="exact"/>
        <w:rPr>
          <w:sz w:val="20"/>
          <w:szCs w:val="20"/>
          <w:color w:val="auto"/>
        </w:rPr>
      </w:pPr>
    </w:p>
    <w:p>
      <w:pPr>
        <w:ind w:left="1400" w:right="599" w:hanging="424"/>
        <w:spacing w:after="0" w:line="255"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7" w:lineRule="exact"/>
        <w:rPr>
          <w:rFonts w:ascii="Times New Roman" w:cs="Times New Roman" w:eastAsia="Times New Roman" w:hAnsi="Times New Roman"/>
          <w:sz w:val="18"/>
          <w:szCs w:val="18"/>
          <w:color w:val="auto"/>
        </w:rPr>
      </w:pPr>
    </w:p>
    <w:p>
      <w:pPr>
        <w:ind w:left="1400" w:right="859" w:hanging="424"/>
        <w:spacing w:after="0" w:line="262" w:lineRule="auto"/>
        <w:tabs>
          <w:tab w:leader="none" w:pos="1391"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ind w:left="1400" w:right="559" w:hanging="424"/>
        <w:spacing w:after="0" w:line="255" w:lineRule="auto"/>
        <w:tabs>
          <w:tab w:leader="none" w:pos="1391"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117" w:lineRule="exact"/>
        <w:rPr>
          <w:rFonts w:ascii="Times New Roman" w:cs="Times New Roman" w:eastAsia="Times New Roman" w:hAnsi="Times New Roman"/>
          <w:sz w:val="18"/>
          <w:szCs w:val="18"/>
          <w:b w:val="1"/>
          <w:bCs w:val="1"/>
          <w:i w:val="1"/>
          <w:iCs w:val="1"/>
          <w:color w:val="auto"/>
        </w:rPr>
      </w:pPr>
    </w:p>
    <w:p>
      <w:pPr>
        <w:ind w:left="1400" w:right="559" w:hanging="424"/>
        <w:spacing w:after="0" w:line="257"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01" w:lineRule="exact"/>
        <w:rPr>
          <w:rFonts w:ascii="Times New Roman" w:cs="Times New Roman" w:eastAsia="Times New Roman" w:hAnsi="Times New Roman"/>
          <w:sz w:val="18"/>
          <w:szCs w:val="18"/>
          <w:color w:val="auto"/>
        </w:rPr>
      </w:pPr>
    </w:p>
    <w:p>
      <w:pPr>
        <w:ind w:left="1400" w:right="559" w:hanging="424"/>
        <w:spacing w:after="0" w:line="257"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114" w:lineRule="exact"/>
        <w:rPr>
          <w:rFonts w:ascii="Times New Roman" w:cs="Times New Roman" w:eastAsia="Times New Roman" w:hAnsi="Times New Roman"/>
          <w:sz w:val="18"/>
          <w:szCs w:val="18"/>
          <w:color w:val="auto"/>
        </w:rPr>
      </w:pPr>
    </w:p>
    <w:p>
      <w:pPr>
        <w:ind w:left="1400" w:right="559" w:hanging="424"/>
        <w:spacing w:after="0" w:line="253"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Investment from and Deep Integration with Large Asian Manufacturer</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 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9"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Joint Venture with Experienced Consulting and General Contractor of Industrial</w:t>
      </w:r>
    </w:p>
    <w:p>
      <w:pPr>
        <w:spacing w:after="0" w:line="31" w:lineRule="exact"/>
        <w:rPr>
          <w:rFonts w:ascii="Times New Roman" w:cs="Times New Roman" w:eastAsia="Times New Roman" w:hAnsi="Times New Roman"/>
          <w:sz w:val="18"/>
          <w:szCs w:val="18"/>
          <w:color w:val="auto"/>
        </w:rPr>
      </w:pPr>
    </w:p>
    <w:p>
      <w:pPr>
        <w:ind w:left="140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Facilities. </w:t>
      </w:r>
      <w:r>
        <w:rPr>
          <w:rFonts w:ascii="Times New Roman" w:cs="Times New Roman" w:eastAsia="Times New Roman" w:hAnsi="Times New Roman"/>
          <w:sz w:val="18"/>
          <w:szCs w:val="18"/>
          <w:color w:val="auto"/>
        </w:rPr>
        <w:t>We formed a joint venture with Valiant-America in December 2019 recognizing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107" w:lineRule="exact"/>
        <w:rPr>
          <w:rFonts w:ascii="Times New Roman" w:cs="Times New Roman" w:eastAsia="Times New Roman" w:hAnsi="Times New Roman"/>
          <w:sz w:val="18"/>
          <w:szCs w:val="18"/>
          <w:color w:val="auto"/>
        </w:rPr>
      </w:pPr>
    </w:p>
    <w:p>
      <w:pPr>
        <w:ind w:left="1400" w:right="659" w:hanging="424"/>
        <w:spacing w:after="0" w:line="259"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11" w:lineRule="exact"/>
        <w:rPr>
          <w:rFonts w:ascii="Times New Roman" w:cs="Times New Roman" w:eastAsia="Times New Roman" w:hAnsi="Times New Roman"/>
          <w:sz w:val="18"/>
          <w:szCs w:val="18"/>
          <w:color w:val="auto"/>
        </w:rPr>
      </w:pPr>
    </w:p>
    <w:p>
      <w:pPr>
        <w:ind w:left="1400" w:right="719" w:hanging="424"/>
        <w:spacing w:after="0" w:line="262" w:lineRule="auto"/>
        <w:tabs>
          <w:tab w:leader="none" w:pos="1391"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27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6277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ind w:left="540" w:right="639" w:firstLine="432"/>
        <w:spacing w:after="0" w:line="256"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93"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4"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7"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Additional Market Opportunity</w:t>
      </w:r>
    </w:p>
    <w:p>
      <w:pPr>
        <w:spacing w:after="0" w:line="146"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27"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59"/>
        <w:spacing w:after="0" w:line="261" w:lineRule="auto"/>
        <w:rPr>
          <w:sz w:val="20"/>
          <w:szCs w:val="20"/>
          <w:color w:val="auto"/>
        </w:rPr>
      </w:pPr>
      <w:r>
        <w:rPr>
          <w:rFonts w:ascii="Times New Roman" w:cs="Times New Roman" w:eastAsia="Times New Roman" w:hAnsi="Times New Roman"/>
          <w:sz w:val="18"/>
          <w:szCs w:val="18"/>
          <w:color w:val="auto"/>
        </w:rPr>
        <w:t>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2"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48"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21" w:lineRule="exact"/>
        <w:rPr>
          <w:sz w:val="20"/>
          <w:szCs w:val="20"/>
          <w:color w:val="auto"/>
        </w:rPr>
      </w:pPr>
    </w:p>
    <w:p>
      <w:pPr>
        <w:ind w:left="1400" w:right="61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our rigorous sales process and continue to put a strong infrastructure in place to enable revenue growth;</w:t>
      </w:r>
    </w:p>
    <w:p>
      <w:pPr>
        <w:spacing w:after="0" w:line="94" w:lineRule="exact"/>
        <w:rPr>
          <w:rFonts w:ascii="Times New Roman" w:cs="Times New Roman" w:eastAsia="Times New Roman" w:hAnsi="Times New Roman"/>
          <w:sz w:val="18"/>
          <w:szCs w:val="18"/>
          <w:color w:val="auto"/>
        </w:rPr>
      </w:pPr>
    </w:p>
    <w:p>
      <w:pPr>
        <w:ind w:left="1400" w:right="85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marketing team with our sales force to maximize our industry visibility and create a robust lead generation engine to drive revenue;</w:t>
      </w:r>
    </w:p>
    <w:p>
      <w:pPr>
        <w:spacing w:after="0" w:line="80" w:lineRule="exact"/>
        <w:rPr>
          <w:rFonts w:ascii="Times New Roman" w:cs="Times New Roman" w:eastAsia="Times New Roman" w:hAnsi="Times New Roman"/>
          <w:sz w:val="18"/>
          <w:szCs w:val="18"/>
          <w:color w:val="auto"/>
        </w:rPr>
      </w:pPr>
    </w:p>
    <w:p>
      <w:pPr>
        <w:ind w:left="1400" w:right="699" w:hanging="424"/>
        <w:spacing w:after="0" w:line="258"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15"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protocols, processes, and partnerships for scale-up manufacturing in order to meet the increasing demand for our grow solutions; and</w:t>
      </w:r>
    </w:p>
    <w:p>
      <w:pPr>
        <w:spacing w:after="0" w:line="94"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48" w:lineRule="exact"/>
        <w:rPr>
          <w:sz w:val="20"/>
          <w:szCs w:val="20"/>
          <w:color w:val="auto"/>
        </w:rPr>
      </w:pPr>
    </w:p>
    <w:p>
      <w:pPr>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08" w:lineRule="exact"/>
        <w:rPr>
          <w:sz w:val="20"/>
          <w:szCs w:val="20"/>
          <w:color w:val="auto"/>
        </w:rPr>
      </w:pPr>
    </w:p>
    <w:p>
      <w:pPr>
        <w:ind w:left="1400" w:right="599" w:hanging="424"/>
        <w:spacing w:after="0" w:line="261"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12"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your investment;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799" w:hanging="424"/>
        <w:spacing w:after="0" w:line="266"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8" w:lineRule="exact"/>
        <w:rPr>
          <w:rFonts w:ascii="Times New Roman" w:cs="Times New Roman" w:eastAsia="Times New Roman" w:hAnsi="Times New Roman"/>
          <w:sz w:val="18"/>
          <w:szCs w:val="18"/>
          <w:color w:val="auto"/>
        </w:rPr>
      </w:pPr>
    </w:p>
    <w:p>
      <w:pPr>
        <w:ind w:left="1400" w:right="63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the efforts to mitigate its impact may have an adverse effect on our business, liquidity, results of operations, financial condition and price of our securities;</w:t>
      </w:r>
    </w:p>
    <w:p>
      <w:pPr>
        <w:spacing w:after="0" w:line="80" w:lineRule="exact"/>
        <w:rPr>
          <w:rFonts w:ascii="Times New Roman" w:cs="Times New Roman" w:eastAsia="Times New Roman" w:hAnsi="Times New Roman"/>
          <w:sz w:val="18"/>
          <w:szCs w:val="18"/>
          <w:color w:val="auto"/>
        </w:rPr>
      </w:pPr>
    </w:p>
    <w:p>
      <w:pPr>
        <w:ind w:left="1400" w:right="115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clients operating in the cannabis industry, we face many particular and evolving risks associated with that industry;</w:t>
      </w:r>
    </w:p>
    <w:p>
      <w:pPr>
        <w:spacing w:after="0" w:line="94" w:lineRule="exact"/>
        <w:rPr>
          <w:rFonts w:ascii="Times New Roman" w:cs="Times New Roman" w:eastAsia="Times New Roman" w:hAnsi="Times New Roman"/>
          <w:sz w:val="18"/>
          <w:szCs w:val="18"/>
          <w:color w:val="auto"/>
        </w:rPr>
      </w:pPr>
    </w:p>
    <w:p>
      <w:pPr>
        <w:ind w:left="1400" w:right="89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 exposes us to risks associated with the potential loss of one or more of these significant customers which could adversely affect our financial results;</w:t>
      </w:r>
    </w:p>
    <w:p>
      <w:pPr>
        <w:spacing w:after="0" w:line="94" w:lineRule="exact"/>
        <w:rPr>
          <w:rFonts w:ascii="Times New Roman" w:cs="Times New Roman" w:eastAsia="Times New Roman" w:hAnsi="Times New Roman"/>
          <w:sz w:val="18"/>
          <w:szCs w:val="18"/>
          <w:color w:val="auto"/>
        </w:rPr>
      </w:pPr>
    </w:p>
    <w:p>
      <w:pPr>
        <w:ind w:left="1400" w:right="69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 on certain of our products may result in disruptions to our supply chain and business and adversely affect our financial results;</w:t>
      </w:r>
    </w:p>
    <w:p>
      <w:pPr>
        <w:spacing w:after="0" w:line="80"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that could prohibit us from developing or increasing our customer base;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6"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business depends on the continued contributions of Raymond Chang, as our key executive officer, as well as our ability to attract and retain qualified personnel;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core technology and intellectual property.</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21" w:lineRule="exact"/>
        <w:rPr>
          <w:sz w:val="20"/>
          <w:szCs w:val="20"/>
          <w:color w:val="auto"/>
        </w:rPr>
      </w:pPr>
    </w:p>
    <w:p>
      <w:pPr>
        <w:ind w:left="1400" w:right="1359" w:hanging="424"/>
        <w:spacing w:after="0" w:line="282"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80" w:lineRule="exact"/>
        <w:rPr>
          <w:rFonts w:ascii="Times New Roman" w:cs="Times New Roman" w:eastAsia="Times New Roman" w:hAnsi="Times New Roman"/>
          <w:sz w:val="18"/>
          <w:szCs w:val="18"/>
          <w:color w:val="auto"/>
        </w:rPr>
      </w:pPr>
    </w:p>
    <w:p>
      <w:pPr>
        <w:ind w:left="1400" w:right="619" w:hanging="424"/>
        <w:spacing w:after="0" w:line="261"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94" w:lineRule="exact"/>
        <w:rPr>
          <w:rFonts w:ascii="Times New Roman" w:cs="Times New Roman" w:eastAsia="Times New Roman" w:hAnsi="Times New Roman"/>
          <w:sz w:val="18"/>
          <w:szCs w:val="18"/>
          <w:color w:val="auto"/>
        </w:rPr>
      </w:pPr>
    </w:p>
    <w:p>
      <w:pPr>
        <w:jc w:val="both"/>
        <w:ind w:left="1400" w:right="679" w:hanging="424"/>
        <w:spacing w:after="0" w:line="266"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95" w:lineRule="exact"/>
        <w:rPr>
          <w:sz w:val="20"/>
          <w:szCs w:val="20"/>
          <w:color w:val="auto"/>
        </w:rPr>
      </w:pPr>
    </w:p>
    <w:p>
      <w:pPr>
        <w:ind w:left="540" w:right="579" w:firstLine="432"/>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44" w:lineRule="exact"/>
        <w:rPr>
          <w:sz w:val="20"/>
          <w:szCs w:val="20"/>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267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2267585"/>
                    </a:xfrm>
                    <a:prstGeom prst="rect">
                      <a:avLst/>
                    </a:prstGeom>
                    <a:noFill/>
                  </pic:spPr>
                </pic:pic>
              </a:graphicData>
            </a:graphic>
          </wp:anchor>
        </w:drawing>
      </w:r>
    </w:p>
    <w:p>
      <w:pPr>
        <w:spacing w:after="0" w:line="327" w:lineRule="exact"/>
        <w:rPr>
          <w:sz w:val="20"/>
          <w:szCs w:val="20"/>
          <w:color w:val="auto"/>
        </w:rPr>
      </w:pPr>
    </w:p>
    <w:p>
      <w:pPr>
        <w:ind w:left="1400" w:right="779" w:hanging="424"/>
        <w:spacing w:after="0" w:line="282" w:lineRule="auto"/>
        <w:tabs>
          <w:tab w:leader="none" w:pos="13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144" w:lineRule="exact"/>
        <w:rPr>
          <w:sz w:val="20"/>
          <w:szCs w:val="20"/>
          <w:color w:val="auto"/>
        </w:rPr>
      </w:pPr>
    </w:p>
    <w:p>
      <w:pPr>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08"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82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Common stock being offered by us</w:t>
      </w:r>
      <w:r>
        <w:rPr>
          <w:sz w:val="20"/>
          <w:szCs w:val="20"/>
          <w:color w:val="auto"/>
        </w:rPr>
        <w:tab/>
      </w:r>
      <w:r>
        <w:rPr>
          <w:rFonts w:ascii="Times New Roman" w:cs="Times New Roman" w:eastAsia="Times New Roman" w:hAnsi="Times New Roman"/>
          <w:sz w:val="17"/>
          <w:szCs w:val="17"/>
          <w:color w:val="auto"/>
        </w:rPr>
        <w:t>3,795,547 shares (based on the assumed offering price)</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Common stock to be outstanding</w:t>
      </w:r>
    </w:p>
    <w:p>
      <w:pPr>
        <w:spacing w:after="0" w:line="27" w:lineRule="exact"/>
        <w:rPr>
          <w:sz w:val="20"/>
          <w:szCs w:val="20"/>
          <w:color w:val="auto"/>
        </w:rPr>
      </w:pPr>
    </w:p>
    <w:p>
      <w:pPr>
        <w:ind w:left="720"/>
        <w:spacing w:after="0"/>
        <w:tabs>
          <w:tab w:leader="none" w:pos="3400" w:val="left"/>
        </w:tabs>
        <w:rPr>
          <w:sz w:val="20"/>
          <w:szCs w:val="20"/>
          <w:color w:val="auto"/>
        </w:rPr>
      </w:pPr>
      <w:r>
        <w:rPr>
          <w:rFonts w:ascii="Times New Roman" w:cs="Times New Roman" w:eastAsia="Times New Roman" w:hAnsi="Times New Roman"/>
          <w:sz w:val="18"/>
          <w:szCs w:val="18"/>
          <w:color w:val="auto"/>
        </w:rPr>
        <w:t>immediately after this offering</w:t>
      </w:r>
      <w:r>
        <w:rPr>
          <w:rFonts w:ascii="Times New Roman" w:cs="Times New Roman" w:eastAsia="Times New Roman" w:hAnsi="Times New Roman"/>
          <w:sz w:val="20"/>
          <w:szCs w:val="20"/>
          <w:color w:val="auto"/>
          <w:vertAlign w:val="superscript"/>
        </w:rPr>
        <w:t>(1)</w:t>
      </w:r>
      <w:r>
        <w:rPr>
          <w:sz w:val="20"/>
          <w:szCs w:val="20"/>
          <w:color w:val="auto"/>
        </w:rPr>
        <w:tab/>
      </w:r>
      <w:r>
        <w:rPr>
          <w:rFonts w:ascii="Times New Roman" w:cs="Times New Roman" w:eastAsia="Times New Roman" w:hAnsi="Times New Roman"/>
          <w:sz w:val="17"/>
          <w:szCs w:val="17"/>
          <w:color w:val="auto"/>
        </w:rPr>
        <w:t>17,461,560 shares</w:t>
      </w:r>
    </w:p>
    <w:p>
      <w:pPr>
        <w:spacing w:after="0" w:line="157"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Over-allotment option</w:t>
      </w:r>
      <w:r>
        <w:rPr>
          <w:sz w:val="20"/>
          <w:szCs w:val="20"/>
          <w:color w:val="auto"/>
        </w:rPr>
        <w:tab/>
      </w:r>
      <w:r>
        <w:rPr>
          <w:rFonts w:ascii="Times New Roman" w:cs="Times New Roman" w:eastAsia="Times New Roman" w:hAnsi="Times New Roman"/>
          <w:sz w:val="17"/>
          <w:szCs w:val="17"/>
          <w:color w:val="auto"/>
        </w:rPr>
        <w:t>We have granted Maxim Group LLC, the representative of the</w:t>
      </w:r>
    </w:p>
    <w:p>
      <w:pPr>
        <w:spacing w:after="0" w:line="27" w:lineRule="exact"/>
        <w:rPr>
          <w:sz w:val="20"/>
          <w:szCs w:val="20"/>
          <w:color w:val="auto"/>
        </w:rPr>
      </w:pPr>
    </w:p>
    <w:p>
      <w:pPr>
        <w:ind w:left="3420" w:right="679"/>
        <w:spacing w:after="0" w:line="253" w:lineRule="auto"/>
        <w:rPr>
          <w:sz w:val="20"/>
          <w:szCs w:val="20"/>
          <w:color w:val="auto"/>
        </w:rPr>
      </w:pPr>
      <w:r>
        <w:rPr>
          <w:rFonts w:ascii="Times New Roman" w:cs="Times New Roman" w:eastAsia="Times New Roman" w:hAnsi="Times New Roman"/>
          <w:sz w:val="18"/>
          <w:szCs w:val="18"/>
          <w:color w:val="auto"/>
        </w:rPr>
        <w:t>underwriters (or Maxim Group) an option to purchase up to 569,333 additional shares of common stock (based on the assumed offering price) from us at the public offering price less the underwriting discount within 45 days from the date of this prospectus to cover over-allotments.</w:t>
      </w:r>
    </w:p>
    <w:p>
      <w:pPr>
        <w:spacing w:after="0" w:line="16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for acquisitions,</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working capital and general corporate purposes. See “Use of</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Proceeds.”</w:t>
      </w:r>
    </w:p>
    <w:p>
      <w:pPr>
        <w:spacing w:after="0" w:line="18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Representative’s warrants:</w:t>
      </w:r>
      <w:r>
        <w:rPr>
          <w:sz w:val="20"/>
          <w:szCs w:val="20"/>
          <w:color w:val="auto"/>
        </w:rPr>
        <w:tab/>
      </w:r>
      <w:r>
        <w:rPr>
          <w:rFonts w:ascii="Times New Roman" w:cs="Times New Roman" w:eastAsia="Times New Roman" w:hAnsi="Times New Roman"/>
          <w:sz w:val="17"/>
          <w:szCs w:val="17"/>
          <w:color w:val="auto"/>
        </w:rPr>
        <w:t>Upon the closing of this offering, we will issue to Maxim Group</w:t>
      </w:r>
    </w:p>
    <w:p>
      <w:pPr>
        <w:spacing w:after="0" w:line="27" w:lineRule="exact"/>
        <w:rPr>
          <w:sz w:val="20"/>
          <w:szCs w:val="20"/>
          <w:color w:val="auto"/>
        </w:rPr>
      </w:pPr>
    </w:p>
    <w:p>
      <w:pPr>
        <w:ind w:left="3420" w:right="639"/>
        <w:spacing w:after="0" w:line="251" w:lineRule="auto"/>
        <w:rPr>
          <w:sz w:val="20"/>
          <w:szCs w:val="20"/>
          <w:color w:val="auto"/>
        </w:rPr>
      </w:pPr>
      <w:r>
        <w:rPr>
          <w:rFonts w:ascii="Times New Roman" w:cs="Times New Roman" w:eastAsia="Times New Roman" w:hAnsi="Times New Roman"/>
          <w:sz w:val="18"/>
          <w:szCs w:val="18"/>
          <w:color w:val="auto"/>
        </w:rPr>
        <w:t>compensation warrants (or the Representative’s Warrants) entitling Maxim Group to purchase [•]% of the aggregate number of shares of common stock issued in this offering at an exercise price of $[•] per share (which is equal to [•]% of the public offering price). The Representative’s Warrants will be subject to a lock-up for 180 days from the commencement of sales of this offering and will be exercisable commencing 180 days after the effective date, terminate on the five year anniversary of the commencement of sales of this offering and will contain a customary “cashless exercise” customary “piggyback” registration rights.</w:t>
      </w:r>
    </w:p>
    <w:p>
      <w:pPr>
        <w:spacing w:after="0" w:line="166"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NASDAQ trading symbol</w:t>
      </w:r>
      <w:r>
        <w:rPr>
          <w:sz w:val="20"/>
          <w:szCs w:val="20"/>
          <w:color w:val="auto"/>
        </w:rPr>
        <w:tab/>
      </w:r>
      <w:r>
        <w:rPr>
          <w:rFonts w:ascii="Times New Roman" w:cs="Times New Roman" w:eastAsia="Times New Roman" w:hAnsi="Times New Roman"/>
          <w:sz w:val="17"/>
          <w:szCs w:val="17"/>
          <w:color w:val="auto"/>
        </w:rPr>
        <w:t>“AGFY”</w:t>
      </w:r>
    </w:p>
    <w:p>
      <w:pPr>
        <w:spacing w:after="0" w:line="198"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7"/>
          <w:szCs w:val="17"/>
          <w:color w:val="auto"/>
        </w:rPr>
        <w:t>We and our directors, officers and substantially all of our holders of</w:t>
      </w:r>
    </w:p>
    <w:p>
      <w:pPr>
        <w:spacing w:after="0" w:line="27" w:lineRule="exact"/>
        <w:rPr>
          <w:sz w:val="20"/>
          <w:szCs w:val="20"/>
          <w:color w:val="auto"/>
        </w:rPr>
      </w:pPr>
    </w:p>
    <w:p>
      <w:pPr>
        <w:ind w:left="3420" w:right="599"/>
        <w:spacing w:after="0" w:line="251" w:lineRule="auto"/>
        <w:rPr>
          <w:sz w:val="20"/>
          <w:szCs w:val="20"/>
          <w:color w:val="auto"/>
        </w:rPr>
      </w:pPr>
      <w:r>
        <w:rPr>
          <w:rFonts w:ascii="Times New Roman" w:cs="Times New Roman" w:eastAsia="Times New Roman" w:hAnsi="Times New Roman"/>
          <w:sz w:val="18"/>
          <w:szCs w:val="18"/>
          <w:color w:val="auto"/>
        </w:rPr>
        <w:t>one percent (1%) or more of our outstanding shares of common stock as of the date of our IPO prospectus (including securities exercisable for or convertible into shares of common stock) entered into customary “lock-up” agreements pursuant to which such persons and entities agreed not to offer, issue, sell, contract to sell, encumber, grant any option for the sale of or otherwise dispose of any of our securities for a period of 180 days after the date of the IPO prospectus; provided, however, in the event that for 20 consecutive trading days the closing price of our common stock is in excess of 100% of the IPO price per share (the “Stock Price Milestone Date”), then the lock-up period shall be reduced to the later of 90 days after the date of the IPO prospectus and five trading days after the Stock Price Milestone Date.</w:t>
      </w:r>
    </w:p>
    <w:p>
      <w:pPr>
        <w:spacing w:after="0" w:line="161"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b w:val="1"/>
          <w:bCs w:val="1"/>
          <w:color w:val="auto"/>
        </w:rPr>
        <w:t>The securities offered by this prospectus are speculative and</w:t>
      </w:r>
    </w:p>
    <w:p>
      <w:pPr>
        <w:spacing w:after="0" w:line="31" w:lineRule="exact"/>
        <w:rPr>
          <w:sz w:val="20"/>
          <w:szCs w:val="20"/>
          <w:color w:val="auto"/>
        </w:rPr>
      </w:pPr>
    </w:p>
    <w:p>
      <w:pPr>
        <w:ind w:left="3420" w:right="599"/>
        <w:spacing w:after="0" w:line="255" w:lineRule="auto"/>
        <w:rPr>
          <w:sz w:val="20"/>
          <w:szCs w:val="20"/>
          <w:color w:val="auto"/>
        </w:rPr>
      </w:pPr>
      <w:r>
        <w:rPr>
          <w:rFonts w:ascii="Times New Roman" w:cs="Times New Roman" w:eastAsia="Times New Roman" w:hAnsi="Times New Roman"/>
          <w:sz w:val="18"/>
          <w:szCs w:val="18"/>
          <w:b w:val="1"/>
          <w:bCs w:val="1"/>
          <w:color w:val="auto"/>
        </w:rPr>
        <w:t>involve a high degree of risk</w:t>
      </w:r>
      <w:r>
        <w:rPr>
          <w:rFonts w:ascii="Times New Roman" w:cs="Times New Roman" w:eastAsia="Times New Roman" w:hAnsi="Times New Roman"/>
          <w:sz w:val="18"/>
          <w:szCs w:val="18"/>
          <w:color w:val="auto"/>
        </w:rPr>
        <w:t>. Investors purchasing securities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purchase the securities unless they can afford the loss of their entire investment. See “Risk Factors” beginning on page17.</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hanging="436"/>
        <w:spacing w:after="0"/>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our common stock to be outstanding immediately after this offering excludes:</w:t>
      </w:r>
    </w:p>
    <w:p>
      <w:pPr>
        <w:spacing w:after="0" w:line="59" w:lineRule="exact"/>
        <w:rPr>
          <w:rFonts w:ascii="Times New Roman" w:cs="Times New Roman" w:eastAsia="Times New Roman" w:hAnsi="Times New Roman"/>
          <w:sz w:val="16"/>
          <w:szCs w:val="16"/>
          <w:color w:val="auto"/>
        </w:rPr>
      </w:pPr>
    </w:p>
    <w:p>
      <w:pPr>
        <w:ind w:left="1400" w:right="719" w:hanging="208"/>
        <w:spacing w:after="0" w:line="290" w:lineRule="auto"/>
        <w:tabs>
          <w:tab w:leader="none" w:pos="1362"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2,842,990 shares of common stock issuable upon the exercise of outstanding options at a weighted average exercise price of $3.63 per share;</w:t>
      </w:r>
    </w:p>
    <w:p>
      <w:pPr>
        <w:ind w:left="1400" w:right="839" w:hanging="208"/>
        <w:spacing w:after="0" w:line="281" w:lineRule="auto"/>
        <w:tabs>
          <w:tab w:leader="none" w:pos="1443"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828,173 shares of common stock issuable upon the exercise of outstanding warrants associated with our 2020 convertible promissory notes at a weighted average exercise price of $0.02 per share;</w:t>
      </w:r>
    </w:p>
    <w:p>
      <w:pPr>
        <w:spacing w:after="0" w:line="1" w:lineRule="exact"/>
        <w:rPr>
          <w:rFonts w:ascii="Times New Roman" w:cs="Times New Roman" w:eastAsia="Times New Roman" w:hAnsi="Times New Roman"/>
          <w:sz w:val="16"/>
          <w:szCs w:val="16"/>
          <w:color w:val="auto"/>
        </w:rPr>
      </w:pPr>
    </w:p>
    <w:p>
      <w:pPr>
        <w:ind w:left="1460" w:hanging="268"/>
        <w:spacing w:after="0"/>
        <w:tabs>
          <w:tab w:leader="none" w:pos="14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1,516,519 shares reserved for issuance under our equity incentive plan; and</w:t>
      </w:r>
    </w:p>
    <w:p>
      <w:pPr>
        <w:spacing w:after="0" w:line="59" w:lineRule="exact"/>
        <w:rPr>
          <w:rFonts w:ascii="Times New Roman" w:cs="Times New Roman" w:eastAsia="Times New Roman" w:hAnsi="Times New Roman"/>
          <w:sz w:val="16"/>
          <w:szCs w:val="16"/>
          <w:color w:val="auto"/>
        </w:rPr>
      </w:pPr>
    </w:p>
    <w:p>
      <w:pPr>
        <w:ind w:left="1400" w:right="999" w:hanging="208"/>
        <w:spacing w:after="0" w:line="290" w:lineRule="auto"/>
        <w:tabs>
          <w:tab w:leader="none" w:pos="1362"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113,867 shares of common stock underlying the representative’s warrants issued to the underwriters in connection with our IPO.</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Unless otherwise stated, all information in this prospectus assumes:</w:t>
      </w:r>
    </w:p>
    <w:p>
      <w:pPr>
        <w:spacing w:after="0" w:line="46" w:lineRule="exact"/>
        <w:rPr>
          <w:sz w:val="20"/>
          <w:szCs w:val="20"/>
          <w:color w:val="auto"/>
        </w:rPr>
      </w:pPr>
    </w:p>
    <w:p>
      <w:pPr>
        <w:ind w:left="1360" w:hanging="168"/>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underwriters’ over-allotment option to purchase additional shares; and</w:t>
      </w:r>
    </w:p>
    <w:p>
      <w:pPr>
        <w:spacing w:after="0" w:line="59" w:lineRule="exact"/>
        <w:rPr>
          <w:rFonts w:ascii="Times New Roman" w:cs="Times New Roman" w:eastAsia="Times New Roman" w:hAnsi="Times New Roman"/>
          <w:sz w:val="16"/>
          <w:szCs w:val="16"/>
          <w:color w:val="auto"/>
        </w:rPr>
      </w:pPr>
    </w:p>
    <w:p>
      <w:pPr>
        <w:ind w:left="1360" w:hanging="168"/>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Representative’s Warrants.</w:t>
      </w:r>
    </w:p>
    <w:p>
      <w:pPr>
        <w:sectPr>
          <w:pgSz w:w="11900" w:h="16838" w:orient="portrait"/>
          <w:cols w:equalWidth="0" w:num="1">
            <w:col w:w="9019"/>
          </w:cols>
          <w:pgMar w:left="1440" w:top="270" w:right="1440" w:bottom="1109"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393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393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used to</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 basic and diluted net loss per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4,163,848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2,883,896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 common share, basic</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Pro forma weighted-average common shares</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to compute basic and diluted 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common share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5,209,491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6"/>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right="839"/>
        <w:spacing w:after="0" w:line="286" w:lineRule="auto"/>
        <w:rPr>
          <w:sz w:val="20"/>
          <w:szCs w:val="20"/>
          <w:color w:val="auto"/>
        </w:rPr>
      </w:pPr>
      <w:r>
        <w:rPr>
          <w:rFonts w:ascii="Times New Roman" w:cs="Times New Roman" w:eastAsia="Times New Roman" w:hAnsi="Times New Roman"/>
          <w:sz w:val="18"/>
          <w:szCs w:val="18"/>
          <w:b w:val="1"/>
          <w:bCs w:val="1"/>
          <w:color w:val="auto"/>
        </w:rPr>
        <w:t>Certain Non-GAAP EBITDA and adjusted EBITDA Financial Measurements and Reconciliation to GAAP</w:t>
      </w:r>
    </w:p>
    <w:p>
      <w:pPr>
        <w:spacing w:after="0" w:line="91"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28"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11" w:lineRule="exact"/>
        <w:rPr>
          <w:sz w:val="20"/>
          <w:szCs w:val="20"/>
          <w:color w:val="auto"/>
        </w:rPr>
      </w:pPr>
    </w:p>
    <w:p>
      <w:pPr>
        <w:jc w:val="both"/>
        <w:ind w:left="540" w:right="599" w:firstLine="432"/>
        <w:spacing w:after="0" w:line="261" w:lineRule="auto"/>
        <w:rPr>
          <w:sz w:val="20"/>
          <w:szCs w:val="20"/>
          <w:color w:val="auto"/>
        </w:rPr>
      </w:pPr>
      <w:r>
        <w:rPr>
          <w:rFonts w:ascii="Times New Roman" w:cs="Times New Roman" w:eastAsia="Times New Roman" w:hAnsi="Times New Roman"/>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2" w:lineRule="exact"/>
        <w:rPr>
          <w:sz w:val="20"/>
          <w:szCs w:val="20"/>
          <w:color w:val="auto"/>
        </w:rPr>
      </w:pPr>
    </w:p>
    <w:p>
      <w:pPr>
        <w:ind w:left="1400" w:right="659" w:hanging="424"/>
        <w:spacing w:after="0" w:line="282"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expenditures, or future requirements, for capital expenditures or contractual commitments;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w:t>
      </w:r>
    </w:p>
    <w:p>
      <w:pPr>
        <w:spacing w:after="0" w:line="80" w:lineRule="exact"/>
        <w:rPr>
          <w:rFonts w:ascii="Times New Roman" w:cs="Times New Roman" w:eastAsia="Times New Roman" w:hAnsi="Times New Roman"/>
          <w:sz w:val="18"/>
          <w:szCs w:val="18"/>
          <w:color w:val="auto"/>
        </w:rPr>
      </w:pPr>
    </w:p>
    <w:p>
      <w:pPr>
        <w:ind w:left="1400" w:right="1219" w:hanging="424"/>
        <w:spacing w:after="0" w:line="282"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expense, or the cash requirements necessary to service interest or principal payments, on our debts;</w:t>
      </w:r>
    </w:p>
    <w:p>
      <w:pPr>
        <w:spacing w:after="0" w:line="94" w:lineRule="exact"/>
        <w:rPr>
          <w:rFonts w:ascii="Times New Roman" w:cs="Times New Roman" w:eastAsia="Times New Roman" w:hAnsi="Times New Roman"/>
          <w:sz w:val="18"/>
          <w:szCs w:val="18"/>
          <w:color w:val="auto"/>
        </w:rPr>
      </w:pPr>
    </w:p>
    <w:p>
      <w:pPr>
        <w:jc w:val="both"/>
        <w:ind w:left="1400" w:right="799" w:hanging="424"/>
        <w:spacing w:after="0" w:line="266" w:lineRule="auto"/>
        <w:tabs>
          <w:tab w:leader="none" w:pos="13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08" w:lineRule="exact"/>
        <w:rPr>
          <w:rFonts w:ascii="Times New Roman" w:cs="Times New Roman" w:eastAsia="Times New Roman" w:hAnsi="Times New Roman"/>
          <w:sz w:val="18"/>
          <w:szCs w:val="18"/>
          <w:color w:val="auto"/>
        </w:rPr>
      </w:pPr>
    </w:p>
    <w:p>
      <w:pPr>
        <w:ind w:left="1400" w:right="719" w:hanging="424"/>
        <w:spacing w:after="0" w:line="282"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impact of certain cash charges resulting from matters we consider not to be indicative of our ongoing operations; and</w:t>
      </w:r>
    </w:p>
    <w:p>
      <w:pPr>
        <w:spacing w:after="0" w:line="80" w:lineRule="exact"/>
        <w:rPr>
          <w:rFonts w:ascii="Times New Roman" w:cs="Times New Roman" w:eastAsia="Times New Roman" w:hAnsi="Times New Roman"/>
          <w:sz w:val="18"/>
          <w:szCs w:val="18"/>
          <w:color w:val="auto"/>
        </w:rPr>
      </w:pPr>
    </w:p>
    <w:p>
      <w:pPr>
        <w:ind w:left="1400" w:right="739" w:hanging="424"/>
        <w:spacing w:after="0" w:line="282" w:lineRule="auto"/>
        <w:tabs>
          <w:tab w:leader="none" w:pos="13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EBITDA and Adjusted EBITDA differently than we do, limiting its usefulness as a comparative measure.</w:t>
      </w:r>
    </w:p>
    <w:p>
      <w:pPr>
        <w:spacing w:after="0" w:line="94" w:lineRule="exact"/>
        <w:rPr>
          <w:sz w:val="20"/>
          <w:szCs w:val="20"/>
          <w:color w:val="auto"/>
        </w:rPr>
      </w:pPr>
    </w:p>
    <w:p>
      <w:pPr>
        <w:ind w:left="540" w:right="679" w:firstLine="432"/>
        <w:spacing w:after="0" w:line="258" w:lineRule="auto"/>
        <w:rPr>
          <w:sz w:val="20"/>
          <w:szCs w:val="20"/>
          <w:color w:val="auto"/>
        </w:rPr>
      </w:pPr>
      <w:r>
        <w:rPr>
          <w:rFonts w:ascii="Times New Roman" w:cs="Times New Roman" w:eastAsia="Times New Roman" w:hAnsi="Times New Roman"/>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2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(1,201,000)</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spacing w:after="0"/>
              <w:rPr>
                <w:sz w:val="19"/>
                <w:szCs w:val="19"/>
                <w:color w:val="auto"/>
              </w:rPr>
            </w:pPr>
          </w:p>
        </w:tc>
      </w:tr>
      <w:tr>
        <w:trPr>
          <w:trHeight w:val="36"/>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and sale of fixed assets</w:t>
            </w:r>
            <w:r>
              <w:rPr>
                <w:rFonts w:ascii="Times New Roman" w:cs="Times New Roman" w:eastAsia="Times New Roman" w:hAnsi="Times New Roman"/>
                <w:sz w:val="20"/>
                <w:szCs w:val="20"/>
                <w:color w:val="auto"/>
                <w:vertAlign w:val="superscript"/>
              </w:rPr>
              <w:t>(2)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859" w:hanging="436"/>
        <w:spacing w:after="0" w:line="269" w:lineRule="auto"/>
        <w:tabs>
          <w:tab w:leader="none" w:pos="93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(“Compensation — Stock Compensation”).</w:t>
      </w:r>
    </w:p>
    <w:p>
      <w:pPr>
        <w:ind w:left="980" w:right="639" w:hanging="436"/>
        <w:spacing w:after="0" w:line="264" w:lineRule="auto"/>
        <w:tabs>
          <w:tab w:leader="none" w:pos="93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total of $856,000 related to our effort to become publicly listed and $80,000 in legal costs associated with our merger and acquisition activity.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since the consummation of our IPO on February 1, 2021,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22"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If our ability to generate cash flow from operations is delayed or reduced and we are unable to raise additional funding from other sources, we may be unable to continue in business even if this offering is successful. However,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w:t>
      </w:r>
    </w:p>
    <w:p>
      <w:pPr>
        <w:spacing w:after="0" w:line="193" w:lineRule="exact"/>
        <w:rPr>
          <w:sz w:val="20"/>
          <w:szCs w:val="20"/>
          <w:color w:val="auto"/>
        </w:rPr>
      </w:pPr>
    </w:p>
    <w:p>
      <w:pPr>
        <w:ind w:left="4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p>
    <w:p>
      <w:pPr>
        <w:spacing w:after="0" w:line="78"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112"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157"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1319" w:hanging="434"/>
        <w:spacing w:after="0" w:line="282"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OpEx, particularly sales and marketing expenses, related to the maintenance and expansion of our business, operations and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OpEx;</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15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15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9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At February 8, 2021, we had cash and cash equivalents of $63,459,247. Our operating plan may change because of factors currently unknown to us, and we may need to seek additional funds sooner than planned. Even if we are able to raise capital in this offering or substantially increase revenue and reduce OpEx,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2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6" w:lineRule="exact"/>
        <w:rPr>
          <w:sz w:val="20"/>
          <w:szCs w:val="20"/>
          <w:color w:val="auto"/>
        </w:rPr>
      </w:pPr>
    </w:p>
    <w:p>
      <w:pPr>
        <w:ind w:left="460" w:right="5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11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7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3"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9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2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4"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7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Marijuana remains illegal under United States federal law</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Uncertainty of federal enforcement and the need to renew temporary safeguards</w:t>
      </w:r>
    </w:p>
    <w:p>
      <w:pPr>
        <w:spacing w:after="0" w:line="160"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61" w:lineRule="auto"/>
        <w:rPr>
          <w:sz w:val="20"/>
          <w:szCs w:val="20"/>
          <w:color w:val="auto"/>
        </w:rPr>
      </w:pPr>
      <w:r>
        <w:rPr>
          <w:rFonts w:ascii="Times New Roman" w:cs="Times New Roman" w:eastAsia="Times New Roman" w:hAnsi="Times New Roman"/>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Further legislative development beneficial to our operations is not guaranteed</w:t>
      </w:r>
    </w:p>
    <w:p>
      <w:pPr>
        <w:spacing w:after="0" w:line="14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cannabis industry could face strong opposition from other industries</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legality of marijuana could be reversed in one or more states</w:t>
      </w:r>
    </w:p>
    <w:p>
      <w:pPr>
        <w:spacing w:after="0" w:line="160"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Changing legislation and evolving interpretations of law</w:t>
      </w:r>
    </w:p>
    <w:p>
      <w:pPr>
        <w:spacing w:after="0" w:line="146"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Dependence on client licensing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Banking regulations could limit access to banking services</w:t>
      </w:r>
    </w:p>
    <w:p>
      <w:pPr>
        <w:spacing w:after="0" w:line="160"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Insurance risks</w:t>
      </w:r>
    </w:p>
    <w:p>
      <w:pPr>
        <w:spacing w:after="0" w:line="146"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Evolving industry</w:t>
      </w:r>
    </w:p>
    <w:p>
      <w:pPr>
        <w:spacing w:after="0" w:line="160" w:lineRule="exact"/>
        <w:rPr>
          <w:sz w:val="20"/>
          <w:szCs w:val="20"/>
          <w:color w:val="auto"/>
        </w:rPr>
      </w:pPr>
    </w:p>
    <w:p>
      <w:pPr>
        <w:ind w:left="460" w:right="799" w:firstLine="432"/>
        <w:spacing w:after="0" w:line="254"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72" w:lineRule="exact"/>
        <w:rPr>
          <w:sz w:val="20"/>
          <w:szCs w:val="20"/>
          <w:color w:val="auto"/>
        </w:rPr>
      </w:pPr>
    </w:p>
    <w:p>
      <w:pPr>
        <w:jc w:val="both"/>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66" w:lineRule="exact"/>
        <w:rPr>
          <w:sz w:val="20"/>
          <w:szCs w:val="20"/>
          <w:color w:val="auto"/>
        </w:rPr>
      </w:pPr>
    </w:p>
    <w:p>
      <w:pPr>
        <w:ind w:left="460" w:right="1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and directors may become subject to conflicts of interests arising out of our relationship with Bluezone and Enozo.</w:t>
      </w:r>
    </w:p>
    <w:p>
      <w:pPr>
        <w:spacing w:after="0" w:line="9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71"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7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ind w:left="460" w:right="5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6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83"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9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162"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0"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5" w:lineRule="auto"/>
        <w:rPr>
          <w:sz w:val="20"/>
          <w:szCs w:val="20"/>
          <w:color w:val="auto"/>
        </w:rPr>
      </w:pPr>
      <w:r>
        <w:rPr>
          <w:rFonts w:ascii="Times New Roman" w:cs="Times New Roman" w:eastAsia="Times New Roman" w:hAnsi="Times New Roman"/>
          <w:sz w:val="18"/>
          <w:szCs w:val="18"/>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9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24"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one pending U.S. patent application as well as its pending Patent Cooperation Treaty (PCT) counter-part application, and we will likely file national applications from this PCT in other countries.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13"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22" w:lineRule="exact"/>
        <w:rPr>
          <w:sz w:val="20"/>
          <w:szCs w:val="20"/>
          <w:color w:val="auto"/>
        </w:rPr>
      </w:pPr>
    </w:p>
    <w:p>
      <w:pPr>
        <w:ind w:left="1320" w:right="1339" w:hanging="434"/>
        <w:spacing w:after="0" w:line="282"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6"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06"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89" w:lineRule="auto"/>
        <w:tabs>
          <w:tab w:leader="none" w:pos="131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0" w:lineRule="exact"/>
        <w:rPr>
          <w:rFonts w:ascii="Times New Roman" w:cs="Times New Roman" w:eastAsia="Times New Roman" w:hAnsi="Times New Roman"/>
          <w:sz w:val="17"/>
          <w:szCs w:val="17"/>
          <w:color w:val="auto"/>
        </w:rPr>
      </w:pPr>
    </w:p>
    <w:p>
      <w:pPr>
        <w:ind w:left="1320" w:right="919" w:hanging="434"/>
        <w:spacing w:after="0" w:line="282"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94"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98"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80" w:lineRule="exact"/>
        <w:rPr>
          <w:rFonts w:ascii="Times New Roman" w:cs="Times New Roman" w:eastAsia="Times New Roman" w:hAnsi="Times New Roman"/>
          <w:sz w:val="18"/>
          <w:szCs w:val="18"/>
          <w:color w:val="auto"/>
        </w:rPr>
      </w:pPr>
    </w:p>
    <w:p>
      <w:pPr>
        <w:ind w:left="1320" w:right="799" w:hanging="434"/>
        <w:spacing w:after="0" w:line="261"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p>
    <w:p>
      <w:pPr>
        <w:spacing w:after="0" w:line="162"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13"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0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83"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p>
    <w:p>
      <w:pPr>
        <w:spacing w:after="0" w:line="162"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5" w:lineRule="exact"/>
        <w:rPr>
          <w:sz w:val="20"/>
          <w:szCs w:val="20"/>
          <w:color w:val="auto"/>
        </w:rPr>
      </w:pPr>
    </w:p>
    <w:p>
      <w:pPr>
        <w:ind w:left="460" w:right="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2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61" w:lineRule="auto"/>
        <w:rPr>
          <w:sz w:val="20"/>
          <w:szCs w:val="20"/>
          <w:color w:val="auto"/>
        </w:rPr>
      </w:pPr>
      <w:r>
        <w:rPr>
          <w:rFonts w:ascii="Times New Roman" w:cs="Times New Roman" w:eastAsia="Times New Roman" w:hAnsi="Times New Roman"/>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6" w:lineRule="exact"/>
        <w:rPr>
          <w:sz w:val="20"/>
          <w:szCs w:val="20"/>
          <w:color w:val="auto"/>
        </w:rPr>
      </w:pPr>
    </w:p>
    <w:p>
      <w:pPr>
        <w:ind w:left="460" w:right="1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9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the loans will be forgivable in whole or in part.</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11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55" w:lineRule="auto"/>
        <w:tabs>
          <w:tab w:leader="none" w:pos="8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4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7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working capital and general corporate purposes, including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8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91"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based on the assumed offering price, our executive officers, directors and their affiliates will beneficially own, in the aggregate, approximately 15.4% of our outstanding shares of common stock. In particular, Raymond Chang, our Chairman of the Board and Chief Executive Officer, will beneficially own approximately 7.7%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4" w:lineRule="exact"/>
        <w:rPr>
          <w:sz w:val="20"/>
          <w:szCs w:val="20"/>
          <w:color w:val="auto"/>
        </w:rPr>
      </w:pPr>
    </w:p>
    <w:p>
      <w:pPr>
        <w:ind w:left="460" w:right="9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total of 7,456,013, or 42.7%,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February 8, 2021, we will have 17,461,560 shares of common stock outstanding after this offering based on the assumed offering price. Of these shares, the common stock sold in this offering will be freely tradable in the United States, except for any shares purchased by our “affiliates” as defined in Rule 144 under the Securities Act. The holders of 6,308,943 shares of outstanding common stock have agreed with the underwriters, subject to certain exceptions, not to dispose of or hedge any of their common stock during the 180-day period beginning on the date of the IPO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10,005,547, or 57.3%</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0" w:type="dxa"/>
            <w:vAlign w:val="bottom"/>
          </w:tcPr>
          <w:p>
            <w:pPr>
              <w:spacing w:after="0"/>
              <w:rPr>
                <w:sz w:val="1"/>
                <w:szCs w:val="1"/>
                <w:color w:val="auto"/>
              </w:rPr>
            </w:pPr>
          </w:p>
        </w:tc>
      </w:tr>
      <w:tr>
        <w:trPr>
          <w:trHeight w:val="38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6,308,943, or 36.1%</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180 days after the date of the IPO prospectus (which period may be reduced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a minimum of 90 days if we meet certain stock price milestones) due to</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contractual obligations and lock-up agreements between the holders of these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and the underwriters. However, the underwriters can waive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provisions of these lock-up agreements and allow these stockholders to sell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their shares at any time, provided their respective six-month holding periods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under Rule 144 have expired.</w:t>
            </w:r>
          </w:p>
        </w:tc>
        <w:tc>
          <w:tcPr>
            <w:tcW w:w="0" w:type="dxa"/>
            <w:vAlign w:val="bottom"/>
          </w:tcPr>
          <w:p>
            <w:pPr>
              <w:spacing w:after="0"/>
              <w:rPr>
                <w:sz w:val="1"/>
                <w:szCs w:val="1"/>
                <w:color w:val="auto"/>
              </w:rPr>
            </w:pPr>
          </w:p>
        </w:tc>
      </w:tr>
      <w:tr>
        <w:trPr>
          <w:trHeight w:val="38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7,456,013, or 42.7%</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From time to time after the date 180 days after the date of the IPO prospectus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upon expiration of their respective six-month holding periods in the U.S.</w:t>
            </w:r>
          </w:p>
        </w:tc>
        <w:tc>
          <w:tcPr>
            <w:tcW w:w="0" w:type="dxa"/>
            <w:vAlign w:val="bottom"/>
          </w:tcPr>
          <w:p>
            <w:pPr>
              <w:spacing w:after="0"/>
              <w:rPr>
                <w:sz w:val="1"/>
                <w:szCs w:val="1"/>
                <w:color w:val="auto"/>
              </w:rPr>
            </w:pPr>
          </w:p>
        </w:tc>
      </w:tr>
      <w:tr>
        <w:trPr>
          <w:trHeight w:val="432"/>
        </w:trPr>
        <w:tc>
          <w:tcPr>
            <w:tcW w:w="23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3875"/>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addition, we may file a registration statement to register the approximately 4,359,509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20"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5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07"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02" w:lineRule="exact"/>
        <w:rPr>
          <w:sz w:val="20"/>
          <w:szCs w:val="20"/>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58"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6"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7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anticipated public offering price of our common stock is substantially higher than the net tangible book value per share of our outstanding common stock immediately after this offering. Therefore, if you purchase our common stock in this offering, you will incur immediate dilution of $12.00 in the net tangible book value per share from the price you paid. In addition, following this offering, purchasers in the offering will have contributed 44.8% of the total consideration paid by our stockholders to purchase shares of common stock, in exchange for acquiring approximately 22.0% of our total outstanding shares as of February 7, 2021 after giving effect to this offering. The exercise of outstanding stock options will result in further dilution.</w:t>
      </w:r>
    </w:p>
    <w:p>
      <w:pPr>
        <w:spacing w:after="0" w:line="185" w:lineRule="exact"/>
        <w:rPr>
          <w:sz w:val="20"/>
          <w:szCs w:val="20"/>
          <w:color w:val="auto"/>
        </w:rPr>
      </w:pPr>
    </w:p>
    <w:p>
      <w:pPr>
        <w:ind w:left="460" w:right="6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13"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27"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04"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9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112"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gatherings of people in public places.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Times New Roman" w:cs="Times New Roman" w:eastAsia="Times New Roman" w:hAnsi="Times New Roman"/>
          <w:sz w:val="17"/>
          <w:szCs w:val="17"/>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1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77" w:lineRule="exact"/>
        <w:rPr>
          <w:sz w:val="20"/>
          <w:szCs w:val="20"/>
          <w:color w:val="auto"/>
        </w:rPr>
      </w:pPr>
    </w:p>
    <w:p>
      <w:pPr>
        <w:ind w:left="4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p>
    <w:p>
      <w:pPr>
        <w:spacing w:after="0" w:line="6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p>
    <w:p>
      <w:pPr>
        <w:spacing w:after="0" w:line="135"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ind w:left="4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7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81" w:lineRule="exact"/>
        <w:rPr>
          <w:sz w:val="20"/>
          <w:szCs w:val="20"/>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 after this offering;</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or elsewhere.</w:t>
      </w:r>
    </w:p>
    <w:p>
      <w:pPr>
        <w:spacing w:after="0" w:line="144"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continuing listing requirements of The NASDAQ Capital Market could result in a de-listing of our securities.</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91"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0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6" w:lineRule="exact"/>
        <w:rPr>
          <w:sz w:val="20"/>
          <w:szCs w:val="20"/>
          <w:color w:val="auto"/>
        </w:rPr>
      </w:pPr>
    </w:p>
    <w:p>
      <w:pPr>
        <w:ind w:left="460" w:right="6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13"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the IPO.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4" w:lineRule="exact"/>
        <w:rPr>
          <w:sz w:val="20"/>
          <w:szCs w:val="20"/>
          <w:color w:val="auto"/>
        </w:rPr>
      </w:pPr>
    </w:p>
    <w:p>
      <w:pPr>
        <w:ind w:left="4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p>
    <w:p>
      <w:pPr>
        <w:spacing w:after="0" w:line="64"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9" w:lineRule="exact"/>
        <w:rPr>
          <w:sz w:val="20"/>
          <w:szCs w:val="20"/>
          <w:color w:val="auto"/>
        </w:rPr>
      </w:pPr>
    </w:p>
    <w:p>
      <w:pPr>
        <w:ind w:left="4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3"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9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 integration of complementary businesses and technologies;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5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0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0"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22"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symbols, but we will assert, to the fullest extent under applicable law, our rights to our copyrights, trade names and trademarks. All other trademarks are the property of their respective owners.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$69,500,000, based on an assumed public offering price of $19.76 per share, which is the last reported sale price of our common stock on The Nasdaq Capital Market on February 5, 2021, and after deducting the underwriting discounts and commissions, including an underwriting discount of 7%, and estimated offering expenses payable by us. If the underwriters exercise their option to purchase additional shares, we estimate that we will receive an additional $10.5 million in net proceeds.</w:t>
      </w:r>
    </w:p>
    <w:p>
      <w:pPr>
        <w:spacing w:after="0" w:line="120"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A $1.00 increase (decrease) in the assumed public offering price of $19.76 per share, which is the last reported sale price of our common stock on The Nasdaq Capital Market on February 5, 2021, would increase (decrease) the net proceeds to us from this offering by approximately $3,529,859, assuming the number of shares offered by us, as set forth on the cover page of this prospectus, remains the same and after deducting the estimated underwriting discounts and commissions.</w:t>
      </w:r>
    </w:p>
    <w:p>
      <w:pPr>
        <w:spacing w:after="0" w:line="116" w:lineRule="exact"/>
        <w:rPr>
          <w:sz w:val="20"/>
          <w:szCs w:val="20"/>
          <w:color w:val="auto"/>
        </w:rPr>
      </w:pPr>
    </w:p>
    <w:p>
      <w:pPr>
        <w:ind w:left="460" w:right="839" w:firstLine="432"/>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for acquisitions, working capital and general corporate purposes. The foregoing expected use of net proceeds from this offering represents our intentions based upon our current plans and business conditions. We may find it necessary or advisable to use the net proceeds from this offering for other purposes, and we will have broad discretion in the application of net proceeds from this offering.</w:t>
      </w:r>
    </w:p>
    <w:p>
      <w:pPr>
        <w:spacing w:after="0" w:line="10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Pending specific utilization of the net proceeds as described above, we intend to invest the net proceeds of the offering in short-term investment grade and U.S. government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33"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2020:</w:t>
      </w:r>
    </w:p>
    <w:p>
      <w:pPr>
        <w:spacing w:after="0" w:line="158"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44"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conversion of our outstanding shares of Series A Preferred Stock into 1,373,038 shares of common stock immediately prior to the closing of our IPO offering based on a conversion price of $7.72;</w:t>
      </w:r>
    </w:p>
    <w:p>
      <w:pPr>
        <w:spacing w:after="0" w:line="108" w:lineRule="exact"/>
        <w:rPr>
          <w:rFonts w:ascii="Times New Roman" w:cs="Times New Roman" w:eastAsia="Times New Roman" w:hAnsi="Times New Roman"/>
          <w:sz w:val="18"/>
          <w:szCs w:val="18"/>
          <w:color w:val="auto"/>
        </w:rPr>
      </w:pPr>
    </w:p>
    <w:p>
      <w:pPr>
        <w:ind w:left="1320" w:right="899" w:hanging="434"/>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conversion of our outstanding promissory notes into 1,697,075 shares of common stock immediately prior to the closing of our IPO based on a conversion price of $7.72;</w:t>
      </w:r>
    </w:p>
    <w:p>
      <w:pPr>
        <w:spacing w:after="0" w:line="108" w:lineRule="exact"/>
        <w:rPr>
          <w:rFonts w:ascii="Times New Roman" w:cs="Times New Roman" w:eastAsia="Times New Roman" w:hAnsi="Times New Roman"/>
          <w:sz w:val="18"/>
          <w:szCs w:val="18"/>
          <w:color w:val="auto"/>
        </w:rPr>
      </w:pPr>
    </w:p>
    <w:p>
      <w:pPr>
        <w:ind w:left="1320" w:right="619" w:hanging="434"/>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sale of 6,210,000 shares of common stock by us in our IPO at the IPO price of $10.00 per share, and after deducting the estimated underwriting discounts and commissions and estimated offering expenses payable by us;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58"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the sale of 3,795,547 shares of common stock by us in this offering based on an assumed public offering price of $19.76 per share, which is the last reported sale price of our common stock on The Nasdaq Capital Market on February 5, 2021, and after deducting the estimated underwriting discounts and commissions and estimated offering expenses payable by us.</w:t>
      </w:r>
    </w:p>
    <w:p>
      <w:pPr>
        <w:spacing w:after="0" w:line="10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capitalization following the closing of this offering will be adjusted based on the actual offering price and other terms of this offering determined at pricing. You should read this table in conjunction with “Management’s Discussion and Analysis of Financial Condition and Results of Operations” and the financial statements and related notes included elsewhere in this prospectus.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left="134"/>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9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74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100,000 shares issued and outstanding, actual;</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0 shares issued and outstanding, pro forma and pro forma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9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8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74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 shares authorized;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4,211,677 shares issued and outstanding, actual; 13,491,790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88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pro forma as adjusted</w:t>
            </w:r>
            <w:r>
              <w:rPr>
                <w:rFonts w:ascii="Times New Roman" w:cs="Times New Roman" w:eastAsia="Times New Roman" w:hAnsi="Times New Roman"/>
                <w:sz w:val="20"/>
                <w:szCs w:val="20"/>
                <w:color w:val="auto"/>
                <w:vertAlign w:val="superscript"/>
              </w:rPr>
              <w:t>(1)</w:t>
            </w:r>
          </w:p>
        </w:tc>
        <w:tc>
          <w:tcPr>
            <w:tcW w:w="1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17,645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79,917</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149,663</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(13,455)</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(13,455)</w:t>
            </w:r>
          </w:p>
        </w:tc>
        <w:tc>
          <w:tcPr>
            <w:tcW w:w="0" w:type="dxa"/>
            <w:vAlign w:val="bottom"/>
          </w:tcPr>
          <w:p>
            <w:pPr>
              <w:spacing w:after="0"/>
              <w:rPr>
                <w:sz w:val="1"/>
                <w:szCs w:val="1"/>
                <w:color w:val="auto"/>
              </w:rPr>
            </w:pP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74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Indebtedness, including long-term debt, notes payable and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9,550</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67,303</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137,053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44" w:lineRule="exact"/>
        <w:rPr>
          <w:sz w:val="20"/>
          <w:szCs w:val="20"/>
          <w:color w:val="auto"/>
        </w:rPr>
      </w:pPr>
    </w:p>
    <w:p>
      <w:pPr>
        <w:ind w:left="1320" w:right="599" w:hanging="434"/>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2,842,990 shares of common stock issuable upon the exercise of outstanding options at a weighted average exercise price of $3.63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1,516,519 shares reserved for issuance under our equity incentive plan;</w:t>
      </w:r>
    </w:p>
    <w:p>
      <w:pPr>
        <w:spacing w:after="0" w:line="157"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828,173 shares of common stock issuable upon the exercise of outstanding warrants associated with our 2020 convertible promissory notes at a weighted average exercise price of $0.02 per share; and</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113,867 shares reserved for issuance under the representative’s warrant issued to the underwriters in connection with our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6"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08" w:lineRule="exact"/>
        <w:rPr>
          <w:sz w:val="20"/>
          <w:szCs w:val="20"/>
          <w:color w:val="auto"/>
        </w:rPr>
      </w:pPr>
    </w:p>
    <w:p>
      <w:pPr>
        <w:ind w:left="460" w:right="559" w:firstLine="432"/>
        <w:spacing w:after="0" w:line="268" w:lineRule="auto"/>
        <w:rPr>
          <w:sz w:val="20"/>
          <w:szCs w:val="20"/>
          <w:color w:val="auto"/>
        </w:rPr>
      </w:pPr>
      <w:r>
        <w:rPr>
          <w:rFonts w:ascii="Times New Roman" w:cs="Times New Roman" w:eastAsia="Times New Roman" w:hAnsi="Times New Roman"/>
          <w:sz w:val="17"/>
          <w:szCs w:val="17"/>
          <w:color w:val="auto"/>
        </w:rPr>
        <w:t>“Net tangible book value” is total assets minus the sum of liabilities and intangible assets. “Net tangible book value per share” is net tangible book value divided by the total number of shares outstanding on September 30, 2020. After giving effect to our sale of 3,795,547 shares of our common stock in this offering at an assumed public offering price of $19.76 per share, which is the last reported sale price of our common stock on The Nasdaq Capital Market on February 5, 2021, and after deducting the estimated underwriting discounts and offering expenses payable by us, the pro forma as adjusted net tangible book value as of September 30,</w:t>
      </w:r>
    </w:p>
    <w:p>
      <w:pPr>
        <w:spacing w:after="0" w:line="5"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2020 would have been $135,430,299, or $7.76 per share. This represents an immediate increase in pro forma net tangible book value of $2.94 per share to our existing stockholders and an immediate dilution in pro forma net tangible book value of $12.00 per share to investors purchasing shares of common stock in this offering at the assumed public offering price.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illustrates this dilution: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 w:type="dxa"/>
            <w:vAlign w:val="bottom"/>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the offering</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4"/>
                <w:szCs w:val="24"/>
                <w:color w:val="auto"/>
              </w:rPr>
            </w:pPr>
          </w:p>
        </w:tc>
      </w:tr>
      <w:tr>
        <w:trPr>
          <w:trHeight w:val="178"/>
        </w:trPr>
        <w:tc>
          <w:tcPr>
            <w:tcW w:w="6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2020 after the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the offering</w:t>
            </w: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$19.76 per share, which is the last reported sale price of our common stock on The Nasdaq Capital Market on February 5, 2021, would increase (decrease) the pro forma net tangible book value by $3,529,859, the pro forma net tangible book value per share after this offering by $0.20 per share and the dilution in pro forma net tangible book value per share to investors in this offering by $0.80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$8.09 per share, representing an immediate increase to existing stockholders of $0.33 per share and an immediate dilution of $11.67 per share to new investors. If any shares are issued in connection with outstanding options, you will experience further dilution.</w:t>
      </w:r>
    </w:p>
    <w:p>
      <w:pPr>
        <w:spacing w:after="0" w:line="12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presents, on a pro forma basis as of September 30, 2020, the differences between the number of shares purchased from us, the total consideration paid to us in cash and the average price per share that existing stockholders and new investors paid. The calculation below is based on an assumed public offering price of $19.76 per share, which is the last reported sale price of our common stock on The Nasdaq Capital Market on February 5, 2021, before deducting the estimated underwriting discounts and commissions and estimated offering expenses payable by us: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3,795,547</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17,287,337</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167,427,738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Assuming the underwriters’ option to purchase additional shares is exercised in full, sales in this offering will reduce the percentage of shares held by existing stockholders to 75.6% and will increase the number of shares held by our new investors to 4,364,879 shares, or 24.4%, assuming no purchases of our common stock by existing stockholders in this offering.</w:t>
      </w:r>
    </w:p>
    <w:p>
      <w:pPr>
        <w:spacing w:after="0" w:line="85"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will change based on the actual offering price, the number of shares we sell and other terms of this offering that will be determined at pricing.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2,842,990 shares of common stock issuable upon the exercise of outstanding options at a weighted average exercise price of $3.63 per share;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1,516,519 shares reserved for issuance under our equity incentive plan;</w:t>
      </w:r>
    </w:p>
    <w:p>
      <w:pPr>
        <w:spacing w:after="0" w:line="157"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828,173 shares of common stock issuable upon the exercise of outstanding warrants associated with our 2020 convertible promissory notes at a weighted average exercise price of $0.02 per share; and</w:t>
      </w:r>
    </w:p>
    <w:p>
      <w:pPr>
        <w:spacing w:after="0" w:line="94"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113,867 shares reserved for issuance under the representative’s warrant issued to the underwriters in connection with our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Pr>
          <w:p>
            <w:pPr>
              <w:spacing w:after="0"/>
              <w:rPr>
                <w:sz w:val="17"/>
                <w:szCs w:val="17"/>
                <w:color w:val="auto"/>
              </w:rPr>
            </w:pPr>
          </w:p>
        </w:tc>
        <w:tc>
          <w:tcPr>
            <w:tcW w:w="238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38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4,088,000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3120" w:type="dxa"/>
            <w:vAlign w:val="bottom"/>
            <w:tcBorders>
              <w:bottom w:val="single" w:sz="8" w:color="CCEEFF"/>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vMerge w:val="continue"/>
          </w:tcPr>
          <w:p>
            <w:pPr>
              <w:spacing w:after="0"/>
              <w:rPr>
                <w:sz w:val="23"/>
                <w:szCs w:val="23"/>
                <w:color w:val="auto"/>
              </w:rPr>
            </w:pPr>
          </w:p>
        </w:tc>
        <w:tc>
          <w:tcPr>
            <w:tcW w:w="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used to</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 basic and diluted net loss per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3,068,458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2,326,458</w:t>
            </w: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4,163,848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2,883,896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3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Pro forma weighted-average common</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to compute basic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5,209,491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line="14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5"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Times New Roman" w:cs="Times New Roman" w:eastAsia="Times New Roman" w:hAnsi="Times New Roman"/>
          <w:sz w:val="18"/>
          <w:szCs w:val="18"/>
          <w:i w:val="1"/>
          <w:iCs w:val="1"/>
          <w:color w:val="auto"/>
        </w:rPr>
        <w:t>Agrify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Precision Elevated</w:t>
      </w:r>
      <w:r>
        <w:rPr>
          <w:rFonts w:ascii="Times New Roman" w:cs="Times New Roman" w:eastAsia="Times New Roman" w:hAnsi="Times New Roman"/>
          <w:sz w:val="18"/>
          <w:szCs w:val="18"/>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7"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On January 27, 2021, we entered into an underwriting agreement with Maxim Group LLC, as representative of the underwriters named therein, in connection with our initial public offering (the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20"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IPO closed on February 1, 2021 (the “IPO Closing Date”) and was made pursuant to our registration statement on Form S-1 (File No. 333- 251616), which was declared effective by the SEC on January 27, 2021 under the Securities Act, and our registration statement on Form S-1MEF (File No. 333-252490). A final prospectus describing the terms of the IPO was filed with the SEC on January 29, 2021.</w:t>
      </w:r>
    </w:p>
    <w:p>
      <w:pPr>
        <w:spacing w:after="0" w:line="99"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6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All outstanding shares of Series A Preferred Stock automatically converted immediately prior to the closing of our IPO into 1,373,038 shares of common stock at a conversion price of $7.72 per share.</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w:t>
      </w:r>
    </w:p>
    <w:p>
      <w:pPr>
        <w:spacing w:after="0" w:line="135" w:lineRule="exact"/>
        <w:rPr>
          <w:sz w:val="20"/>
          <w:szCs w:val="20"/>
          <w:color w:val="auto"/>
        </w:rPr>
      </w:pPr>
    </w:p>
    <w:p>
      <w:pPr>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111"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111"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8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234315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528" w:hanging="528"/>
        <w:spacing w:after="0"/>
        <w:tabs>
          <w:tab w:leader="none" w:pos="5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1,140,000</w:t>
      </w:r>
    </w:p>
    <w:p>
      <w:pPr>
        <w:spacing w:after="0" w:line="76" w:lineRule="exact"/>
        <w:rPr>
          <w:rFonts w:ascii="Times New Roman" w:cs="Times New Roman" w:eastAsia="Times New Roman" w:hAnsi="Times New Roman"/>
          <w:sz w:val="18"/>
          <w:szCs w:val="18"/>
          <w:color w:val="auto"/>
        </w:rPr>
      </w:pPr>
    </w:p>
    <w:p>
      <w:pPr>
        <w:ind w:left="5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1,356,000</w:t>
      </w:r>
    </w:p>
    <w:p>
      <w:pPr>
        <w:spacing w:after="0" w:line="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2,703,000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1" w:lineRule="exact"/>
        <w:rPr>
          <w:rFonts w:ascii="Times New Roman" w:cs="Times New Roman" w:eastAsia="Times New Roman" w:hAnsi="Times New Roman"/>
          <w:sz w:val="18"/>
          <w:szCs w:val="18"/>
          <w:b w:val="1"/>
          <w:bCs w:val="1"/>
          <w:color w:val="auto"/>
        </w:rPr>
      </w:pPr>
    </w:p>
    <w:p>
      <w:pPr>
        <w:ind w:left="64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-513715</wp:posOffset>
            </wp:positionV>
            <wp:extent cx="788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8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our condensed consolidated statement of operations from the acquisition date of January 22, 2020 to September 30, 2020 was $4,000,000.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62"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21"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HMH included in our condensed consolidated statement of operations from the acquisition date of July 22, 2020 to September 30, 2020 was $0.</w:t>
      </w:r>
    </w:p>
    <w:p>
      <w:pPr>
        <w:spacing w:after="0" w:line="94"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financial information summarizes the combined results of operations for us, TriGrow and HMH, as though the acquisition of TriGrow and HMH occurred on January 1, 2019.</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7,766,000</w:t>
            </w:r>
          </w:p>
        </w:tc>
        <w:tc>
          <w:tcPr>
            <w:tcW w:w="28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2,266,000</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0"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62"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2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06"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and Warrants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2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9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10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$5,800,000 of Notes and warrants to purchase 366,670 shares of common stock were subscribed. Through September 30, 2020, the aggregate relative fair value of the warrants of $1,362,000 was recorded as debt discount at issuance and is being amortized over the term of the respective Notes.</w:t>
      </w:r>
    </w:p>
    <w:p>
      <w:pPr>
        <w:spacing w:after="0" w:line="112"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07"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All of the outstanding Notes converted into an aggregate of 1,697,075 shares of our common stock on February 1, 2021, the closing date of our IPO.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21"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Upon conversion of our outstanding Notes on February 1, 2021, the closing date of our IPO, all of the outstanding derivative liabilities were cancelled.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3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6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02"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85"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and services,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83"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We have elected to treat shipping and handling activities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We receive payment from customers based on specified terms that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20"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5"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94" w:lineRule="exact"/>
        <w:rPr>
          <w:sz w:val="20"/>
          <w:szCs w:val="20"/>
          <w:color w:val="auto"/>
        </w:rPr>
      </w:pPr>
    </w:p>
    <w:p>
      <w:pPr>
        <w:ind w:left="1320" w:right="69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94"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80"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spacing w:after="0" w:line="261" w:lineRule="auto"/>
        <w:rPr>
          <w:sz w:val="20"/>
          <w:szCs w:val="20"/>
          <w:color w:val="auto"/>
        </w:rPr>
      </w:pPr>
      <w:r>
        <w:rPr>
          <w:rFonts w:ascii="Times New Roman" w:cs="Times New Roman" w:eastAsia="Times New Roman" w:hAnsi="Times New Roman"/>
          <w:sz w:val="18"/>
          <w:szCs w:val="18"/>
          <w:color w:val="auto"/>
        </w:rPr>
        <w:t>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12" w:lineRule="exact"/>
        <w:rPr>
          <w:sz w:val="20"/>
          <w:szCs w:val="20"/>
          <w:color w:val="auto"/>
        </w:rPr>
      </w:pPr>
    </w:p>
    <w:p>
      <w:pPr>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2"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2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11"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common stock</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12"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2,425,000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attributable to non-controlling interest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400"/>
        <w:spacing w:after="0"/>
        <w:tabs>
          <w:tab w:leader="none" w:pos="1820" w:val="left"/>
        </w:tabs>
        <w:rPr>
          <w:sz w:val="20"/>
          <w:szCs w:val="20"/>
          <w:color w:val="auto"/>
        </w:rPr>
      </w:pPr>
      <w:r>
        <w:rPr>
          <w:rFonts w:ascii="Times New Roman" w:cs="Times New Roman" w:eastAsia="Times New Roman" w:hAnsi="Times New Roman"/>
          <w:sz w:val="18"/>
          <w:szCs w:val="18"/>
          <w:color w:val="auto"/>
        </w:rPr>
        <w:t>2,392,000</w:t>
      </w:r>
      <w:r>
        <w:rPr>
          <w:sz w:val="20"/>
          <w:szCs w:val="20"/>
          <w:color w:val="auto"/>
        </w:rPr>
        <w:tab/>
      </w:r>
      <w:r>
        <w:rPr>
          <w:rFonts w:ascii="Times New Roman" w:cs="Times New Roman" w:eastAsia="Times New Roman" w:hAnsi="Times New Roman"/>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6,940,000</w:t>
      </w:r>
      <w:r>
        <w:rPr>
          <w:sz w:val="20"/>
          <w:szCs w:val="20"/>
          <w:color w:val="auto"/>
        </w:rPr>
        <w:tab/>
      </w:r>
      <w:r>
        <w:rPr>
          <w:rFonts w:ascii="Times New Roman" w:cs="Times New Roman" w:eastAsia="Times New Roman" w:hAnsi="Times New Roman"/>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9,332,000</w:t>
      </w:r>
      <w:r>
        <w:rPr>
          <w:sz w:val="20"/>
          <w:szCs w:val="20"/>
          <w:color w:val="auto"/>
        </w:rPr>
        <w:tab/>
      </w:r>
      <w:r>
        <w:rPr>
          <w:rFonts w:ascii="Times New Roman" w:cs="Times New Roman" w:eastAsia="Times New Roman" w:hAnsi="Times New Roman"/>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Times New Roman" w:cs="Times New Roman" w:eastAsia="Times New Roman" w:hAnsi="Times New Roman"/>
          <w:sz w:val="18"/>
          <w:szCs w:val="18"/>
          <w:color w:val="auto"/>
        </w:rPr>
        <w:t>8,472,000</w:t>
      </w:r>
      <w:r>
        <w:rPr>
          <w:sz w:val="20"/>
          <w:szCs w:val="20"/>
          <w:color w:val="auto"/>
        </w:rPr>
        <w:tab/>
      </w:r>
      <w:r>
        <w:rPr>
          <w:rFonts w:ascii="Times New Roman" w:cs="Times New Roman" w:eastAsia="Times New Roman" w:hAnsi="Times New Roman"/>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Times New Roman" w:cs="Times New Roman" w:eastAsia="Times New Roman" w:hAnsi="Times New Roman"/>
          <w:sz w:val="18"/>
          <w:szCs w:val="18"/>
          <w:color w:val="auto"/>
        </w:rPr>
        <w:t>139,000</w:t>
      </w:r>
      <w:r>
        <w:rPr>
          <w:sz w:val="20"/>
          <w:szCs w:val="20"/>
          <w:color w:val="auto"/>
        </w:rPr>
        <w:tab/>
      </w:r>
      <w:r>
        <w:rPr>
          <w:rFonts w:ascii="Times New Roman" w:cs="Times New Roman" w:eastAsia="Times New Roman" w:hAnsi="Times New Roman"/>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Times New Roman" w:cs="Times New Roman" w:eastAsia="Times New Roman" w:hAnsi="Times New Roman"/>
          <w:sz w:val="18"/>
          <w:szCs w:val="18"/>
          <w:color w:val="auto"/>
        </w:rPr>
        <w:t>8,611,000</w:t>
      </w:r>
      <w:r>
        <w:rPr>
          <w:sz w:val="20"/>
          <w:szCs w:val="20"/>
          <w:color w:val="auto"/>
        </w:rPr>
        <w:tab/>
      </w:r>
      <w:r>
        <w:rPr>
          <w:rFonts w:ascii="Times New Roman" w:cs="Times New Roman" w:eastAsia="Times New Roman" w:hAnsi="Times New Roman"/>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Times New Roman" w:cs="Times New Roman" w:eastAsia="Times New Roman" w:hAnsi="Times New Roman"/>
          <w:sz w:val="18"/>
          <w:szCs w:val="18"/>
          <w:color w:val="auto"/>
        </w:rPr>
        <w:t>49,000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8,562,000 $</w:t>
      </w:r>
      <w:r>
        <w:rPr>
          <w:sz w:val="20"/>
          <w:szCs w:val="20"/>
          <w:color w:val="auto"/>
        </w:rPr>
        <w:tab/>
      </w:r>
      <w:r>
        <w:rPr>
          <w:rFonts w:ascii="Times New Roman" w:cs="Times New Roman" w:eastAsia="Times New Roman" w:hAnsi="Times New Roman"/>
          <w:sz w:val="18"/>
          <w:szCs w:val="18"/>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ectPr>
          <w:pgSz w:w="11900" w:h="16838" w:orient="portrait"/>
          <w:cols w:equalWidth="0" w:num="1">
            <w:col w:w="9019"/>
          </w:cols>
          <w:pgMar w:left="1440" w:top="270" w:right="1440" w:bottom="1440" w:gutter="0" w:footer="0" w:header="0"/>
          <w:type w:val="continuous"/>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revenue for the nine months ended September 30, 2020 and 2019:</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w:t>
      </w:r>
    </w:p>
    <w:p>
      <w:pPr>
        <w:spacing w:after="0" w:line="94"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cost of revenue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6,874,000</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10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VFUs, which includes:</w:t>
      </w:r>
    </w:p>
    <w:p>
      <w:pPr>
        <w:spacing w:after="0" w:line="94"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4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VFUs;</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108" w:lineRule="exact"/>
        <w:rPr>
          <w:sz w:val="20"/>
          <w:szCs w:val="20"/>
          <w:color w:val="auto"/>
        </w:rPr>
      </w:pPr>
    </w:p>
    <w:p>
      <w:pPr>
        <w:ind w:left="460" w:right="719" w:firstLine="432"/>
        <w:spacing w:after="0" w:line="256" w:lineRule="auto"/>
        <w:rPr>
          <w:sz w:val="20"/>
          <w:szCs w:val="20"/>
          <w:color w:val="auto"/>
        </w:rPr>
      </w:pPr>
      <w:r>
        <w:rPr>
          <w:rFonts w:ascii="Times New Roman" w:cs="Times New Roman" w:eastAsia="Times New Roman" w:hAnsi="Times New Roman"/>
          <w:sz w:val="18"/>
          <w:szCs w:val="18"/>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1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 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stock options to officers, directors and employees which have several vesting conditions, including an event-based vesting acceleration (defined as a change in control, including an initial public offering). The consummation of the IPO triggered a significant event-based stock compensation charge in the first quarter of 2021. Accordingly, the estimated share-based compensation cost for stock options granted as of September 30, 2020 is approximately $803,000.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Interest expense was $139,000 for the nine months ended September 30, 2020 compared to $3,000 for the nine months ended September 30, 2019, reflecting an increase of $136,000.</w:t>
      </w:r>
    </w:p>
    <w:p>
      <w:pPr>
        <w:spacing w:after="0" w:line="94"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48" w:lineRule="exact"/>
        <w:rPr>
          <w:sz w:val="20"/>
          <w:szCs w:val="20"/>
          <w:color w:val="auto"/>
        </w:rPr>
      </w:pPr>
    </w:p>
    <w:p>
      <w:pPr>
        <w:ind w:left="460" w:right="739" w:firstLine="432"/>
        <w:spacing w:after="0" w:line="253"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2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2019 and 2018</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2019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2018:</w:t>
      </w:r>
    </w:p>
    <w:p>
      <w:pPr>
        <w:spacing w:after="0" w:line="18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2,737,000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AVFUs, which includes:</w:t>
      </w:r>
    </w:p>
    <w:p>
      <w:pPr>
        <w:spacing w:after="0" w:line="67" w:lineRule="exact"/>
        <w:rPr>
          <w:sz w:val="20"/>
          <w:szCs w:val="20"/>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3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AVFUs;</w:t>
      </w:r>
    </w:p>
    <w:p>
      <w:pPr>
        <w:spacing w:after="0" w:line="80"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8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3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85"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35"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Other income consisted primarily of interest income charged to our customers for late payments and bank fees expenses.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net loss for the year ended December 31, 2019 was $(3,042,000) compared with a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$(1,014,000) for the year ended December 31, 2018. The net loss is influenced by the matters discussed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sections of the Management Discussion and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Prior to our IPO, we have been funded by revenues from operations and investments in our company. In connection with our IPO, we sold an aggregate of 6,210,000 shares of our common stock, including 810,000 shares pursuant to the underwriters’ over-allotment option, at an IPO price of $10.00 per share and received approximately $57 million in net proceeds.</w:t>
      </w:r>
    </w:p>
    <w:p>
      <w:pPr>
        <w:spacing w:after="0" w:line="93"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As of February 8, 2021, we had $63,459,247 million in cash and cash equivalents.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0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Cashflow</w:t>
      </w:r>
    </w:p>
    <w:p>
      <w:pPr>
        <w:spacing w:after="0" w:line="135"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(10,723,000)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16,670,000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Operating Activities</w:t>
      </w:r>
    </w:p>
    <w:p>
      <w:pPr>
        <w:spacing w:after="0" w:line="135"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9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102" w:lineRule="exact"/>
        <w:rPr>
          <w:sz w:val="20"/>
          <w:szCs w:val="20"/>
          <w:color w:val="auto"/>
        </w:rPr>
      </w:pPr>
    </w:p>
    <w:p>
      <w:pPr>
        <w:ind w:left="460" w:right="79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8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8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9"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Investing Activities</w:t>
      </w:r>
    </w:p>
    <w:p>
      <w:pPr>
        <w:spacing w:after="0" w:line="135"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95"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pacing w:after="0" w:line="81"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investment activities in the year ended December 31, 2018.</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Financing Activities</w:t>
      </w:r>
    </w:p>
    <w:p>
      <w:pPr>
        <w:spacing w:after="0" w:line="135"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85" w:lineRule="exact"/>
        <w:rPr>
          <w:sz w:val="20"/>
          <w:szCs w:val="20"/>
          <w:color w:val="auto"/>
        </w:rPr>
      </w:pPr>
    </w:p>
    <w:p>
      <w:pPr>
        <w:jc w:val="both"/>
        <w:ind w:left="460" w:right="109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financing activities in the year ended December 31, 2018.</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September 30, 2020, our contractual obligations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78"/>
        </w:trPr>
        <w:tc>
          <w:tcPr>
            <w:tcW w:w="2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5"/>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460" w:right="539" w:firstLine="432"/>
        <w:spacing w:after="0" w:line="271" w:lineRule="auto"/>
        <w:rPr>
          <w:sz w:val="20"/>
          <w:szCs w:val="20"/>
          <w:color w:val="auto"/>
        </w:rPr>
      </w:pPr>
      <w:r>
        <w:rPr>
          <w:rFonts w:ascii="Times New Roman" w:cs="Times New Roman" w:eastAsia="Times New Roman" w:hAnsi="Times New Roman"/>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Times New Roman" w:cs="Times New Roman" w:eastAsia="Times New Roman" w:hAnsi="Times New Roman"/>
          <w:sz w:val="17"/>
          <w:szCs w:val="17"/>
          <w:i w:val="1"/>
          <w:iCs w:val="1"/>
          <w:color w:val="auto"/>
        </w:rPr>
        <w:t>Agrify “Precision Elevated™”</w:t>
      </w:r>
      <w:r>
        <w:rPr>
          <w:rFonts w:ascii="Times New Roman" w:cs="Times New Roman" w:eastAsia="Times New Roman" w:hAnsi="Times New Roman"/>
          <w:sz w:val="17"/>
          <w:szCs w:val="17"/>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Times New Roman" w:cs="Times New Roman" w:eastAsia="Times New Roman" w:hAnsi="Times New Roman"/>
          <w:sz w:val="18"/>
          <w:szCs w:val="18"/>
          <w:i w:val="1"/>
          <w:iCs w:val="1"/>
          <w:color w:val="auto"/>
        </w:rPr>
        <w:t>Agrify Vertical Farming Unit (AVFU)</w:t>
      </w:r>
      <w:r>
        <w:rPr>
          <w:rFonts w:ascii="Times New Roman" w:cs="Times New Roman" w:eastAsia="Times New Roman" w:hAnsi="Times New Roman"/>
          <w:sz w:val="18"/>
          <w:szCs w:val="18"/>
          <w:color w:val="auto"/>
        </w:rPr>
        <w:t xml:space="preserve">, as well as our proprietary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743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121285</wp:posOffset>
            </wp:positionV>
            <wp:extent cx="2811780" cy="2297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8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8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8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50" w:lineRule="exact"/>
        <w:rPr>
          <w:sz w:val="20"/>
          <w:szCs w:val="20"/>
          <w:color w:val="auto"/>
        </w:rPr>
      </w:pPr>
    </w:p>
    <w:p>
      <w:pPr>
        <w:ind w:left="1320" w:right="519" w:hanging="434"/>
        <w:spacing w:after="0" w:line="255"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6" w:lineRule="exact"/>
        <w:rPr>
          <w:rFonts w:ascii="Times New Roman" w:cs="Times New Roman" w:eastAsia="Times New Roman" w:hAnsi="Times New Roman"/>
          <w:sz w:val="18"/>
          <w:szCs w:val="18"/>
          <w:color w:val="auto"/>
        </w:rPr>
      </w:pPr>
    </w:p>
    <w:p>
      <w:pPr>
        <w:ind w:left="1320" w:right="559" w:hanging="434"/>
        <w:spacing w:after="0" w:line="262" w:lineRule="auto"/>
        <w:tabs>
          <w:tab w:leader="none" w:pos="1311"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1320" w:right="479" w:hanging="434"/>
        <w:spacing w:after="0" w:line="255" w:lineRule="auto"/>
        <w:tabs>
          <w:tab w:leader="none" w:pos="1311"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90" w:lineRule="exact"/>
        <w:rPr>
          <w:rFonts w:ascii="Times New Roman" w:cs="Times New Roman" w:eastAsia="Times New Roman" w:hAnsi="Times New Roman"/>
          <w:sz w:val="18"/>
          <w:szCs w:val="18"/>
          <w:b w:val="1"/>
          <w:bCs w:val="1"/>
          <w:i w:val="1"/>
          <w:iCs w:val="1"/>
          <w:color w:val="auto"/>
        </w:rPr>
      </w:pPr>
    </w:p>
    <w:p>
      <w:pPr>
        <w:ind w:left="1320" w:right="479" w:hanging="434"/>
        <w:spacing w:after="0" w:line="257"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 agriculture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01" w:lineRule="exact"/>
        <w:rPr>
          <w:rFonts w:ascii="Times New Roman" w:cs="Times New Roman" w:eastAsia="Times New Roman" w:hAnsi="Times New Roman"/>
          <w:sz w:val="18"/>
          <w:szCs w:val="18"/>
          <w:color w:val="auto"/>
        </w:rPr>
      </w:pPr>
    </w:p>
    <w:p>
      <w:pPr>
        <w:ind w:left="1320" w:right="639" w:hanging="434"/>
        <w:spacing w:after="0" w:line="257"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87" w:lineRule="exact"/>
        <w:rPr>
          <w:rFonts w:ascii="Times New Roman" w:cs="Times New Roman" w:eastAsia="Times New Roman" w:hAnsi="Times New Roman"/>
          <w:sz w:val="18"/>
          <w:szCs w:val="18"/>
          <w:color w:val="auto"/>
        </w:rPr>
      </w:pPr>
    </w:p>
    <w:p>
      <w:pPr>
        <w:ind w:left="1320" w:right="499" w:hanging="434"/>
        <w:spacing w:after="0" w:line="253"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Investment from and Deep Integration with Large Asian Manufacturer.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90" w:lineRule="exact"/>
        <w:rPr>
          <w:rFonts w:ascii="Times New Roman" w:cs="Times New Roman" w:eastAsia="Times New Roman" w:hAnsi="Times New Roman"/>
          <w:sz w:val="18"/>
          <w:szCs w:val="18"/>
          <w:color w:val="auto"/>
        </w:rPr>
      </w:pPr>
    </w:p>
    <w:p>
      <w:pPr>
        <w:ind w:left="1320" w:right="499" w:hanging="434"/>
        <w:spacing w:after="0" w:line="254"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 with Experienced Consulting and General Contractor of Industrial Facilities.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101" w:lineRule="exact"/>
        <w:rPr>
          <w:rFonts w:ascii="Times New Roman" w:cs="Times New Roman" w:eastAsia="Times New Roman" w:hAnsi="Times New Roman"/>
          <w:sz w:val="18"/>
          <w:szCs w:val="18"/>
          <w:color w:val="auto"/>
        </w:rPr>
      </w:pPr>
    </w:p>
    <w:p>
      <w:pPr>
        <w:ind w:left="1320" w:right="519" w:hanging="434"/>
        <w:spacing w:after="0" w:line="259"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8" w:lineRule="exact"/>
        <w:rPr>
          <w:rFonts w:ascii="Times New Roman" w:cs="Times New Roman" w:eastAsia="Times New Roman" w:hAnsi="Times New Roman"/>
          <w:sz w:val="18"/>
          <w:szCs w:val="18"/>
          <w:color w:val="auto"/>
        </w:rPr>
      </w:pPr>
    </w:p>
    <w:p>
      <w:pPr>
        <w:ind w:left="1320" w:right="839" w:hanging="434"/>
        <w:spacing w:after="0" w:line="262" w:lineRule="auto"/>
        <w:tabs>
          <w:tab w:leader="none" w:pos="1311"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10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7"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0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10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7"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Well-Established Crop Market Opportunities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1500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9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Cannabis Market Opportunity</w:t>
      </w:r>
    </w:p>
    <w:p>
      <w:pPr>
        <w:spacing w:after="0" w:line="146"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27"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Outdoor cannabis has the lowest initial capital expenditures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2"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0"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9" w:lineRule="exact"/>
        <w:rPr>
          <w:sz w:val="20"/>
          <w:szCs w:val="20"/>
          <w:color w:val="auto"/>
        </w:rPr>
      </w:pPr>
    </w:p>
    <w:p>
      <w:pPr>
        <w:jc w:val="both"/>
        <w:ind w:left="460" w:right="65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74" w:lineRule="auto"/>
        <w:rPr>
          <w:sz w:val="20"/>
          <w:szCs w:val="20"/>
          <w:color w:val="auto"/>
        </w:rPr>
      </w:pPr>
      <w:r>
        <w:rPr>
          <w:rFonts w:ascii="Times New Roman" w:cs="Times New Roman" w:eastAsia="Times New Roman" w:hAnsi="Times New Roman"/>
          <w:sz w:val="17"/>
          <w:szCs w:val="17"/>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65"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Core Bundled Solution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 Vertical Farming Unit (AVFU)</w:t>
      </w:r>
    </w:p>
    <w:p>
      <w:pPr>
        <w:spacing w:after="0" w:line="16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102235</wp:posOffset>
            </wp:positionV>
            <wp:extent cx="4834890" cy="3188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AVFU</w:t>
      </w:r>
    </w:p>
    <w:p>
      <w:pPr>
        <w:spacing w:after="0" w:line="14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104" w:lineRule="exact"/>
        <w:rPr>
          <w:sz w:val="20"/>
          <w:szCs w:val="20"/>
          <w:color w:val="auto"/>
        </w:rPr>
      </w:pPr>
    </w:p>
    <w:p>
      <w:pPr>
        <w:ind w:left="1320" w:right="499" w:hanging="434"/>
        <w:spacing w:after="0" w:line="268"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Floor Space Utilization. </w:t>
      </w:r>
      <w:r>
        <w:rPr>
          <w:rFonts w:ascii="Times New Roman" w:cs="Times New Roman" w:eastAsia="Times New Roman" w:hAnsi="Times New Roman"/>
          <w:sz w:val="18"/>
          <w:szCs w:val="18"/>
          <w:color w:val="auto"/>
        </w:rPr>
        <w:t>Each AVFU provides two grow rows. Our design introduces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open-room facility design approach to maximize available cultivation floor print while offering superior risk mitigation via individual compartmentalized cultivation chambers.</w:t>
      </w:r>
    </w:p>
    <w:p>
      <w:pPr>
        <w:spacing w:after="0" w:line="103" w:lineRule="exact"/>
        <w:rPr>
          <w:rFonts w:ascii="Times New Roman" w:cs="Times New Roman" w:eastAsia="Times New Roman" w:hAnsi="Times New Roman"/>
          <w:sz w:val="18"/>
          <w:szCs w:val="18"/>
          <w:color w:val="auto"/>
        </w:rPr>
      </w:pPr>
    </w:p>
    <w:p>
      <w:pPr>
        <w:ind w:left="1320" w:right="639" w:hanging="434"/>
        <w:spacing w:after="0" w:line="259" w:lineRule="auto"/>
        <w:tabs>
          <w:tab w:leader="none" w:pos="1311"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AVFU has an environmental control unit (ECU)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519" w:hanging="434"/>
        <w:spacing w:after="0" w:line="268" w:lineRule="auto"/>
        <w:tabs>
          <w:tab w:leader="none" w:pos="1311"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AVFU is designed with proper loading to stack up to 3 units tall,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sextupling production volume over the same footprint. Each unit is designed to easily integrate with a mezzanine catwalk system.</w:t>
      </w:r>
    </w:p>
    <w:p>
      <w:pPr>
        <w:spacing w:after="0" w:line="103" w:lineRule="exact"/>
        <w:rPr>
          <w:rFonts w:ascii="Times New Roman" w:cs="Times New Roman" w:eastAsia="Times New Roman" w:hAnsi="Times New Roman"/>
          <w:sz w:val="18"/>
          <w:szCs w:val="18"/>
          <w:b w:val="1"/>
          <w:bCs w:val="1"/>
          <w:i w:val="1"/>
          <w:iCs w:val="1"/>
          <w:color w:val="auto"/>
        </w:rPr>
      </w:pPr>
    </w:p>
    <w:p>
      <w:pPr>
        <w:ind w:left="1320" w:right="519" w:hanging="434"/>
        <w:spacing w:after="0" w:line="257"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AVFU has a motorized curtain on both sides of the unit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62"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AVFU’s working area is 8 feet tall, allowing easy access to both rows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74930</wp:posOffset>
            </wp:positionV>
            <wp:extent cx="2794635" cy="3351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Stacked AVFUs</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08" w:lineRule="exact"/>
        <w:rPr>
          <w:sz w:val="20"/>
          <w:szCs w:val="20"/>
          <w:color w:val="auto"/>
        </w:rPr>
      </w:pPr>
    </w:p>
    <w:p>
      <w:pPr>
        <w:jc w:val="both"/>
        <w:ind w:left="460" w:right="539" w:firstLine="432"/>
        <w:spacing w:after="0" w:line="281" w:lineRule="auto"/>
        <w:rPr>
          <w:sz w:val="20"/>
          <w:szCs w:val="20"/>
          <w:color w:val="auto"/>
        </w:rPr>
      </w:pPr>
      <w:r>
        <w:rPr>
          <w:rFonts w:ascii="Times New Roman" w:cs="Times New Roman" w:eastAsia="Times New Roman" w:hAnsi="Times New Roman"/>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37801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51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71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205"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16" w:lineRule="exact"/>
        <w:rPr>
          <w:sz w:val="20"/>
          <w:szCs w:val="20"/>
          <w:color w:val="auto"/>
        </w:rPr>
      </w:pPr>
    </w:p>
    <w:p>
      <w:pPr>
        <w:jc w:val="both"/>
        <w:ind w:left="460" w:right="579" w:firstLine="432"/>
        <w:spacing w:after="0" w:line="257" w:lineRule="auto"/>
        <w:rPr>
          <w:sz w:val="20"/>
          <w:szCs w:val="20"/>
          <w:color w:val="auto"/>
        </w:rPr>
      </w:pPr>
      <w:r>
        <w:rPr>
          <w:rFonts w:ascii="Times New Roman" w:cs="Times New Roman" w:eastAsia="Times New Roman" w:hAnsi="Times New Roman"/>
          <w:sz w:val="18"/>
          <w:szCs w:val="18"/>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3248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601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803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205"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5143500" cy="3111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80645</wp:posOffset>
            </wp:positionV>
            <wp:extent cx="2023110" cy="2125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4-Tier Agrify Integrated Grow Rack</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21"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AVFU unit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99" w:firstLine="432"/>
        <w:spacing w:after="0" w:line="274" w:lineRule="auto"/>
        <w:rPr>
          <w:sz w:val="20"/>
          <w:szCs w:val="20"/>
          <w:color w:val="auto"/>
        </w:rPr>
      </w:pPr>
      <w:r>
        <w:rPr>
          <w:rFonts w:ascii="Times New Roman" w:cs="Times New Roman" w:eastAsia="Times New Roman" w:hAnsi="Times New Roman"/>
          <w:sz w:val="17"/>
          <w:szCs w:val="17"/>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Plant Level Optimization</w:t>
      </w:r>
    </w:p>
    <w:p>
      <w:pPr>
        <w:spacing w:after="0" w:line="16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2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Individual AVFU Level Optimization</w:t>
      </w:r>
    </w:p>
    <w:p>
      <w:pPr>
        <w:spacing w:after="0" w:line="146" w:lineRule="exact"/>
        <w:rPr>
          <w:sz w:val="20"/>
          <w:szCs w:val="20"/>
          <w:color w:val="auto"/>
        </w:rPr>
      </w:pPr>
    </w:p>
    <w:p>
      <w:pPr>
        <w:ind w:left="460" w:right="999" w:firstLine="432"/>
        <w:spacing w:after="0" w:line="312" w:lineRule="auto"/>
        <w:rPr>
          <w:sz w:val="20"/>
          <w:szCs w:val="20"/>
          <w:color w:val="auto"/>
        </w:rPr>
      </w:pPr>
      <w:r>
        <w:rPr>
          <w:rFonts w:ascii="Times New Roman" w:cs="Times New Roman" w:eastAsia="Times New Roman" w:hAnsi="Times New Roman"/>
          <w:sz w:val="17"/>
          <w:szCs w:val="17"/>
          <w:color w:val="auto"/>
        </w:rPr>
        <w:t>Our AVFU hardware provides cultivation environmental control within the growth chamber. This hardware and its component valves, motors and sensors are directed and controlled by Agrify Insights™.</w:t>
      </w:r>
    </w:p>
    <w:p>
      <w:pPr>
        <w:spacing w:after="0" w:line="68" w:lineRule="exact"/>
        <w:rPr>
          <w:sz w:val="20"/>
          <w:szCs w:val="20"/>
          <w:color w:val="auto"/>
        </w:rPr>
      </w:pPr>
    </w:p>
    <w:p>
      <w:pPr>
        <w:ind w:left="1320" w:right="679" w:hanging="434"/>
        <w:spacing w:after="0" w:line="268" w:lineRule="auto"/>
        <w:tabs>
          <w:tab w:leader="none" w:pos="13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 and Control Agrify Hardware. </w:t>
      </w:r>
      <w:r>
        <w:rPr>
          <w:rFonts w:ascii="Times New Roman" w:cs="Times New Roman" w:eastAsia="Times New Roman" w:hAnsi="Times New Roman"/>
          <w:sz w:val="18"/>
          <w:szCs w:val="18"/>
          <w:color w:val="auto"/>
        </w:rPr>
        <w:t>Agrify Insights™ can either automatically or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our hardware. For example, the water-chilled fan coil can keep temperature in a range accurate to 1.5 degrees Fahrenheit.</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54" w:lineRule="auto"/>
        <w:tabs>
          <w:tab w:leader="none" w:pos="13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146"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04" w:lineRule="exact"/>
        <w:rPr>
          <w:sz w:val="20"/>
          <w:szCs w:val="20"/>
          <w:color w:val="auto"/>
        </w:rPr>
      </w:pPr>
    </w:p>
    <w:p>
      <w:pPr>
        <w:ind w:left="1320" w:right="499" w:hanging="434"/>
        <w:spacing w:after="0" w:line="257" w:lineRule="auto"/>
        <w:tabs>
          <w:tab w:leader="none" w:pos="1311"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499" w:hanging="434"/>
        <w:spacing w:after="0" w:line="262" w:lineRule="auto"/>
        <w:tabs>
          <w:tab w:leader="none" w:pos="1311"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Workforce Management. </w:t>
      </w:r>
      <w:r>
        <w:rPr>
          <w:rFonts w:ascii="Times New Roman" w:cs="Times New Roman" w:eastAsia="Times New Roman" w:hAnsi="Times New Roman"/>
          <w:sz w:val="18"/>
          <w:szCs w:val="18"/>
          <w:color w:val="auto"/>
        </w:rPr>
        <w:t>Agrify Insights™ includes a workforce planning feature to assign tasks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08" w:lineRule="exact"/>
        <w:rPr>
          <w:rFonts w:ascii="Times New Roman" w:cs="Times New Roman" w:eastAsia="Times New Roman" w:hAnsi="Times New Roman"/>
          <w:sz w:val="18"/>
          <w:szCs w:val="18"/>
          <w:b w:val="1"/>
          <w:bCs w:val="1"/>
          <w:i w:val="1"/>
          <w:iCs w:val="1"/>
          <w:color w:val="auto"/>
        </w:rPr>
      </w:pPr>
    </w:p>
    <w:p>
      <w:pPr>
        <w:ind w:left="1320" w:right="579" w:hanging="434"/>
        <w:spacing w:after="0" w:line="262"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Automatic Notification System. </w:t>
      </w:r>
      <w:r>
        <w:rPr>
          <w:rFonts w:ascii="Times New Roman" w:cs="Times New Roman" w:eastAsia="Times New Roman" w:hAnsi="Times New Roman"/>
          <w:sz w:val="18"/>
          <w:szCs w:val="18"/>
          <w:color w:val="auto"/>
        </w:rPr>
        <w:t>Users can select to subscribe to anomalous events, and users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8" w:lineRule="exact"/>
        <w:rPr>
          <w:rFonts w:ascii="Times New Roman" w:cs="Times New Roman" w:eastAsia="Times New Roman" w:hAnsi="Times New Roman"/>
          <w:sz w:val="18"/>
          <w:szCs w:val="18"/>
          <w:color w:val="auto"/>
        </w:rPr>
      </w:pPr>
    </w:p>
    <w:p>
      <w:pPr>
        <w:ind w:left="1320" w:right="659" w:hanging="434"/>
        <w:spacing w:after="0" w:line="286"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tasks are contained, tracked and monitored within Agrify Insights™.</w:t>
      </w:r>
    </w:p>
    <w:p>
      <w:pPr>
        <w:spacing w:after="0" w:line="73" w:lineRule="exact"/>
        <w:rPr>
          <w:rFonts w:ascii="Times New Roman" w:cs="Times New Roman" w:eastAsia="Times New Roman" w:hAnsi="Times New Roman"/>
          <w:sz w:val="18"/>
          <w:szCs w:val="18"/>
          <w:color w:val="auto"/>
        </w:rPr>
      </w:pPr>
    </w:p>
    <w:p>
      <w:pPr>
        <w:ind w:left="1320" w:right="679" w:hanging="434"/>
        <w:spacing w:after="0" w:line="268"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connects with the water chilled HVAC system and ambient lighting system, providing our customers a central piece of software for facility management.</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16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04" w:lineRule="exact"/>
        <w:rPr>
          <w:sz w:val="20"/>
          <w:szCs w:val="20"/>
          <w:color w:val="auto"/>
        </w:rPr>
      </w:pPr>
    </w:p>
    <w:p>
      <w:pPr>
        <w:ind w:left="1320" w:right="559" w:hanging="434"/>
        <w:spacing w:after="0" w:line="262"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95" w:lineRule="exact"/>
        <w:rPr>
          <w:rFonts w:ascii="Times New Roman" w:cs="Times New Roman" w:eastAsia="Times New Roman" w:hAnsi="Times New Roman"/>
          <w:sz w:val="18"/>
          <w:szCs w:val="18"/>
          <w:color w:val="auto"/>
        </w:rPr>
      </w:pPr>
    </w:p>
    <w:p>
      <w:pPr>
        <w:ind w:left="1320" w:right="479" w:hanging="434"/>
        <w:spacing w:after="0" w:line="291" w:lineRule="auto"/>
        <w:tabs>
          <w:tab w:leader="none" w:pos="13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Online SOPs and Safety Datasheets. </w:t>
      </w:r>
      <w:r>
        <w:rPr>
          <w:rFonts w:ascii="Times New Roman" w:cs="Times New Roman" w:eastAsia="Times New Roman" w:hAnsi="Times New Roman"/>
          <w:sz w:val="17"/>
          <w:szCs w:val="17"/>
          <w:color w:val="auto"/>
        </w:rPr>
        <w:t>Agrify Insights™ hosts digital copies of our included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Standard Operating Procedures and datasheets, or users can upload their own via our content management system, ensuring that the most recent version of SOPs and forms are available to users.</w:t>
      </w:r>
    </w:p>
    <w:p>
      <w:pPr>
        <w:spacing w:after="0" w:line="85" w:lineRule="exact"/>
        <w:rPr>
          <w:rFonts w:ascii="Times New Roman" w:cs="Times New Roman" w:eastAsia="Times New Roman" w:hAnsi="Times New Roman"/>
          <w:sz w:val="17"/>
          <w:szCs w:val="17"/>
          <w:color w:val="auto"/>
        </w:rPr>
      </w:pPr>
    </w:p>
    <w:p>
      <w:pPr>
        <w:ind w:left="1320" w:right="579" w:hanging="434"/>
        <w:spacing w:after="0" w:line="257"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Roles-Based Dashboards. </w:t>
      </w:r>
      <w:r>
        <w:rPr>
          <w:rFonts w:ascii="Times New Roman" w:cs="Times New Roman" w:eastAsia="Times New Roman" w:hAnsi="Times New Roman"/>
          <w:sz w:val="18"/>
          <w:szCs w:val="18"/>
          <w:color w:val="auto"/>
        </w:rPr>
        <w:t>Ability to obtain access to information specifically suited to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4" w:lineRule="exact"/>
        <w:rPr>
          <w:rFonts w:ascii="Times New Roman" w:cs="Times New Roman" w:eastAsia="Times New Roman" w:hAnsi="Times New Roman"/>
          <w:sz w:val="18"/>
          <w:szCs w:val="18"/>
          <w:color w:val="auto"/>
        </w:rPr>
      </w:pPr>
    </w:p>
    <w:p>
      <w:pPr>
        <w:ind w:left="1320" w:right="459" w:hanging="434"/>
        <w:spacing w:after="0" w:line="262"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Collection. </w:t>
      </w:r>
      <w:r>
        <w:rPr>
          <w:rFonts w:ascii="Times New Roman" w:cs="Times New Roman" w:eastAsia="Times New Roman" w:hAnsi="Times New Roman"/>
          <w:sz w:val="18"/>
          <w:szCs w:val="18"/>
          <w:color w:val="auto"/>
        </w:rPr>
        <w:t>Agrify Insights™ is a centralized repository for all data relating to the cultivation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95" w:lineRule="exact"/>
        <w:rPr>
          <w:rFonts w:ascii="Times New Roman" w:cs="Times New Roman" w:eastAsia="Times New Roman" w:hAnsi="Times New Roman"/>
          <w:sz w:val="18"/>
          <w:szCs w:val="18"/>
          <w:color w:val="auto"/>
        </w:rPr>
      </w:pPr>
    </w:p>
    <w:p>
      <w:pPr>
        <w:ind w:left="1320" w:right="639" w:hanging="434"/>
        <w:spacing w:after="0" w:line="268"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commenced working to integrate Agrify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Metrc, a leading seed-to-sale integration, enabling customers to do regulatory reporting through the software. The integration is expected to be completed before the end of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Product Offerings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Bluezone Model 420 — Air Cleaning System</w:t>
      </w:r>
    </w:p>
    <w:p>
      <w:pPr>
        <w:spacing w:after="0" w:line="160"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102870</wp:posOffset>
            </wp:positionV>
            <wp:extent cx="2245995" cy="17487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Bluezone Model 420</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10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Enozo — Pesticide-Free Surface Protection</w:t>
      </w:r>
    </w:p>
    <w:p>
      <w:pPr>
        <w:spacing w:after="0" w:line="13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79375</wp:posOffset>
            </wp:positionV>
            <wp:extent cx="1200150" cy="1654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Enozo Spray Bottle</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Horticultural Lights</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Agrify-Valiant Joint Venture</w:t>
      </w:r>
    </w:p>
    <w:p>
      <w:pPr>
        <w:spacing w:after="0" w:line="14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1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8" w:lineRule="auto"/>
        <w:rPr>
          <w:sz w:val="20"/>
          <w:szCs w:val="20"/>
          <w:color w:val="auto"/>
        </w:rPr>
      </w:pPr>
      <w:r>
        <w:rPr>
          <w:rFonts w:ascii="Times New Roman" w:cs="Times New Roman" w:eastAsia="Times New Roman" w:hAnsi="Times New Roman"/>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02" w:lineRule="exact"/>
        <w:rPr>
          <w:sz w:val="20"/>
          <w:szCs w:val="20"/>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Semi-Integrated Vertical Cultivation Systems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Sprout AI</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Aeroponic Systems </w:t>
      </w:r>
      <w:r>
        <w:rPr>
          <w:rFonts w:ascii="Times New Roman" w:cs="Times New Roman" w:eastAsia="Times New Roman" w:hAnsi="Times New Roman"/>
          <w:sz w:val="18"/>
          <w:szCs w:val="18"/>
          <w:color w:val="auto"/>
        </w:rPr>
        <w:t>— AEssenceGrows and Thrive Growing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Horticultural Lighting </w:t>
      </w:r>
      <w:r>
        <w:rPr>
          <w:rFonts w:ascii="Times New Roman" w:cs="Times New Roman" w:eastAsia="Times New Roman" w:hAnsi="Times New Roman"/>
          <w:sz w:val="18"/>
          <w:szCs w:val="18"/>
          <w:color w:val="auto"/>
        </w:rPr>
        <w:t>— Gavita, Fluence, VividGro, and Heliospectra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Threat Mitigation Solutions </w:t>
      </w:r>
      <w:r>
        <w:rPr>
          <w:rFonts w:ascii="Times New Roman" w:cs="Times New Roman" w:eastAsia="Times New Roman" w:hAnsi="Times New Roman"/>
          <w:sz w:val="18"/>
          <w:szCs w:val="18"/>
          <w:color w:val="auto"/>
        </w:rPr>
        <w:t>— Element Air and Tersano</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Monitoring Software </w:t>
      </w:r>
      <w:r>
        <w:rPr>
          <w:rFonts w:ascii="Times New Roman" w:cs="Times New Roman" w:eastAsia="Times New Roman" w:hAnsi="Times New Roman"/>
          <w:sz w:val="18"/>
          <w:szCs w:val="18"/>
          <w:color w:val="auto"/>
        </w:rPr>
        <w:t>— Grownetics and Trym</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Cultivation Software </w:t>
      </w:r>
      <w:r>
        <w:rPr>
          <w:rFonts w:ascii="Times New Roman" w:cs="Times New Roman" w:eastAsia="Times New Roman" w:hAnsi="Times New Roman"/>
          <w:sz w:val="18"/>
          <w:szCs w:val="18"/>
          <w:color w:val="auto"/>
        </w:rPr>
        <w:t>— Quantum Leaf and Flourish</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Cultivation Racking Systems </w:t>
      </w:r>
      <w:r>
        <w:rPr>
          <w:rFonts w:ascii="Times New Roman" w:cs="Times New Roman" w:eastAsia="Times New Roman" w:hAnsi="Times New Roman"/>
          <w:sz w:val="18"/>
          <w:szCs w:val="18"/>
          <w:color w:val="auto"/>
        </w:rPr>
        <w:t>— Pipp Horticulture and Montel</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0"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Rigorous Sales Process and Strong Infrastructure in Place to Enable Revenue Growth</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1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2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Marketing Team Aligned with Sales Force to Maximize Our Industry Visibility to Drive Revenue</w:t>
      </w:r>
    </w:p>
    <w:p>
      <w:pPr>
        <w:spacing w:after="0" w:line="146"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0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Direct Marketing</w:t>
      </w:r>
    </w:p>
    <w:p>
      <w:pPr>
        <w:spacing w:after="0" w:line="160" w:lineRule="exact"/>
        <w:rPr>
          <w:sz w:val="20"/>
          <w:szCs w:val="20"/>
          <w:color w:val="auto"/>
        </w:rPr>
      </w:pPr>
    </w:p>
    <w:p>
      <w:pPr>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Social Media and Thought Leadership</w:t>
      </w:r>
    </w:p>
    <w:p>
      <w:pPr>
        <w:spacing w:after="0" w:line="14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 Shows</w:t>
      </w:r>
    </w:p>
    <w:p>
      <w:pPr>
        <w:spacing w:after="0" w:line="14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3857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Paid Advertising</w:t>
      </w:r>
    </w:p>
    <w:p>
      <w:pPr>
        <w:spacing w:after="0" w:line="146" w:lineRule="exact"/>
        <w:rPr>
          <w:sz w:val="20"/>
          <w:szCs w:val="20"/>
          <w:color w:val="auto"/>
        </w:rPr>
      </w:pPr>
    </w:p>
    <w:p>
      <w:pPr>
        <w:ind w:left="460" w:right="639" w:firstLine="432"/>
        <w:spacing w:after="0" w:line="277" w:lineRule="auto"/>
        <w:rPr>
          <w:sz w:val="20"/>
          <w:szCs w:val="20"/>
          <w:color w:val="auto"/>
        </w:rPr>
      </w:pPr>
      <w:r>
        <w:rPr>
          <w:rFonts w:ascii="Times New Roman" w:cs="Times New Roman" w:eastAsia="Times New Roman" w:hAnsi="Times New Roman"/>
          <w:sz w:val="17"/>
          <w:szCs w:val="17"/>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Public Relations Campaigns</w:t>
      </w:r>
    </w:p>
    <w:p>
      <w:pPr>
        <w:spacing w:after="0" w:line="16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12"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108" w:lineRule="exact"/>
        <w:rPr>
          <w:sz w:val="20"/>
          <w:szCs w:val="20"/>
          <w:color w:val="auto"/>
        </w:rPr>
      </w:pPr>
    </w:p>
    <w:p>
      <w:pPr>
        <w:ind w:left="460" w:right="699" w:firstLine="432"/>
        <w:spacing w:after="0" w:line="256" w:lineRule="auto"/>
        <w:rPr>
          <w:sz w:val="20"/>
          <w:szCs w:val="20"/>
          <w:color w:val="auto"/>
        </w:rPr>
      </w:pPr>
      <w:r>
        <w:rPr>
          <w:rFonts w:ascii="Times New Roman" w:cs="Times New Roman" w:eastAsia="Times New Roman" w:hAnsi="Times New Roman"/>
          <w:sz w:val="18"/>
          <w:szCs w:val="18"/>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Scale-Up Manufacturing Capabilities in Order to Meet the Increasing Demand for Our Grow Solutions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16"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27"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supply agreement with Mack provides us with several key benefits, including:</w:t>
      </w:r>
    </w:p>
    <w:p>
      <w:pPr>
        <w:spacing w:after="0" w:line="156" w:lineRule="exact"/>
        <w:rPr>
          <w:sz w:val="20"/>
          <w:szCs w:val="20"/>
          <w:color w:val="auto"/>
        </w:rPr>
      </w:pPr>
    </w:p>
    <w:p>
      <w:pPr>
        <w:ind w:left="1320" w:right="779" w:hanging="434"/>
        <w:spacing w:after="0" w:line="267"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Scaling: </w:t>
      </w:r>
      <w:r>
        <w:rPr>
          <w:rFonts w:ascii="Times New Roman" w:cs="Times New Roman" w:eastAsia="Times New Roman" w:hAnsi="Times New Roman"/>
          <w:sz w:val="18"/>
          <w:szCs w:val="18"/>
          <w:color w:val="auto"/>
        </w:rPr>
        <w:t>We can scale to customer orders, as Mack has agreed to maintain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stock of AVFUs in inventory and allow us to store additional inventory pending customer deliveries; and</w:t>
      </w:r>
    </w:p>
    <w:p>
      <w:pPr>
        <w:spacing w:after="0" w:line="105" w:lineRule="exact"/>
        <w:rPr>
          <w:rFonts w:ascii="Times New Roman" w:cs="Times New Roman" w:eastAsia="Times New Roman" w:hAnsi="Times New Roman"/>
          <w:sz w:val="18"/>
          <w:szCs w:val="18"/>
          <w:color w:val="auto"/>
        </w:rPr>
      </w:pPr>
    </w:p>
    <w:p>
      <w:pPr>
        <w:ind w:left="1320" w:right="699" w:hanging="434"/>
        <w:spacing w:after="0" w:line="281" w:lineRule="auto"/>
        <w:tabs>
          <w:tab w:leader="none" w:pos="1311"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Long-Term Efficiencies: </w:t>
      </w:r>
      <w:r>
        <w:rPr>
          <w:rFonts w:ascii="Times New Roman" w:cs="Times New Roman" w:eastAsia="Times New Roman" w:hAnsi="Times New Roman"/>
          <w:sz w:val="17"/>
          <w:szCs w:val="17"/>
          <w:color w:val="auto"/>
        </w:rPr>
        <w:t>Under a strategic partner governance structure, we intend to meet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ectPr>
          <w:pgSz w:w="11900" w:h="16838" w:orient="portrait"/>
          <w:cols w:equalWidth="0" w:num="1">
            <w:col w:w="9019"/>
          </w:cols>
          <w:pgMar w:left="1440" w:top="270"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this key strategic relationship with Mack will grow with our continued and expanding need for additional AVFUs.</w:t>
      </w:r>
    </w:p>
    <w:p>
      <w:pPr>
        <w:spacing w:after="0" w:line="94" w:lineRule="exact"/>
        <w:rPr>
          <w:sz w:val="20"/>
          <w:szCs w:val="20"/>
          <w:color w:val="auto"/>
        </w:rPr>
      </w:pPr>
    </w:p>
    <w:p>
      <w:pPr>
        <w:jc w:val="both"/>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6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filed United States provisional patent application 62/830,770 on April 8, 2019 titled “Device for Light Limiting Current” that serves as the priority document for our April 6, 2020 filing of PCT application PCT/US2020/026878 and for our April 6, 2020 filing of U.S. non-provisional application no. 16/841,177. This application is directed to, among other things, a current limiting device coupled with a light emitting diode driver.</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Trademarks and Copyrights</w:t>
      </w:r>
    </w:p>
    <w:p>
      <w:pPr>
        <w:spacing w:after="0" w:line="133"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99"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85" w:lineRule="exact"/>
        <w:rPr>
          <w:sz w:val="20"/>
          <w:szCs w:val="20"/>
          <w:color w:val="auto"/>
        </w:rPr>
      </w:pPr>
    </w:p>
    <w:p>
      <w:pPr>
        <w:ind w:left="460" w:right="89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89" w:lineRule="exact"/>
        <w:rPr>
          <w:sz w:val="20"/>
          <w:szCs w:val="20"/>
          <w:color w:val="auto"/>
        </w:rPr>
      </w:pPr>
    </w:p>
    <w:p>
      <w:pPr>
        <w:ind w:left="460" w:right="819" w:firstLine="432"/>
        <w:spacing w:after="0" w:line="258" w:lineRule="auto"/>
        <w:rPr>
          <w:sz w:val="20"/>
          <w:szCs w:val="20"/>
          <w:color w:val="auto"/>
        </w:rPr>
      </w:pPr>
      <w:r>
        <w:rPr>
          <w:rFonts w:ascii="Times New Roman" w:cs="Times New Roman" w:eastAsia="Times New Roman" w:hAnsi="Times New Roman"/>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Employees and Human Capital Resources</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3"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We do not believe these claims have any merit and intend to vigorously defend against these claims (see note 17, Commitments and Contingencies, to our unaudited condensed consolidated financial statements as of September 30,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35"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85"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key employees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Niv Krikov</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Guichao 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460" w:right="499"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Chang. </w:t>
      </w:r>
      <w:r>
        <w:rPr>
          <w:rFonts w:ascii="Times New Roman" w:cs="Times New Roman" w:eastAsia="Times New Roman" w:hAnsi="Times New Roman"/>
          <w:sz w:val="18"/>
          <w:szCs w:val="18"/>
          <w:color w:val="auto"/>
        </w:rPr>
        <w:t>Mr. Chang has served as our president, chief executive officer and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3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Niv Krikov. </w:t>
      </w:r>
      <w:r>
        <w:rPr>
          <w:rFonts w:ascii="Times New Roman" w:cs="Times New Roman" w:eastAsia="Times New Roman" w:hAnsi="Times New Roman"/>
          <w:sz w:val="18"/>
          <w:szCs w:val="18"/>
          <w:color w:val="auto"/>
        </w:rPr>
        <w:t>Mr. Krikov has served as our chief financial officer since January 20,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09"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Robert Harrison</w:t>
      </w:r>
      <w:r>
        <w:rPr>
          <w:rFonts w:ascii="Times New Roman" w:cs="Times New Roman" w:eastAsia="Times New Roman" w:hAnsi="Times New Roman"/>
          <w:sz w:val="18"/>
          <w:szCs w:val="18"/>
          <w:color w:val="auto"/>
        </w:rPr>
        <w:t>. Mr. Harrison has served as our chief operating officer since July 21,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999"/>
        <w:spacing w:after="0" w:line="266" w:lineRule="auto"/>
        <w:rPr>
          <w:sz w:val="20"/>
          <w:szCs w:val="20"/>
          <w:color w:val="auto"/>
        </w:rPr>
      </w:pPr>
      <w:r>
        <w:rPr>
          <w:rFonts w:ascii="Times New Roman" w:cs="Times New Roman" w:eastAsia="Times New Roman" w:hAnsi="Times New Roman"/>
          <w:sz w:val="18"/>
          <w:szCs w:val="18"/>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104"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Guichao Hua. </w:t>
      </w:r>
      <w:r>
        <w:rPr>
          <w:rFonts w:ascii="Times New Roman" w:cs="Times New Roman" w:eastAsia="Times New Roman" w:hAnsi="Times New Roman"/>
          <w:sz w:val="18"/>
          <w:szCs w:val="18"/>
          <w:color w:val="auto"/>
        </w:rPr>
        <w:t>Mr. Hua has served as a member of our board of directors since June 15, 2019. Mr. Hua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1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Thomas Massie</w:t>
      </w:r>
      <w:r>
        <w:rPr>
          <w:rFonts w:ascii="Times New Roman" w:cs="Times New Roman" w:eastAsia="Times New Roman" w:hAnsi="Times New Roman"/>
          <w:sz w:val="18"/>
          <w:szCs w:val="18"/>
          <w:color w:val="auto"/>
        </w:rPr>
        <w:t>. Mr. Massie has served as a member of our board of directors since June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10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Krishnan Varier. </w:t>
      </w:r>
      <w:r>
        <w:rPr>
          <w:rFonts w:ascii="Times New Roman" w:cs="Times New Roman" w:eastAsia="Times New Roman" w:hAnsi="Times New Roman"/>
          <w:sz w:val="18"/>
          <w:szCs w:val="18"/>
          <w:color w:val="auto"/>
        </w:rPr>
        <w:t>Mr. Varier has served as a member of our board of directors since June 24,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27"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Mahoney. </w:t>
      </w:r>
      <w:r>
        <w:rPr>
          <w:rFonts w:ascii="Times New Roman" w:cs="Times New Roman" w:eastAsia="Times New Roman" w:hAnsi="Times New Roman"/>
          <w:sz w:val="18"/>
          <w:szCs w:val="18"/>
          <w:color w:val="auto"/>
        </w:rPr>
        <w:t>Mr. Mahoney has served as a member of our board of directors since December 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23"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Oakes. </w:t>
      </w:r>
      <w:r>
        <w:rPr>
          <w:rFonts w:ascii="Times New Roman" w:cs="Times New Roman" w:eastAsia="Times New Roman" w:hAnsi="Times New Roman"/>
          <w:sz w:val="18"/>
          <w:szCs w:val="18"/>
          <w:color w:val="auto"/>
        </w:rPr>
        <w:t>Mr. Oakes has served as a member of our board of directors since December 17,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20" w:lineRule="exact"/>
        <w:rPr>
          <w:sz w:val="20"/>
          <w:szCs w:val="20"/>
          <w:color w:val="auto"/>
        </w:rPr>
      </w:pPr>
    </w:p>
    <w:p>
      <w:pPr>
        <w:ind w:left="460" w:right="719" w:firstLine="43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S. Kressy. </w:t>
      </w:r>
      <w:r>
        <w:rPr>
          <w:rFonts w:ascii="Times New Roman" w:cs="Times New Roman" w:eastAsia="Times New Roman" w:hAnsi="Times New Roman"/>
          <w:sz w:val="18"/>
          <w:szCs w:val="18"/>
          <w:color w:val="auto"/>
        </w:rPr>
        <w:t>Mr. Kressy has served as a member of our board of directors since December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Since 2015, Mr. Kressy has served as senior lecturer and founding director of the MIT Integrated</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80" w:lineRule="exact"/>
        <w:rPr>
          <w:rFonts w:ascii="Times New Roman" w:cs="Times New Roman" w:eastAsia="Times New Roman" w:hAnsi="Times New Roman"/>
          <w:sz w:val="18"/>
          <w:szCs w:val="18"/>
          <w:color w:val="auto"/>
        </w:rPr>
      </w:pPr>
    </w:p>
    <w:p>
      <w:pPr>
        <w:ind w:left="1320" w:right="117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80"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9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directors and executive officers;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Thomas Massie, Timothy Mahoney and Timothy Oakes, with Mr. Mahoney serving as the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6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83"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8"/>
                <w:szCs w:val="18"/>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4"/>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Raymond Chang</w:t>
            </w: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w:t>
            </w:r>
            <w:r>
              <w:rPr>
                <w:rFonts w:ascii="Times New Roman" w:cs="Times New Roman" w:eastAsia="Times New Roman" w:hAnsi="Times New Roman"/>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433,351</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13,848</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Matthew Liotta</w:t>
            </w:r>
            <w:r>
              <w:rPr>
                <w:rFonts w:ascii="Times New Roman" w:cs="Times New Roman" w:eastAsia="Times New Roman" w:hAnsi="Times New Roman"/>
                <w:sz w:val="16"/>
                <w:szCs w:val="16"/>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161,774</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34,472</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287,010</w:t>
            </w:r>
          </w:p>
        </w:tc>
        <w:tc>
          <w:tcPr>
            <w:tcW w:w="0" w:type="dxa"/>
            <w:vAlign w:val="bottom"/>
          </w:tcPr>
          <w:p>
            <w:pPr>
              <w:spacing w:after="0"/>
              <w:rPr>
                <w:sz w:val="1"/>
                <w:szCs w:val="1"/>
                <w:color w:val="auto"/>
              </w:rPr>
            </w:pPr>
          </w:p>
        </w:tc>
      </w:tr>
      <w:tr>
        <w:trPr>
          <w:trHeight w:val="205"/>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Former Chief</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140,514</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244,067</w:t>
            </w:r>
          </w:p>
        </w:tc>
        <w:tc>
          <w:tcPr>
            <w:tcW w:w="0" w:type="dxa"/>
            <w:vAlign w:val="bottom"/>
          </w:tcPr>
          <w:p>
            <w:pPr>
              <w:spacing w:after="0"/>
              <w:rPr>
                <w:sz w:val="1"/>
                <w:szCs w:val="1"/>
                <w:color w:val="auto"/>
              </w:rPr>
            </w:pPr>
          </w:p>
        </w:tc>
      </w:tr>
      <w:tr>
        <w:trPr>
          <w:trHeight w:val="27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6"/>
              </w:rPr>
              <w:t>Technology Officer</w:t>
            </w:r>
            <w:r>
              <w:rPr>
                <w:rFonts w:ascii="Times New Roman" w:cs="Times New Roman" w:eastAsia="Times New Roman" w:hAnsi="Times New Roman"/>
                <w:sz w:val="21"/>
                <w:szCs w:val="21"/>
                <w:color w:val="auto"/>
                <w:w w:val="96"/>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Niv Krikov</w:t>
            </w: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31,599</w:t>
            </w:r>
            <w:r>
              <w:rPr>
                <w:rFonts w:ascii="Times New Roman" w:cs="Times New Roman" w:eastAsia="Times New Roman" w:hAnsi="Times New Roman"/>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206,087</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Financial Officer</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1"/>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94,112</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24,418</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134,173</w:t>
            </w:r>
          </w:p>
        </w:tc>
        <w:tc>
          <w:tcPr>
            <w:tcW w:w="0" w:type="dxa"/>
            <w:vAlign w:val="bottom"/>
          </w:tcPr>
          <w:p>
            <w:pPr>
              <w:spacing w:after="0"/>
              <w:rPr>
                <w:sz w:val="1"/>
                <w:szCs w:val="1"/>
                <w:color w:val="auto"/>
              </w:rPr>
            </w:pPr>
          </w:p>
        </w:tc>
      </w:tr>
      <w:tr>
        <w:trPr>
          <w:trHeight w:val="212"/>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Chief Operating Officer</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919" w:hanging="426"/>
        <w:spacing w:after="0" w:line="267"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 of health plan premiums as per our policy.</w:t>
      </w:r>
    </w:p>
    <w:p>
      <w:pPr>
        <w:spacing w:after="0" w:line="18" w:lineRule="exact"/>
        <w:rPr>
          <w:rFonts w:ascii="Times New Roman" w:cs="Times New Roman" w:eastAsia="Times New Roman" w:hAnsi="Times New Roman"/>
          <w:sz w:val="16"/>
          <w:szCs w:val="16"/>
          <w:color w:val="auto"/>
        </w:rPr>
      </w:pPr>
    </w:p>
    <w:p>
      <w:pPr>
        <w:ind w:left="880" w:right="539" w:hanging="426"/>
        <w:spacing w:after="0" w:line="264"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ind w:left="880" w:hanging="42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 of health plan premiums as per our policy.</w:t>
      </w:r>
    </w:p>
    <w:p>
      <w:pPr>
        <w:spacing w:after="0" w:line="18" w:lineRule="exact"/>
        <w:rPr>
          <w:rFonts w:ascii="Times New Roman" w:cs="Times New Roman" w:eastAsia="Times New Roman" w:hAnsi="Times New Roman"/>
          <w:sz w:val="16"/>
          <w:szCs w:val="16"/>
          <w:color w:val="auto"/>
        </w:rPr>
      </w:pPr>
    </w:p>
    <w:p>
      <w:pPr>
        <w:jc w:val="both"/>
        <w:ind w:left="880" w:right="519" w:hanging="426"/>
        <w:spacing w:after="0" w:line="276"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Raymond Chang</w:t>
      </w:r>
    </w:p>
    <w:p>
      <w:pPr>
        <w:spacing w:after="0" w:line="14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2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Niv Krikov</w:t>
      </w:r>
    </w:p>
    <w:p>
      <w:pPr>
        <w:spacing w:after="0" w:line="16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Former Chief Technology Officer</w:t>
      </w:r>
    </w:p>
    <w:p>
      <w:pPr>
        <w:spacing w:after="0" w:line="160"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that Have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2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24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Raymond</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243,909</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93,806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ind w:left="58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May 6, 2030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ind w:left="5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Chang</w:t>
            </w:r>
            <w:r>
              <w:rPr>
                <w:rFonts w:ascii="Times New Roman" w:cs="Times New Roman" w:eastAsia="Times New Roman" w:hAnsi="Times New Roman"/>
                <w:sz w:val="21"/>
                <w:szCs w:val="21"/>
                <w:b w:val="1"/>
                <w:bCs w:val="1"/>
                <w:color w:val="auto"/>
                <w:vertAlign w:val="superscript"/>
              </w:rPr>
              <w:t>(1)</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7,134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132,412</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132,411</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Niv Krikov</w:t>
            </w:r>
            <w:r>
              <w:rPr>
                <w:rFonts w:ascii="Times New Roman" w:cs="Times New Roman" w:eastAsia="Times New Roman" w:hAnsi="Times New Roman"/>
                <w:sz w:val="21"/>
                <w:szCs w:val="21"/>
                <w:b w:val="1"/>
                <w:bCs w:val="1"/>
                <w:color w:val="auto"/>
                <w:vertAlign w:val="superscript"/>
              </w:rPr>
              <w:t>(2)</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73,705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73,705</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6, 2030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11,641</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11,641</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68,856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68,855</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Robert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6, 2030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Harrison</w:t>
            </w:r>
            <w:r>
              <w:rPr>
                <w:rFonts w:ascii="Times New Roman" w:cs="Times New Roman" w:eastAsia="Times New Roman" w:hAnsi="Times New Roman"/>
                <w:sz w:val="21"/>
                <w:szCs w:val="21"/>
                <w:b w:val="1"/>
                <w:bCs w:val="1"/>
                <w:color w:val="auto"/>
                <w:vertAlign w:val="superscript"/>
              </w:rPr>
              <w:t>(3)</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35,972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35,972</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34,428</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Matthew</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Liotta</w:t>
            </w:r>
            <w:r>
              <w:rPr>
                <w:rFonts w:ascii="Times New Roman" w:cs="Times New Roman" w:eastAsia="Times New Roman" w:hAnsi="Times New Roman"/>
                <w:sz w:val="21"/>
                <w:szCs w:val="21"/>
                <w:b w:val="1"/>
                <w:bCs w:val="1"/>
                <w:color w:val="auto"/>
                <w:vertAlign w:val="superscript"/>
              </w:rPr>
              <w:t>(4)</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4"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9, 2019, Mr. Chang was granted options to purchase 150,103 shares of our common stock under our 2019 Stock Option Plan (the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the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9" w:lineRule="exact"/>
        <w:rPr>
          <w:rFonts w:ascii="Times New Roman" w:cs="Times New Roman" w:eastAsia="Times New Roman" w:hAnsi="Times New Roman"/>
          <w:sz w:val="16"/>
          <w:szCs w:val="16"/>
          <w:color w:val="auto"/>
        </w:rPr>
      </w:pPr>
    </w:p>
    <w:p>
      <w:pPr>
        <w:ind w:left="880" w:right="579" w:hanging="426"/>
        <w:spacing w:after="0" w:line="264"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2020, Mr. Krikov was granted stock options to purchase 147,410 shares of common stock under the 2019 Plan at an exercise price per share of $2.28 and expiring 10 years from the date of grant. 25% of the options vest 12 months following issuance and the balance vests in 36 equal monthly installments thereafter. On July 20, 2020, Mr.</w:t>
      </w:r>
    </w:p>
    <w:p>
      <w:pPr>
        <w:ind w:left="880" w:right="539"/>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Krikov was granted stock options to purchase 23,282 shares of common stock under the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0" w:right="1440" w:bottom="231"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31" w:gutter="0" w:footer="0" w:header="0"/>
          <w:type w:val="continuous"/>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479" w:hanging="426"/>
        <w:spacing w:after="0" w:line="266"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2020, Mr. Harrison was granted stock options to purchase 13,401 shares of common stock under the 2019 Plan at an exercise price per share of $2.28. 25% of the options vest 12 months following issuance and the balance vests in 36 equal monthly installments thereafter. On July 20, 2020, Mr. Harrison was granted stock options to purchase 71,944 shares of common stock under the 2019 Plan at an exercise price per share of $2.28. 25% of the options vest 12 months following issuance and the balance vests in 36 equal monthly installments thereafter. On October 19, 2020, Mr. Harrison was granted stock options to purchase 68,856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82" w:lineRule="exact"/>
        <w:rPr>
          <w:rFonts w:ascii="Times New Roman" w:cs="Times New Roman" w:eastAsia="Times New Roman" w:hAnsi="Times New Roman"/>
          <w:sz w:val="16"/>
          <w:szCs w:val="16"/>
          <w:color w:val="auto"/>
        </w:rPr>
      </w:pPr>
    </w:p>
    <w:p>
      <w:pPr>
        <w:ind w:left="880" w:right="539" w:hanging="426"/>
        <w:spacing w:after="0" w:line="266"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26, 2019, Mr. Liotta was granted options to purchase 75,054 shares of our common stock under the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the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 On February 2, 2021, Mr. Liotta exercised options to purchase 135,358 shares of common stock. As of the date of this prospectus, Mr. Liotta does not hold any stock options.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2" w:lineRule="exact"/>
        <w:rPr>
          <w:sz w:val="20"/>
          <w:szCs w:val="20"/>
          <w:color w:val="auto"/>
        </w:rPr>
      </w:pPr>
    </w:p>
    <w:p>
      <w:pPr>
        <w:ind w:left="460" w:right="579" w:firstLine="432"/>
        <w:spacing w:after="0" w:line="252" w:lineRule="auto"/>
        <w:rPr>
          <w:sz w:val="20"/>
          <w:szCs w:val="20"/>
          <w:color w:val="auto"/>
        </w:rPr>
      </w:pPr>
      <w:r>
        <w:rPr>
          <w:rFonts w:ascii="Times New Roman" w:cs="Times New Roman" w:eastAsia="Times New Roman" w:hAnsi="Times New Roman"/>
          <w:sz w:val="18"/>
          <w:szCs w:val="18"/>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4"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Hua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Mahoney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Oakes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6"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On December 21, 2020, Mr. Kressy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6"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adopted and approved the 2019 Stock Option Plan (the “2019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Prior to the consummation of our IPO, we cancelled the 2019 Plan and converted these stock options to the 2020 Plan, as more fully described below. Under the 2019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11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2020 Plan is administered by the board, and upon consummation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18"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 The 2020 Plan provides for the grant of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1,516,519 shares, plus any reserved shares of common stock not issued or subject to outstanding awards granted under the 2019 Plan. As of the date of this prospectus, we have granted an aggregate of 2,842,990 options to various officers, directors, employees and consultants under the 2020 Plan.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133"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9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2020 Plan provides for either “incentive stock options” (“ISOs”), which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2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SAR entitles the participant, upon exercise, to receive an amount,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 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76" w:lineRule="auto"/>
        <w:rPr>
          <w:sz w:val="20"/>
          <w:szCs w:val="20"/>
          <w:color w:val="auto"/>
        </w:rPr>
      </w:pPr>
      <w:r>
        <w:rPr>
          <w:rFonts w:ascii="Times New Roman" w:cs="Times New Roman" w:eastAsia="Times New Roman" w:hAnsi="Times New Roman"/>
          <w:sz w:val="17"/>
          <w:szCs w:val="17"/>
          <w:color w:val="auto"/>
        </w:rPr>
        <w:t>upon termination or exercise of the related stock option (likewise, the common stock option granted in tandem with a SAR terminates upon exercise of the SAR); (iii) is transferable only with the related stock option; and</w:t>
      </w:r>
    </w:p>
    <w:p>
      <w:pPr>
        <w:spacing w:after="0" w:line="1" w:lineRule="exact"/>
        <w:rPr>
          <w:sz w:val="20"/>
          <w:szCs w:val="20"/>
          <w:color w:val="auto"/>
        </w:rPr>
      </w:pPr>
    </w:p>
    <w:p>
      <w:pPr>
        <w:jc w:val="both"/>
        <w:ind w:left="460" w:right="499" w:hanging="6"/>
        <w:spacing w:after="0" w:line="255" w:lineRule="auto"/>
        <w:tabs>
          <w:tab w:leader="none" w:pos="7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16" w:lineRule="exact"/>
        <w:rPr>
          <w:sz w:val="20"/>
          <w:szCs w:val="20"/>
          <w:color w:val="auto"/>
        </w:rPr>
      </w:pPr>
    </w:p>
    <w:p>
      <w:pPr>
        <w:ind w:left="460" w:right="499"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Performance Shares and Performance Unit Awards</w:t>
      </w:r>
      <w:r>
        <w:rPr>
          <w:rFonts w:ascii="Times New Roman" w:cs="Times New Roman" w:eastAsia="Times New Roman" w:hAnsi="Times New Roman"/>
          <w:sz w:val="17"/>
          <w:szCs w:val="17"/>
          <w:color w:val="auto"/>
        </w:rPr>
        <w:t>. Performance share and performance unit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day of the third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7"/>
          <w:szCs w:val="17"/>
          <w:color w:val="auto"/>
        </w:rPr>
        <w:t>) calendar month next following the end of the Company’s fiscal year to which such performance goals and objectives relate, unless otherwise structured to comply with Code Section 409A.</w:t>
      </w:r>
    </w:p>
    <w:p>
      <w:pPr>
        <w:spacing w:after="0" w:line="111"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Distribution Equivalent Right Awards</w:t>
      </w:r>
      <w:r>
        <w:rPr>
          <w:rFonts w:ascii="Times New Roman" w:cs="Times New Roman" w:eastAsia="Times New Roman" w:hAnsi="Times New Roman"/>
          <w:sz w:val="18"/>
          <w:szCs w:val="18"/>
          <w:color w:val="auto"/>
        </w:rPr>
        <w:t>. A distribution equivalent right award entitles the participant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1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restricted stock award is a grant or sale of common stock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22" w:lineRule="exact"/>
        <w:rPr>
          <w:sz w:val="20"/>
          <w:szCs w:val="20"/>
          <w:color w:val="auto"/>
        </w:rPr>
      </w:pPr>
    </w:p>
    <w:p>
      <w:pPr>
        <w:ind w:left="460" w:right="519" w:firstLine="432"/>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 restricted stock unit award provides for a grant of shares or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An unrestricted stock award is a grant or sale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Change-in-Control Provisions</w:t>
      </w:r>
      <w:r>
        <w:rPr>
          <w:rFonts w:ascii="Times New Roman" w:cs="Times New Roman" w:eastAsia="Times New Roman" w:hAnsi="Times New Roman"/>
          <w:sz w:val="18"/>
          <w:szCs w:val="18"/>
          <w:color w:val="auto"/>
        </w:rPr>
        <w:t>. The compensation committee may, in its sole discretion, at the time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2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compensation committee may adopt, amend and rescind rules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16" w:lineRule="exact"/>
        <w:rPr>
          <w:sz w:val="20"/>
          <w:szCs w:val="20"/>
          <w:color w:val="auto"/>
        </w:rPr>
      </w:pPr>
    </w:p>
    <w:p>
      <w:pPr>
        <w:ind w:left="1300" w:hanging="41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and Warrant Purchase Agreement with NXT3J Capital, LLC</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and our articles of incorporation and bylaws require us to indemnify our directors and officers to the fullest extent permitted by Nevada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6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68" w:lineRule="exact"/>
        <w:rPr>
          <w:sz w:val="20"/>
          <w:szCs w:val="20"/>
          <w:color w:val="auto"/>
        </w:rPr>
      </w:pPr>
    </w:p>
    <w:p>
      <w:pPr>
        <w:ind w:left="1320" w:right="739" w:hanging="434"/>
        <w:spacing w:after="0" w:line="282" w:lineRule="auto"/>
        <w:tabs>
          <w:tab w:leader="none" w:pos="13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own beneficially more than 5% of our common stock;</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24"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calculations of beneficial ownership in this table are based on (i) 13,666,013 shares of common stock outstanding prior to the offering and (ii) 17,461,560 shares of common stock outstanding following the closing of the offering.</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Total</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Voting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Power Prior 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 This</w:t>
            </w:r>
          </w:p>
        </w:tc>
      </w:tr>
      <w:tr>
        <w:trPr>
          <w:trHeight w:val="255"/>
        </w:trPr>
        <w:tc>
          <w:tcPr>
            <w:tcW w:w="4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r>
      <w:tr>
        <w:trPr>
          <w:trHeight w:val="200"/>
        </w:trPr>
        <w:tc>
          <w:tcPr>
            <w:tcW w:w="434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Officers and Directors: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1,385,108</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83"/>
        </w:trPr>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700,669</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84"/>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41,120</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154,201</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41,120</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Matthew S. Kressy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111,254</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Niv Krikov</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328,996</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43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2,825,715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8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5% shareholders: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 Chen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1,052,207</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84"/>
        </w:trPr>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Jesan Capital Company Limited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786,856</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Dennis Liotta</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869,769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599" w:hanging="426"/>
        <w:spacing w:after="0" w:line="264"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address of such individual is c/o Agrify Corporation, 101 Middlesex Turnpike, Suite 6, PMB 326, Burlington, MA 01803.</w:t>
      </w:r>
    </w:p>
    <w:p>
      <w:pPr>
        <w:ind w:left="880" w:right="499" w:hanging="426"/>
        <w:spacing w:after="0" w:line="264"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616,805 shares of common stock, (ii) 471,727 shares of common stock held by RTC3 2020 Irrevocable Family Trust, of which Mr. Chang retains the authority to remove the independent trustee,</w:t>
      </w:r>
    </w:p>
    <w:p>
      <w:pPr>
        <w:ind w:left="880" w:right="57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(iii) 129,548 shares of common stock held by NXT3J Capital, LLC, an entity controlled by Mr. Chang, (iv) warrants to purchase 126,438 shares of common stock associated with our 2020 convertible promissory notes held by RTC3 2020 Irrevocable Family Trust (of which 63,219 was transferred from NXT3J Capital, LLC to RTC3 2020 Irrevocable Family Trust), and (v) options to purchase 40,590 shares of common stock held by Mr. Chang’s son.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459" w:hanging="426"/>
        <w:spacing w:after="0" w:line="260"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116,913 shares of common stock, (ii) 542,636 shares of common stock held by Inventronics, of which Mr. Hua shares voting and dispositive control, and (iii) options to purchase 41,120 shares of common stock.</w:t>
      </w:r>
    </w:p>
    <w:p>
      <w:pPr>
        <w:ind w:left="880" w:hanging="42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underlying options.</w:t>
      </w:r>
    </w:p>
    <w:p>
      <w:pPr>
        <w:spacing w:after="0" w:line="18" w:lineRule="exact"/>
        <w:rPr>
          <w:rFonts w:ascii="Times New Roman" w:cs="Times New Roman" w:eastAsia="Times New Roman" w:hAnsi="Times New Roman"/>
          <w:sz w:val="16"/>
          <w:szCs w:val="16"/>
          <w:color w:val="auto"/>
        </w:rPr>
      </w:pPr>
    </w:p>
    <w:p>
      <w:pPr>
        <w:ind w:left="880" w:right="679" w:hanging="426"/>
        <w:spacing w:after="0" w:line="264"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20,593 shares of common stock held by an immediate family member of Mr. Massie and (ii) options to purchase 90,661 shares of common stock.</w:t>
      </w:r>
    </w:p>
    <w:p>
      <w:pPr>
        <w:ind w:left="880" w:hanging="42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20,593 shares of common stock and (ii) options to purchase 308,403 shares of common stock.</w:t>
      </w:r>
    </w:p>
    <w:p>
      <w:pPr>
        <w:spacing w:after="0" w:line="18" w:lineRule="exact"/>
        <w:rPr>
          <w:rFonts w:ascii="Times New Roman" w:cs="Times New Roman" w:eastAsia="Times New Roman" w:hAnsi="Times New Roman"/>
          <w:sz w:val="16"/>
          <w:szCs w:val="16"/>
          <w:color w:val="auto"/>
        </w:rPr>
      </w:pPr>
    </w:p>
    <w:p>
      <w:pPr>
        <w:ind w:left="880" w:right="599" w:hanging="426"/>
        <w:spacing w:after="0" w:line="264"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818,383 shares of common stock and (ii) 233,824 shares of common stock held by R&amp;T Trust, of which Li Chen is the trustee and holds voting and dispositive power over such shares. The address of R&amp;T Trust is 18 Walker Drive, Princeton, NJ.</w:t>
      </w:r>
    </w:p>
    <w:p>
      <w:pPr>
        <w:ind w:left="880" w:right="499" w:hanging="426"/>
        <w:spacing w:after="0" w:line="272"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609,842 shares of common stock and (ii)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there were 13,666,013 shares of common stock outstanding, warrants to purchase 828,173 shares of our common stock associated with our 2020 convertible promissory notes and 2,842,990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16"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1099" w:firstLine="432"/>
        <w:spacing w:after="0" w:line="289" w:lineRule="auto"/>
        <w:rPr>
          <w:sz w:val="20"/>
          <w:szCs w:val="20"/>
          <w:color w:val="auto"/>
        </w:rPr>
      </w:pPr>
      <w:r>
        <w:rPr>
          <w:rFonts w:ascii="Times New Roman" w:cs="Times New Roman" w:eastAsia="Times New Roman" w:hAnsi="Times New Roman"/>
          <w:sz w:val="17"/>
          <w:szCs w:val="17"/>
          <w:color w:val="auto"/>
        </w:rPr>
        <w:t>We do not have any shares of preferred stock outstanding. Upon the consummation of our IPO on February 1, 2021, all 100,000 outstanding shares of Series A Preferred Stock outstanding automatically converted into 1,373,038 shares of common stock at a conversion price of $7.72 per share.</w:t>
      </w:r>
    </w:p>
    <w:p>
      <w:pPr>
        <w:spacing w:after="0" w:line="9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options to purchase 2,842,990 shares of our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warrants to purchase 828,173 shares of our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6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were 13,666,013 shares of common stock outstanding, which were held by approximately [__] record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jc w:val="both"/>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0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20"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00"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meets all of the requirements of the resident domestic corporation’s articles of incorporation and</w:t>
      </w:r>
    </w:p>
    <w:p>
      <w:pPr>
        <w:spacing w:after="0" w:line="27" w:lineRule="exact"/>
        <w:rPr>
          <w:sz w:val="20"/>
          <w:szCs w:val="20"/>
          <w:color w:val="auto"/>
        </w:rPr>
      </w:pPr>
    </w:p>
    <w:p>
      <w:pPr>
        <w:ind w:left="460" w:right="559" w:hanging="6"/>
        <w:spacing w:after="0" w:line="251" w:lineRule="auto"/>
        <w:tabs>
          <w:tab w:leader="none" w:pos="7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97"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81" w:lineRule="exact"/>
        <w:rPr>
          <w:sz w:val="20"/>
          <w:szCs w:val="20"/>
          <w:color w:val="auto"/>
        </w:rPr>
      </w:pPr>
    </w:p>
    <w:p>
      <w:pPr>
        <w:ind w:left="460" w:right="739" w:firstLine="432"/>
        <w:spacing w:after="0" w:line="258"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33"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11" w:lineRule="exact"/>
        <w:rPr>
          <w:sz w:val="20"/>
          <w:szCs w:val="20"/>
          <w:color w:val="auto"/>
        </w:rPr>
      </w:pPr>
    </w:p>
    <w:p>
      <w:pPr>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such occurrence.</w:t>
      </w:r>
    </w:p>
    <w:p>
      <w:pPr>
        <w:spacing w:after="0" w:line="101"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upon the number of shares outstanding as of February 7, 2021, upon the closing of this offering, we will have outstanding an aggregate of 17,461,560 shares of common stock, assuming no exercise of the underwriters’ over-allotment option and no exercise of outstanding options.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27" w:lineRule="exact"/>
        <w:rPr>
          <w:sz w:val="20"/>
          <w:szCs w:val="20"/>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will be eligible for sale in the public market on the date of this prospectus;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61" w:lineRule="auto"/>
        <w:tabs>
          <w:tab w:leader="none" w:pos="13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6,308,943 shares will be eligible for sale in the public market upon expiration of lock-up agreements 181 days after the date of the IPO prospectus (which period may be reduced to a minimum of 90 days if we meet certain stock price milestones), subject in certain circumstances to the volume, manner of sale and other limitations of Rule 144 and Rule 701.</w:t>
      </w:r>
    </w:p>
    <w:p>
      <w:pPr>
        <w:spacing w:after="0" w:line="112"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of February 7, 2021, of the 2,842,990 shares of common stock issuable upon exercise of outstanding options, approximately 1,681,651 shares will be vested and eligible for sale 181 days after the date of the IPO prospectus.</w:t>
      </w:r>
    </w:p>
    <w:p>
      <w:pPr>
        <w:spacing w:after="0" w:line="10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20" w:right="539" w:hanging="434"/>
        <w:spacing w:after="0" w:line="266" w:lineRule="auto"/>
        <w:tabs>
          <w:tab w:leader="none" w:pos="13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174,616 shares immediately after the closing of this offering based on the number of shares of common stock outstanding as of February 7, 2021.</w:t>
      </w:r>
    </w:p>
    <w:p>
      <w:pPr>
        <w:spacing w:after="0" w:line="108" w:lineRule="exact"/>
        <w:rPr>
          <w:rFonts w:ascii="Times New Roman" w:cs="Times New Roman" w:eastAsia="Times New Roman" w:hAnsi="Times New Roman"/>
          <w:sz w:val="18"/>
          <w:szCs w:val="18"/>
          <w:color w:val="auto"/>
        </w:rPr>
      </w:pPr>
    </w:p>
    <w:p>
      <w:pPr>
        <w:ind w:left="1320" w:right="619" w:hanging="434"/>
        <w:spacing w:after="0" w:line="312" w:lineRule="auto"/>
        <w:tabs>
          <w:tab w:leader="none" w:pos="131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our common stock on The NASDAQ Capital Market during the four calendar weeks preceding the filing of a notice on Form 144 with respect to the sale.</w:t>
      </w:r>
    </w:p>
    <w:p>
      <w:pPr>
        <w:spacing w:after="0" w:line="59"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Such sales by affiliates must also comply with the manner of sale, current public information and notice provisions of Rule 144.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and our directors, officers and substantially all of our holders of one percent (1%) or more of our outstanding shares of common stock as of the date of our IPO prospectus (including securities exercisable for or convertible into shares of common stock), have agreed with the underwriters in our IPO that, subject to certain exceptions, until July 27, 2021, which is 181 days following the date of the IPO prospectus,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IPO price per share pursuant to the IPO prospectus (the “Stock Price Milestone Date”), then the lock-up period shall be reduced to the later of 90 days after the date of the IPO prospectus and five trading days after the Stock Price Milestone Date. These agreements are described in the section of this prospectus titled “Underwriting.”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issued upon conversion of our shares of Series A Preferred Stock simultaneously with the closing of our IPO have piggyback registration rights with respect to such shares of common stock on any registration statements we file with the Securities and Exchange Commission, subject to certain limited exceptions.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6820" w:space="720"/>
            <w:col w:w="14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43180</wp:posOffset>
            </wp:positionV>
            <wp:extent cx="7969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34290</wp:posOffset>
            </wp:positionV>
            <wp:extent cx="7969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51435</wp:posOffset>
            </wp:positionV>
            <wp:extent cx="7969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our shares of common stock by the underwriters;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12" w:lineRule="auto"/>
        <w:rPr>
          <w:sz w:val="20"/>
          <w:szCs w:val="20"/>
          <w:color w:val="auto"/>
        </w:rPr>
      </w:pPr>
      <w:r>
        <w:rPr>
          <w:rFonts w:ascii="Times New Roman" w:cs="Times New Roman" w:eastAsia="Times New Roman" w:hAnsi="Times New Roman"/>
          <w:sz w:val="17"/>
          <w:szCs w:val="17"/>
          <w:color w:val="auto"/>
        </w:rPr>
        <w:t>We have been advised by Maxim that the underwriters intend to make a market in our shares of common stock but that they are not obligated to do so and may discontinue making a market at any time without notice.</w:t>
      </w:r>
    </w:p>
    <w:p>
      <w:pPr>
        <w:spacing w:after="0" w:line="59" w:lineRule="exact"/>
        <w:rPr>
          <w:sz w:val="20"/>
          <w:szCs w:val="20"/>
          <w:color w:val="auto"/>
        </w:rPr>
      </w:pPr>
    </w:p>
    <w:p>
      <w:pPr>
        <w:ind w:left="460" w:right="131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electronically.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buy up to an aggregate of 569,333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62"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Shares sold by the underwriters to the public will initially be offered at the initial offering price set forth on the cover of this prospectus. Any shares sold by the underwriters to securities dealers may be sold at a discount of up to $[•] per share from the public offering price. The underwriters may offer the shares through one or more of their affiliates or selling agents. If all the shares are not sold at the public offering price, Maxim may change the offering price and the other selling terms. Upon execution of the underwriting agreement, the underwriters will be obligated to purchase the shares at the prices and upon the terms stated therein.</w:t>
      </w:r>
    </w:p>
    <w:p>
      <w:pPr>
        <w:spacing w:after="0" w:line="9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 per share, which represents the public offering price of our shares set forth on the cover page of this prospectus less a 7% underwriting discount.</w:t>
      </w:r>
    </w:p>
    <w:p>
      <w:pPr>
        <w:spacing w:after="0" w:line="116"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 we will pay to the underwriters assuming both no exercise and full exercise of the underwriters’ option to purchase up to 569,333 additional shares.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58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7"/>
        </w:trPr>
        <w:tc>
          <w:tcPr>
            <w:tcW w:w="58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pay Maxim’s out-of-pocket accountable expenses, including Maxim’s legal fees, up to a maximum amount of $[______], irrespective of whether the offering is consummated.</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not including the underwriting discount, will be approximately $0.2 million. We have also agreed to reimburse the underwriters for certain expenses incurred by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Representative’s Warrants</w:t>
      </w:r>
    </w:p>
    <w:p>
      <w:pPr>
        <w:spacing w:after="0" w:line="162" w:lineRule="exact"/>
        <w:rPr>
          <w:sz w:val="20"/>
          <w:szCs w:val="20"/>
          <w:color w:val="auto"/>
        </w:rPr>
      </w:pPr>
    </w:p>
    <w:p>
      <w:pPr>
        <w:ind w:left="460" w:right="479" w:firstLine="432"/>
        <w:spacing w:after="0" w:line="267" w:lineRule="auto"/>
        <w:rPr>
          <w:sz w:val="20"/>
          <w:szCs w:val="20"/>
          <w:color w:val="auto"/>
        </w:rPr>
      </w:pPr>
      <w:r>
        <w:rPr>
          <w:rFonts w:ascii="Times New Roman" w:cs="Times New Roman" w:eastAsia="Times New Roman" w:hAnsi="Times New Roman"/>
          <w:sz w:val="17"/>
          <w:szCs w:val="17"/>
          <w:color w:val="auto"/>
        </w:rPr>
        <w:t>We have also agreed to issue to Maxim (or its permitted assignees) the warrants to purchase a number of our shares of common stock equal to an aggregate of [•]% of the total number of shares of common stock sold in this offering (or Representative’s Warrants). The Representative’s Warrants will have an exercise price equal to [•]% of the offering price of the shares of common stock sold in this offering and may be exercised on a cashless basis. The Representative’s Warrants are exercisable commencing 180 days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48" w:lineRule="exact"/>
        <w:rPr>
          <w:sz w:val="20"/>
          <w:szCs w:val="20"/>
          <w:color w:val="auto"/>
        </w:rPr>
      </w:pPr>
    </w:p>
    <w:p>
      <w:pPr>
        <w:ind w:left="460" w:right="719" w:firstLine="432"/>
        <w:spacing w:after="0" w:line="256" w:lineRule="auto"/>
        <w:rPr>
          <w:sz w:val="20"/>
          <w:szCs w:val="20"/>
          <w:color w:val="auto"/>
        </w:rPr>
      </w:pPr>
      <w:r>
        <w:rPr>
          <w:rFonts w:ascii="Times New Roman" w:cs="Times New Roman" w:eastAsia="Times New Roman" w:hAnsi="Times New Roman"/>
          <w:sz w:val="18"/>
          <w:szCs w:val="18"/>
          <w:color w:val="auto"/>
        </w:rPr>
        <w:t>We have granted Maxim, for the twelve (12) month period following the date of the IPO prospectus, or January 27, 2022, a right of first refusal to act as lead managing underwriter and book runner for any and all future public or private equity, equity-linked, convertible and debt offerings during such twelve (12) month period following the date of the IPO prospectus by us, or any successor to or any subsidiary of our company subject to such procedures as agreed upon in the underwriting agreement entered into in connection with our IPO.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and our directors, officers and substantially all of our holders of one percent (1%) or more of our outstanding shares of common stock as of the date of our IPO prospectus (including securities exercisable for or convertible into shares of common stock) entered into customary “lock-up” agreements in connection with our IPO pursuant to which such persons and entities agreed not to offer, issue, sell, contract to sell, encumber, grant any option for the sale of or otherwise dispose of any of our securities until July 27, 2021, which is 181 days following the date of the IPO prospectus,; provided, however, in the event that for 20 consecutive trading days the closing price of our common stock is in excess of 100% of the IPO price per share (the “Stock Price Milestone Date”), then the lock-up period shall be reduced to the later of 90 days after the date of the IPO prospectus and five trading days after the Stock Price Milestone Date.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1139" w:firstLine="432"/>
        <w:spacing w:after="0" w:line="289" w:lineRule="auto"/>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our shares of common stock during and after this offering, including:</w:t>
      </w:r>
    </w:p>
    <w:p>
      <w:pPr>
        <w:spacing w:after="0" w:line="81" w:lineRule="exact"/>
        <w:rPr>
          <w:sz w:val="20"/>
          <w:szCs w:val="20"/>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158"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07"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7"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public offering price will be determined by negotiation among us and Maxim. The price of our common stock on The Nasdaq Capital Market during recent periods will only be one of many factors in determining the public offering price. Other factors to be considered in determining the public offering price include our history, our prospects, the industry in which we operate, our past and present operating results, the previous experience of our executive officers, the general condition of the securities markets at the time of this offering and discussions between the underwriters and prospective investors. The recent market price used throughout this prospectus may not be indicative of the final offering price. Neither we nor the underwriters can assure investors that an active trading market will develop for our shares of common stock or that the shares of common stock will trade in the public market at or above the public offering price.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62"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44"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Canada</w:t>
      </w:r>
      <w:r>
        <w:rPr>
          <w:rFonts w:ascii="Times New Roman" w:cs="Times New Roman" w:eastAsia="Times New Roman" w:hAnsi="Times New Roman"/>
          <w:sz w:val="18"/>
          <w:szCs w:val="18"/>
          <w:color w:val="auto"/>
        </w:rPr>
        <w:t>. The securities may be sold in Canada only to purchasers purchasing, or deemed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Exemptions </w:t>
      </w:r>
      <w:r>
        <w:rPr>
          <w:rFonts w:ascii="Times New Roman" w:cs="Times New Roman" w:eastAsia="Times New Roman" w:hAnsi="Times New Roman"/>
          <w:sz w:val="18"/>
          <w:szCs w:val="18"/>
          <w:color w:val="auto"/>
        </w:rPr>
        <w:t>or subsection 73.3(1) of the Securities Act (Ontario), and are permitted clients,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Instrument 31 103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securities must be made in accordance with an exemption from, or in a transaction not subject to, the prospectus requirements of applicable securities laws.</w:t>
      </w:r>
    </w:p>
    <w:p>
      <w:pPr>
        <w:spacing w:after="0" w:line="119"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ind w:left="460" w:right="6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33 105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04"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European Economic Area. </w:t>
      </w:r>
      <w:r>
        <w:rPr>
          <w:rFonts w:ascii="Times New Roman" w:cs="Times New Roman" w:eastAsia="Times New Roman" w:hAnsi="Times New Roman"/>
          <w:sz w:val="18"/>
          <w:szCs w:val="18"/>
          <w:color w:val="auto"/>
        </w:rPr>
        <w:t>In relation to each Member State of the European Economic Area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16" w:lineRule="exact"/>
        <w:rPr>
          <w:sz w:val="20"/>
          <w:szCs w:val="20"/>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61" w:lineRule="auto"/>
        <w:tabs>
          <w:tab w:leader="none" w:pos="1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12" w:lineRule="exact"/>
        <w:rPr>
          <w:rFonts w:ascii="Times New Roman" w:cs="Times New Roman" w:eastAsia="Times New Roman" w:hAnsi="Times New Roman"/>
          <w:sz w:val="18"/>
          <w:szCs w:val="18"/>
          <w:color w:val="auto"/>
        </w:rPr>
      </w:pPr>
    </w:p>
    <w:p>
      <w:pPr>
        <w:jc w:val="both"/>
        <w:ind w:left="1320" w:right="559" w:hanging="434"/>
        <w:spacing w:after="0" w:line="266" w:lineRule="auto"/>
        <w:tabs>
          <w:tab w:leader="none" w:pos="1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08"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7"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8"/>
          <w:szCs w:val="18"/>
          <w:b w:val="1"/>
          <w:bCs w:val="1"/>
          <w:i w:val="1"/>
          <w:iCs w:val="1"/>
          <w:color w:val="auto"/>
        </w:rPr>
        <w:t>United Kingdom.</w:t>
      </w:r>
      <w:r>
        <w:rPr>
          <w:sz w:val="20"/>
          <w:szCs w:val="20"/>
          <w:color w:val="auto"/>
        </w:rPr>
        <w:tab/>
      </w:r>
      <w:r>
        <w:rPr>
          <w:rFonts w:ascii="Times New Roman" w:cs="Times New Roman" w:eastAsia="Times New Roman" w:hAnsi="Times New Roman"/>
          <w:sz w:val="18"/>
          <w:szCs w:val="18"/>
          <w:color w:val="auto"/>
        </w:rPr>
        <w:t>Each underwriter has represented and agreed that:</w:t>
      </w:r>
    </w:p>
    <w:p>
      <w:pPr>
        <w:spacing w:after="0" w:line="162" w:lineRule="exact"/>
        <w:rPr>
          <w:sz w:val="20"/>
          <w:szCs w:val="20"/>
          <w:color w:val="auto"/>
        </w:rPr>
      </w:pPr>
    </w:p>
    <w:p>
      <w:pPr>
        <w:ind w:left="1320" w:right="519" w:hanging="434"/>
        <w:spacing w:after="0" w:line="258" w:lineRule="auto"/>
        <w:tabs>
          <w:tab w:leader="none" w:pos="13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received by it in connection with the issue or sale of the securities in circumstances in which Section 21(1) of the FSMA does not apply to us; and</w:t>
      </w:r>
    </w:p>
    <w:p>
      <w:pPr>
        <w:spacing w:after="0" w:line="115"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complied and will comply with all applicable provisions of the FSMA with respect to anything done by it in relation to the securities in, from or otherwise involving the United Kingdom.</w:t>
      </w:r>
    </w:p>
    <w:p>
      <w:pPr>
        <w:spacing w:after="0" w:line="5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Switzerland. </w:t>
      </w:r>
      <w:r>
        <w:rPr>
          <w:rFonts w:ascii="Times New Roman" w:cs="Times New Roman" w:eastAsia="Times New Roman" w:hAnsi="Times New Roman"/>
          <w:sz w:val="18"/>
          <w:szCs w:val="18"/>
          <w:color w:val="auto"/>
        </w:rPr>
        <w:t>The securities may not be publicly offered in Switzerland and will not be listed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SIX Swiss Exchange (the </w:t>
      </w:r>
      <w:r>
        <w:rPr>
          <w:rFonts w:ascii="Times New Roman" w:cs="Times New Roman" w:eastAsia="Times New Roman" w:hAnsi="Times New Roman"/>
          <w:sz w:val="18"/>
          <w:szCs w:val="18"/>
          <w:i w:val="1"/>
          <w:iCs w:val="1"/>
          <w:color w:val="auto"/>
        </w:rPr>
        <w:t>SIX</w:t>
      </w:r>
      <w:r>
        <w:rPr>
          <w:rFonts w:ascii="Times New Roman" w:cs="Times New Roman" w:eastAsia="Times New Roman" w:hAnsi="Times New Roman"/>
          <w:sz w:val="18"/>
          <w:szCs w:val="18"/>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Times New Roman" w:cs="Times New Roman" w:eastAsia="Times New Roman" w:hAnsi="Times New Roman"/>
          <w:sz w:val="18"/>
          <w:szCs w:val="18"/>
          <w:i w:val="1"/>
          <w:iCs w:val="1"/>
          <w:color w:val="auto"/>
        </w:rPr>
        <w:t>CISA</w:t>
      </w:r>
      <w:r>
        <w:rPr>
          <w:rFonts w:ascii="Times New Roman" w:cs="Times New Roman" w:eastAsia="Times New Roman" w:hAnsi="Times New Roman"/>
          <w:sz w:val="18"/>
          <w:szCs w:val="18"/>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Australia. </w:t>
      </w:r>
      <w:r>
        <w:rPr>
          <w:rFonts w:ascii="Times New Roman" w:cs="Times New Roman" w:eastAsia="Times New Roman" w:hAnsi="Times New Roman"/>
          <w:sz w:val="18"/>
          <w:szCs w:val="18"/>
          <w:color w:val="auto"/>
        </w:rPr>
        <w:t>No placement document, prospectus, product disclosure statement or other disclosure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has been lodged with the Australian Securities and Investments Commission (</w:t>
      </w:r>
      <w:r>
        <w:rPr>
          <w:rFonts w:ascii="Times New Roman" w:cs="Times New Roman" w:eastAsia="Times New Roman" w:hAnsi="Times New Roman"/>
          <w:sz w:val="18"/>
          <w:szCs w:val="18"/>
          <w:i w:val="1"/>
          <w:iCs w:val="1"/>
          <w:color w:val="auto"/>
        </w:rPr>
        <w:t>ASIC</w:t>
      </w:r>
      <w:r>
        <w:rPr>
          <w:rFonts w:ascii="Times New Roman" w:cs="Times New Roman" w:eastAsia="Times New Roman" w:hAnsi="Times New Roman"/>
          <w:sz w:val="18"/>
          <w:szCs w:val="18"/>
          <w:color w:val="auto"/>
        </w:rPr>
        <w:t>), in relation to the offering.</w:t>
      </w:r>
    </w:p>
    <w:p>
      <w:pPr>
        <w:spacing w:after="0" w:line="107" w:lineRule="exact"/>
        <w:rPr>
          <w:sz w:val="20"/>
          <w:szCs w:val="20"/>
          <w:color w:val="auto"/>
        </w:rPr>
      </w:pPr>
    </w:p>
    <w:p>
      <w:pPr>
        <w:ind w:left="460" w:right="8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does not constitute a prospectus, product disclosure statement or other disclosure document under the Corporations Act 2001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and does not purport to include the information required for a prospectus, product disclosure statement or other disclosure document under the Corporations Act.</w:t>
      </w:r>
    </w:p>
    <w:p>
      <w:pPr>
        <w:spacing w:after="0" w:line="11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Any offer in Australia of the securities may only be made to persons (the </w:t>
      </w: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2" w:lineRule="exact"/>
        <w:rPr>
          <w:sz w:val="20"/>
          <w:szCs w:val="20"/>
          <w:color w:val="auto"/>
        </w:rPr>
      </w:pPr>
    </w:p>
    <w:p>
      <w:pPr>
        <w:ind w:left="460" w:right="71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 to Prospective Investors in the Cayman Islands. </w:t>
      </w:r>
      <w:r>
        <w:rPr>
          <w:rFonts w:ascii="Times New Roman" w:cs="Times New Roman" w:eastAsia="Times New Roman" w:hAnsi="Times New Roman"/>
          <w:sz w:val="18"/>
          <w:szCs w:val="18"/>
          <w:color w:val="auto"/>
        </w:rPr>
        <w:t>No invitation, whether directly or indirectly,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made to the public in the Cayman Islands to subscribe for our securities.</w:t>
      </w:r>
    </w:p>
    <w:p>
      <w:pPr>
        <w:spacing w:after="0" w:line="74"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Taiwan</w:t>
      </w:r>
      <w:r>
        <w:rPr>
          <w:rFonts w:ascii="Times New Roman" w:cs="Times New Roman" w:eastAsia="Times New Roman" w:hAnsi="Times New Roman"/>
          <w:sz w:val="18"/>
          <w:szCs w:val="18"/>
          <w:color w:val="auto"/>
        </w:rPr>
        <w:t>. The securities have not been and will not be registered with the Financial Supervisory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15" w:lineRule="exact"/>
        <w:rPr>
          <w:sz w:val="20"/>
          <w:szCs w:val="20"/>
          <w:color w:val="auto"/>
        </w:rPr>
      </w:pPr>
    </w:p>
    <w:p>
      <w:pPr>
        <w:jc w:val="both"/>
        <w:ind w:left="460" w:right="499" w:firstLine="432"/>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Hong Kong</w:t>
      </w:r>
      <w:r>
        <w:rPr>
          <w:rFonts w:ascii="Times New Roman" w:cs="Times New Roman" w:eastAsia="Times New Roman" w:hAnsi="Times New Roman"/>
          <w:sz w:val="17"/>
          <w:szCs w:val="17"/>
          <w:color w:val="auto"/>
        </w:rPr>
        <w:t>. The contents of this prospectus have not been reviewed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any regulatory authority in Hong Kong. You are advised to exercise caution in relation to the offer. If you are in any doubt about any of the contents of this prospectus, you should obtain independent professional advice.</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Please note that (i) our shares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which are or are intended to be disposed of only to persons outside Hong Kong or only to “professional investors” within the meaning of the SFO and any rules made thereunder.</w:t>
      </w:r>
    </w:p>
    <w:p>
      <w:pPr>
        <w:spacing w:after="0" w:line="121"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People’s Republic of China</w:t>
      </w:r>
      <w:r>
        <w:rPr>
          <w:rFonts w:ascii="Times New Roman" w:cs="Times New Roman" w:eastAsia="Times New Roman" w:hAnsi="Times New Roman"/>
          <w:sz w:val="18"/>
          <w:szCs w:val="18"/>
          <w:color w:val="auto"/>
        </w:rPr>
        <w:t>. This prospectus may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circulated or distributed in the PRC and the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10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may read and copy all or any portion of the registration statement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www.agrify.com</w:t>
      </w:r>
      <w:r>
        <w:rPr>
          <w:rFonts w:ascii="Times New Roman" w:cs="Times New Roman" w:eastAsia="Times New Roman" w:hAnsi="Times New Roman"/>
          <w:sz w:val="18"/>
          <w:szCs w:val="18"/>
          <w:color w:val="auto"/>
        </w:rPr>
        <w:t>. The information contained on, or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120"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with the Exchange Act, are required to file annual, quarterly and current reports, proxy and information statements and other information with the SEC. Such annual, quarterly and current reports, proxy and information statements and other information can be inspected and copied at the locations set forth above.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Years Ended December 31, 2019 and 2018:</w:t>
      </w:r>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Quarter Ended September 30, 2020</w:t>
            </w: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w:anchor="page140">
              <w:r>
                <w:rPr>
                  <w:rFonts w:ascii="Times New Roman" w:cs="Times New Roman" w:eastAsia="Times New Roman" w:hAnsi="Times New Roman"/>
                  <w:sz w:val="18"/>
                  <w:szCs w:val="18"/>
                  <w:color w:val="0000EE"/>
                  <w:w w:val="9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F-24 – F-45</w:t>
            </w: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TriGrow Systems, Inc. and Subsidiary</w:t>
            </w:r>
          </w:p>
        </w:tc>
        <w:tc>
          <w:tcPr>
            <w:tcW w:w="102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F-46</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F-47</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F-48</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F-49</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F-50</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F-51 – F-62</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Times New Roman" w:cs="Times New Roman" w:eastAsia="Times New Roman" w:hAnsi="Times New Roman"/>
                <w:sz w:val="18"/>
                <w:szCs w:val="18"/>
                <w:color w:val="auto"/>
                <w:w w:val="95"/>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right="1279"/>
        <w:spacing w:after="0" w:line="260" w:lineRule="auto"/>
        <w:rPr>
          <w:sz w:val="20"/>
          <w:szCs w:val="20"/>
          <w:color w:val="auto"/>
        </w:rPr>
      </w:pPr>
      <w:r>
        <w:rPr>
          <w:rFonts w:ascii="Times New Roman" w:cs="Times New Roman" w:eastAsia="Times New Roman" w:hAnsi="Times New Roman"/>
          <w:sz w:val="18"/>
          <w:szCs w:val="18"/>
          <w:color w:val="auto"/>
        </w:rPr>
        <w:t>March 19, 2020 (except as to Note 13, Subsequent Event, Reverse Stock Split, as to which the date is January 12, 2021).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60" w:lineRule="auto"/>
        <w:rPr>
          <w:sz w:val="20"/>
          <w:szCs w:val="20"/>
          <w:color w:val="auto"/>
        </w:rPr>
      </w:pPr>
      <w:r>
        <w:rPr>
          <w:rFonts w:ascii="Times New Roman" w:cs="Times New Roman" w:eastAsia="Times New Roman" w:hAnsi="Times New Roman"/>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-39370</wp:posOffset>
            </wp:positionV>
            <wp:extent cx="514350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76"/>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92"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(3,042)</w:t>
        <w:tab/>
        <w:t>$</w:t>
      </w:r>
      <w:r>
        <w:rPr>
          <w:sz w:val="20"/>
          <w:szCs w:val="20"/>
          <w:color w:val="auto"/>
        </w:rPr>
        <w:tab/>
      </w:r>
      <w:r>
        <w:rPr>
          <w:rFonts w:ascii="Times New Roman" w:cs="Times New Roman" w:eastAsia="Times New Roman" w:hAnsi="Times New Roman"/>
          <w:sz w:val="17"/>
          <w:szCs w:val="17"/>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34290</wp:posOffset>
            </wp:positionV>
            <wp:extent cx="148272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CONSOLIDATED STATEMENTS STOCKHOLDERS’ EQUITY DEFICIT (In thousands, except share amounts)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notes payable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3,616,125</w:t>
            </w:r>
          </w:p>
        </w:tc>
        <w:tc>
          <w:tcPr>
            <w:tcW w:w="5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3,879</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3,746</w:t>
      </w:r>
      <w:r>
        <w:rPr>
          <w:sz w:val="20"/>
          <w:szCs w:val="20"/>
          <w:color w:val="auto"/>
        </w:rPr>
        <w:tab/>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206</w:t>
        <w:tab/>
        <w:t>$</w:t>
      </w:r>
      <w:r>
        <w:rPr>
          <w:sz w:val="20"/>
          <w:szCs w:val="20"/>
          <w:color w:val="auto"/>
        </w:rPr>
        <w:tab/>
      </w: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95" w:lineRule="exact"/>
        <w:rPr>
          <w:sz w:val="20"/>
          <w:szCs w:val="20"/>
          <w:color w:val="auto"/>
        </w:rPr>
      </w:pPr>
    </w:p>
    <w:p>
      <w:pPr>
        <w:ind w:left="460" w:right="639" w:firstLine="432"/>
        <w:spacing w:after="0" w:line="289" w:lineRule="auto"/>
        <w:rPr>
          <w:sz w:val="20"/>
          <w:szCs w:val="20"/>
          <w:color w:val="auto"/>
        </w:rPr>
      </w:pPr>
      <w:r>
        <w:rPr>
          <w:rFonts w:ascii="Times New Roman" w:cs="Times New Roman" w:eastAsia="Times New Roman" w:hAnsi="Times New Roman"/>
          <w:sz w:val="17"/>
          <w:szCs w:val="17"/>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2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06"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which are stated at the lower of cost or net realizable value, consist primarily of supplies.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is determined using the weighted average method.</w:t>
      </w:r>
    </w:p>
    <w:p>
      <w:pPr>
        <w:spacing w:after="0" w:line="139"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39"/>
        <w:spacing w:after="0" w:line="256" w:lineRule="auto"/>
        <w:rPr>
          <w:sz w:val="20"/>
          <w:szCs w:val="20"/>
          <w:color w:val="auto"/>
        </w:rPr>
      </w:pPr>
      <w:r>
        <w:rPr>
          <w:rFonts w:ascii="Times New Roman" w:cs="Times New Roman" w:eastAsia="Times New Roman" w:hAnsi="Times New Roman"/>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Company uses assumptions in establishing the carrying value of its intangible assets. Intangible assets resulted from investment in the Company’s website and trademark.</w:t>
      </w:r>
    </w:p>
    <w:p>
      <w:pPr>
        <w:spacing w:after="0" w:line="94" w:lineRule="exact"/>
        <w:rPr>
          <w:sz w:val="20"/>
          <w:szCs w:val="20"/>
          <w:color w:val="auto"/>
        </w:rPr>
      </w:pPr>
    </w:p>
    <w:p>
      <w:pPr>
        <w:ind w:left="460" w:right="499" w:firstLine="432"/>
        <w:spacing w:after="0" w:line="271" w:lineRule="auto"/>
        <w:rPr>
          <w:sz w:val="20"/>
          <w:szCs w:val="20"/>
          <w:color w:val="auto"/>
        </w:rPr>
      </w:pPr>
      <w:r>
        <w:rPr>
          <w:rFonts w:ascii="Times New Roman" w:cs="Times New Roman" w:eastAsia="Times New Roman" w:hAnsi="Times New Roman"/>
          <w:sz w:val="17"/>
          <w:szCs w:val="17"/>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0"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(in thousands):</w:t>
      </w:r>
    </w:p>
    <w:p>
      <w:pPr>
        <w:spacing w:after="0" w:line="1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4,088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06"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519" w:firstLine="432"/>
        <w:spacing w:after="0" w:line="274" w:lineRule="auto"/>
        <w:rPr>
          <w:sz w:val="20"/>
          <w:szCs w:val="20"/>
          <w:color w:val="auto"/>
        </w:rPr>
      </w:pPr>
      <w:r>
        <w:rPr>
          <w:rFonts w:ascii="Times New Roman" w:cs="Times New Roman" w:eastAsia="Times New Roman" w:hAnsi="Times New Roman"/>
          <w:sz w:val="17"/>
          <w:szCs w:val="17"/>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105"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carrying value of the Company’s investment in TPI was $0 as of December 31, 2019 and 2018.</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did not recognize revenue from TPI for the years ended December 31, 2019 and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2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5"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6"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20" w:lineRule="exact"/>
        <w:rPr>
          <w:sz w:val="20"/>
          <w:szCs w:val="20"/>
          <w:color w:val="auto"/>
        </w:rPr>
      </w:pPr>
    </w:p>
    <w:p>
      <w:pPr>
        <w:ind w:left="460" w:right="759" w:firstLine="432"/>
        <w:spacing w:after="0" w:line="273"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 (Topic 808):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Clarifying the Interaction between Topic 808 and Topic 606 </w:t>
      </w:r>
      <w:r>
        <w:rPr>
          <w:rFonts w:ascii="Times New Roman" w:cs="Times New Roman" w:eastAsia="Times New Roman" w:hAnsi="Times New Roman"/>
          <w:sz w:val="17"/>
          <w:szCs w:val="17"/>
          <w:color w:val="auto"/>
        </w:rPr>
        <w:t>(“ASU2018-18”), which clarifies that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between collaborative arrangement participants should be accounted for as revenue under Topic</w:t>
      </w:r>
    </w:p>
    <w:p>
      <w:pPr>
        <w:spacing w:after="0" w:line="1"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and 2018, inventory consists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2,481</w:t>
            </w: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Website Domain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1"/>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Based on the intangible assets in service as of December 31, 2019, estimated amortization expenses are $14 for each of the next ten years.</w:t>
      </w:r>
    </w:p>
    <w:p>
      <w:pPr>
        <w:spacing w:after="0" w:line="94"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$7 and $0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69"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95"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In June 2019, the Company issued and sold 1,289,667 shares of common stock to an investor at a purchase price of $3.10 per share for gross proceeds of $4,000.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62"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0% Expected life (years)</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There was no aggregate intrinsic value at December 31, 2019 as the Company’s stock price of $3.10 on December 31, 2019, was below the exercise price of the outstanding stock options.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2019:</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142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9,772</w:t>
            </w:r>
          </w:p>
        </w:tc>
        <w:tc>
          <w:tcPr>
            <w:tcW w:w="20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2019:</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142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84,045</w:t>
            </w:r>
          </w:p>
        </w:tc>
        <w:tc>
          <w:tcPr>
            <w:tcW w:w="19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16"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respective lease period. Rent expense was $53 and $10 for the years ended December 31, 2019 and 2018, respectively.</w:t>
      </w:r>
    </w:p>
    <w:p>
      <w:pPr>
        <w:spacing w:after="0" w:line="81" w:lineRule="exact"/>
        <w:rPr>
          <w:sz w:val="20"/>
          <w:szCs w:val="20"/>
          <w:color w:val="auto"/>
        </w:rPr>
      </w:pPr>
    </w:p>
    <w:p>
      <w:pPr>
        <w:jc w:val="both"/>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2019 are $30 until April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0"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The holders of the Series A Convertible Preferred Stock have the right to receive dividends prior and in preference to any payment of any dividend on the common stock, at a rate of 7% per stock per annum.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62" w:lineRule="exact"/>
        <w:rPr>
          <w:sz w:val="20"/>
          <w:szCs w:val="20"/>
          <w:color w:val="auto"/>
        </w:rPr>
      </w:pPr>
    </w:p>
    <w:p>
      <w:pPr>
        <w:ind w:left="460" w:right="599" w:firstLine="432"/>
        <w:spacing w:after="0" w:line="274" w:lineRule="auto"/>
        <w:rPr>
          <w:sz w:val="20"/>
          <w:szCs w:val="20"/>
          <w:color w:val="auto"/>
        </w:rPr>
      </w:pPr>
      <w:r>
        <w:rPr>
          <w:rFonts w:ascii="Times New Roman" w:cs="Times New Roman" w:eastAsia="Times New Roman" w:hAnsi="Times New Roman"/>
          <w:sz w:val="17"/>
          <w:szCs w:val="17"/>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 of Authorized Shares</w:t>
      </w:r>
    </w:p>
    <w:p>
      <w:pPr>
        <w:spacing w:after="0" w:line="148" w:lineRule="exact"/>
        <w:rPr>
          <w:sz w:val="20"/>
          <w:szCs w:val="20"/>
          <w:color w:val="auto"/>
        </w:rPr>
      </w:pPr>
    </w:p>
    <w:p>
      <w:pPr>
        <w:jc w:val="both"/>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15" w:gutter="0" w:footer="0" w:header="0"/>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OPERATIONS (UNAUDITED)</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700" w:val="left"/>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7,734 $</w:t>
      </w:r>
      <w:r>
        <w:rPr>
          <w:sz w:val="20"/>
          <w:szCs w:val="20"/>
          <w:color w:val="auto"/>
        </w:rPr>
        <w:tab/>
      </w:r>
      <w:r>
        <w:rPr>
          <w:rFonts w:ascii="Times New Roman" w:cs="Times New Roman" w:eastAsia="Times New Roman" w:hAnsi="Times New Roman"/>
          <w:sz w:val="17"/>
          <w:szCs w:val="17"/>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Times New Roman" w:cs="Times New Roman" w:eastAsia="Times New Roman" w:hAnsi="Times New Roman"/>
          <w:sz w:val="18"/>
          <w:szCs w:val="18"/>
          <w:color w:val="auto"/>
        </w:rPr>
        <w:t>6,874</w:t>
      </w:r>
      <w:r>
        <w:rPr>
          <w:sz w:val="20"/>
          <w:szCs w:val="20"/>
          <w:color w:val="auto"/>
        </w:rPr>
        <w:tab/>
      </w:r>
      <w:r>
        <w:rPr>
          <w:rFonts w:ascii="Times New Roman" w:cs="Times New Roman" w:eastAsia="Times New Roman" w:hAnsi="Times New Roman"/>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34290</wp:posOffset>
            </wp:positionV>
            <wp:extent cx="51435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Times New Roman" w:cs="Times New Roman" w:eastAsia="Times New Roman" w:hAnsi="Times New Roman"/>
          <w:sz w:val="18"/>
          <w:szCs w:val="18"/>
          <w:color w:val="auto"/>
        </w:rPr>
        <w:t>860</w:t>
      </w:r>
      <w:r>
        <w:rPr>
          <w:sz w:val="20"/>
          <w:szCs w:val="20"/>
          <w:color w:val="auto"/>
        </w:rPr>
        <w:tab/>
      </w: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5"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STOCKHOLDERS’ EQUITY FOR THE NINE MONTHS ENDED SEPTEMBER 30, 2019 and 2020 (UNAUDITED)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1,289,667</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201</w:t>
            </w:r>
            <w:r>
              <w:rPr>
                <w:rFonts w:ascii="Times New Roman" w:cs="Times New Roman" w:eastAsia="Times New Roman" w:hAnsi="Times New Roman"/>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Systems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595,552</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(8,562)</w:t>
            </w: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(8,562)</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4,211,677</w:t>
            </w:r>
          </w:p>
        </w:tc>
        <w:tc>
          <w:tcPr>
            <w:tcW w:w="11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CASH FLOWS (UNAUDITED)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(8,562)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16"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0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2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10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2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Subsidiaries,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September 30, 2020 and December 31, 2019.</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September 30, 2020.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w:t>
      </w:r>
    </w:p>
    <w:p>
      <w:pPr>
        <w:spacing w:after="0" w:line="139"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124" w:lineRule="exact"/>
        <w:rPr>
          <w:sz w:val="20"/>
          <w:szCs w:val="20"/>
          <w:color w:val="auto"/>
        </w:rPr>
      </w:pPr>
    </w:p>
    <w:p>
      <w:pPr>
        <w:ind w:left="460" w:right="839" w:firstLine="432"/>
        <w:spacing w:after="0" w:line="281"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97"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99"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Company does not recognize ROU assets or lease liabilities for leases with a term of 12 months or less for any asset classes (short term leases).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20"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16" w:lineRule="exact"/>
        <w:rPr>
          <w:sz w:val="20"/>
          <w:szCs w:val="20"/>
          <w:color w:val="auto"/>
        </w:rPr>
      </w:pPr>
    </w:p>
    <w:p>
      <w:pPr>
        <w:ind w:left="460" w:right="151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(2) services sales and (3) construction contracts.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08"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services and construction,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114"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01"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w:t>
      </w:r>
    </w:p>
    <w:p>
      <w:pPr>
        <w:spacing w:after="0" w:line="1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7,734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0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 as of September 30, 2020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Prepaid Inventory</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2020 and December 31, 2019:</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2020 and 2019 was $100 and $0,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acquisition-related intangible assets as of September 30, 2020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There were $0 acquisition related intangibles as of December 31, 2019. Amortization expenses amounted to $129 and $0 for the Nine months ended September 30, 2020 and 2019,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Intangible Assets and Goodwill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Estimated future amortization expense on finite-lived acquisition-related intangible assets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1239" w:firstLine="432"/>
        <w:spacing w:after="0" w:line="282" w:lineRule="auto"/>
        <w:rPr>
          <w:sz w:val="20"/>
          <w:szCs w:val="20"/>
          <w:color w:val="auto"/>
        </w:rPr>
      </w:pPr>
      <w:r>
        <w:rPr>
          <w:rFonts w:ascii="Times New Roman" w:cs="Times New Roman" w:eastAsia="Times New Roman" w:hAnsi="Times New Roman"/>
          <w:sz w:val="18"/>
          <w:szCs w:val="18"/>
          <w:color w:val="auto"/>
        </w:rPr>
        <w:t>There was $238 goodwill activity since the acquisition date of January 22, 2020 (see note 11) to September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2020 and December 31, 2019: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of TriGrow</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102"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2"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to invest cash in profit interest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5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94"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the Company’s condensed consolidated statement of operations from the acquisition date of January 22, 2020 to September 30, 2020 was $4,000.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121"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108"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95"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1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HMH included in the Company’s condensed consolidated statement of operations from the acquisition date of July 22, 2020 to September 30, 2020 was $0.</w:t>
      </w:r>
    </w:p>
    <w:p>
      <w:pPr>
        <w:spacing w:after="0" w:line="94" w:lineRule="exact"/>
        <w:rPr>
          <w:sz w:val="20"/>
          <w:szCs w:val="20"/>
          <w:color w:val="auto"/>
        </w:rPr>
      </w:pPr>
    </w:p>
    <w:p>
      <w:pPr>
        <w:ind w:left="460" w:right="739" w:firstLine="432"/>
        <w:spacing w:after="0" w:line="312" w:lineRule="auto"/>
        <w:rPr>
          <w:sz w:val="20"/>
          <w:szCs w:val="20"/>
          <w:color w:val="auto"/>
        </w:rPr>
      </w:pPr>
      <w:r>
        <w:rPr>
          <w:rFonts w:ascii="Times New Roman" w:cs="Times New Roman" w:eastAsia="Times New Roman" w:hAnsi="Times New Roman"/>
          <w:sz w:val="17"/>
          <w:szCs w:val="17"/>
          <w:color w:val="auto"/>
        </w:rPr>
        <w:t>The following pro forma financial information summarizes the combined results of operations for the Company, TriGrow and HMH, as though the acquisition of TriGrow and HMH occurred on January 1, 2019.</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7"/>
                <w:szCs w:val="17"/>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9,785</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Borders>
              <w:bottom w:val="single" w:sz="8" w:color="CCEEFF"/>
            </w:tcBorders>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9,720</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bl>
    <w:p>
      <w:pPr>
        <w:spacing w:after="0" w:line="2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06"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Debt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20"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53" w:lineRule="auto"/>
        <w:rPr>
          <w:sz w:val="20"/>
          <w:szCs w:val="20"/>
          <w:color w:val="auto"/>
        </w:rPr>
      </w:pPr>
      <w:r>
        <w:rPr>
          <w:rFonts w:ascii="Times New Roman" w:cs="Times New Roman" w:eastAsia="Times New Roman" w:hAnsi="Times New Roman"/>
          <w:sz w:val="18"/>
          <w:szCs w:val="18"/>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2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12"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3" w:lineRule="exact"/>
        <w:rPr>
          <w:sz w:val="20"/>
          <w:szCs w:val="20"/>
          <w:color w:val="auto"/>
        </w:rPr>
      </w:pPr>
    </w:p>
    <w:p>
      <w:pPr>
        <w:ind w:left="460" w:right="479" w:hanging="6"/>
        <w:spacing w:after="0" w:line="251" w:lineRule="auto"/>
        <w:tabs>
          <w:tab w:leader="none" w:pos="6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 conversion price per share of $7.43, subject to adjustment pursuant to the terms of the Notes), all outstanding shares of Series A convertible preferred stock of the Company (at a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109"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September 30, 2020, the Company’s Board of Directors approved the increase of the total aggregate offering amount of the Notes to $10,000 and on November 23, 2020 it increased to $13,500.</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Convertible Promissory Notes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0.14%</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0.13%</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 Capital Structure</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11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10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On March 19, 2020, the Company increased the number of shares designated as Series A from 100,000 shares to 105,000 shares.</w:t>
      </w:r>
    </w:p>
    <w:p>
      <w:pPr>
        <w:spacing w:after="0" w:line="67"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30"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May 2020, the Company issued 4,000 Series A Convertible Preferred Stock, $0.001 par value, for total consideration of $4,000.</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08" w:lineRule="exact"/>
        <w:rPr>
          <w:sz w:val="20"/>
          <w:szCs w:val="20"/>
          <w:color w:val="auto"/>
        </w:rPr>
      </w:pPr>
    </w:p>
    <w:p>
      <w:pPr>
        <w:jc w:val="both"/>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December 2019, the Company granted 493,102 options to various employees and consultants.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99"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12"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Stock options that were granted during fiscal year 2020 have several vesting conditions, including an event-based vesting acceleration (defined as a change in control, including an initial public offering).</w:t>
      </w:r>
    </w:p>
    <w:p>
      <w:pPr>
        <w:spacing w:after="0" w:line="94"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there were 1,664,230 shares available to be granted under the Company’s 2019 Stock Option Plan.</w:t>
      </w:r>
    </w:p>
    <w:p>
      <w:pPr>
        <w:spacing w:after="0" w:line="94"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Nine months ended September 30, 2020 (no outstanding options for the three months ended September 30, 2019):</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254,628</w:t>
            </w:r>
          </w:p>
        </w:tc>
        <w:tc>
          <w:tcPr>
            <w:tcW w:w="23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September 30, 2020: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1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9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16"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90"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of our lease activity, for the nine months ended September 30, 2020 and 2019, is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17 —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 maturities of lease liabilities under non-cancellable finance leases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0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18 — Related Parties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describes the net purchasing activity with entities identified as related parties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8100" w:type="dxa"/>
            <w:vAlign w:val="bottom"/>
            <w:gridSpan w:val="8"/>
          </w:tcPr>
          <w:p>
            <w:pPr>
              <w:jc w:val="right"/>
              <w:ind w:right="132"/>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payables as of September 30, 2020 and December 31,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2"/>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2"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On January 27, 2021, the Company entered into an underwriting agreement with Maxim Group LLC, as representative of the underwriters named therein, in connection with its initial public offering (“IPO”). On January 27, 2021, the Company announced the pricing of the IPO of 5,400,000 shares of common stock for a price of $10.00 per share, less certain underwriting discounts and commissions. The Company also granted the underwriters a 45-day option to purchase up to 810,000 additional shares of common stock on the same terms and conditions for the purpose of covering any over-allotments in connection with the IPO.</w:t>
      </w:r>
    </w:p>
    <w:p>
      <w:pPr>
        <w:spacing w:after="0" w:line="106" w:lineRule="exact"/>
        <w:rPr>
          <w:sz w:val="20"/>
          <w:szCs w:val="20"/>
          <w:color w:val="auto"/>
        </w:rPr>
      </w:pPr>
    </w:p>
    <w:p>
      <w:pPr>
        <w:ind w:left="460" w:right="599" w:firstLine="432"/>
        <w:spacing w:after="0" w:line="277" w:lineRule="auto"/>
        <w:rPr>
          <w:sz w:val="20"/>
          <w:szCs w:val="20"/>
          <w:color w:val="auto"/>
        </w:rPr>
      </w:pPr>
      <w:r>
        <w:rPr>
          <w:rFonts w:ascii="Times New Roman" w:cs="Times New Roman" w:eastAsia="Times New Roman" w:hAnsi="Times New Roman"/>
          <w:sz w:val="17"/>
          <w:szCs w:val="17"/>
          <w:color w:val="auto"/>
        </w:rPr>
        <w:t>The IPO closed on February 1, 2021 (the “IPO Closing Date”) and was made pursuant to the Company’s registration statement on Form S-1 (File No. 333- 251616), which was declared effective by the Securities and Exchange Commission (the “SEC”) on January 27, 2021 under the Securities Act of 1933, as amended (the “Securities Act”), and the Company’s registration statement on Form S-1MEF (File No. 333-252490). A final prospectus describing the terms of the IPO was filed by the Company with the SEC on January 29, 2021.</w:t>
      </w:r>
    </w:p>
    <w:p>
      <w:pPr>
        <w:spacing w:after="0" w:line="10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19 — Subsequent Events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2020 Omnibus Equity Incentive Plan</w:t>
      </w:r>
    </w:p>
    <w:p>
      <w:pPr>
        <w:spacing w:after="0" w:line="148"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color w:val="auto"/>
        </w:rPr>
        <w:t>On December 18, 2020, the Company’s board of directors, and on January 11, 2021, the Company’s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on which it is adopted by the board of directors.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Options</w:t>
      </w:r>
    </w:p>
    <w:p>
      <w:pPr>
        <w:spacing w:after="0" w:line="12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7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and Convertible Promissory Notes</w:t>
      </w:r>
    </w:p>
    <w:p>
      <w:pPr>
        <w:spacing w:after="0" w:line="121" w:lineRule="exact"/>
        <w:rPr>
          <w:sz w:val="20"/>
          <w:szCs w:val="20"/>
          <w:color w:val="auto"/>
        </w:rPr>
      </w:pPr>
    </w:p>
    <w:p>
      <w:pPr>
        <w:ind w:left="460" w:right="919" w:firstLine="432"/>
        <w:spacing w:after="0" w:line="312" w:lineRule="auto"/>
        <w:rPr>
          <w:sz w:val="20"/>
          <w:szCs w:val="20"/>
          <w:color w:val="auto"/>
        </w:rPr>
      </w:pPr>
      <w:r>
        <w:rPr>
          <w:rFonts w:ascii="Times New Roman" w:cs="Times New Roman" w:eastAsia="Times New Roman" w:hAnsi="Times New Roman"/>
          <w:sz w:val="17"/>
          <w:szCs w:val="17"/>
          <w:color w:val="auto"/>
        </w:rPr>
        <w:t>On January 11, 2021, the Company’s Board of Directors approved the amendment to the conversion formula of the Series A Preferred Stock and Convertible Promissory Notes. After the amendment:</w:t>
      </w:r>
    </w:p>
    <w:p>
      <w:pPr>
        <w:spacing w:after="0" w:line="72" w:lineRule="exact"/>
        <w:rPr>
          <w:sz w:val="20"/>
          <w:szCs w:val="20"/>
          <w:color w:val="auto"/>
        </w:rPr>
      </w:pPr>
    </w:p>
    <w:p>
      <w:pPr>
        <w:ind w:left="1320" w:right="499" w:hanging="434"/>
        <w:spacing w:after="0" w:line="258"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19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1320" w:right="479" w:hanging="434"/>
        <w:spacing w:after="0" w:line="277" w:lineRule="auto"/>
        <w:tabs>
          <w:tab w:leader="none" w:pos="129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60"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On January 11, 2021, the Company’s shareholders approved the amendment to the Series A Preferred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27, 2021, the Company entered into an underwriting agreement with Maxim Group LLC in connection with the Company’s initial public offering (“IPO”). On January 27, 2021, the Company announced the pricing of its IPO of 5,400,000 shares of common stock for a price of $10.00 per share, less certain underwriting discounts and commissions. The Company also granted the underwriters a 45-day option to purchase up to 810,000 additional shares of our common stock on the same terms and conditions for the purpose of covering any over-allotments in connection with the IPO.</w:t>
      </w:r>
    </w:p>
    <w:p>
      <w:pPr>
        <w:spacing w:after="0" w:line="79"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The IPO closed on February 1, 2021 (the “IPO Closing Date”) and was made pursuant to the Company’s registration statement on Form S-1, which was declared effective by the Securities and Exchange Commission (the “SEC”) on January 27, 2021 under the Securities Act of 1933, as amended (the “Securities Act”), and the Company’s registration statement on Form S-1MEF. A final prospectus describing the terms of the IPO was filed with the SEC on January 29, 2021.</w:t>
      </w:r>
    </w:p>
    <w:p>
      <w:pPr>
        <w:spacing w:after="0" w:line="75"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our IPO to 6,210,000 shares and the total net proceeds received in connection with the IPO to approximately $57 million, after deducting underwriting discounts and estimated offering expenses.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102870</wp:posOffset>
            </wp:positionV>
            <wp:extent cx="1937385" cy="506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TriGrow Systems, Inc.</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120015</wp:posOffset>
            </wp:positionV>
            <wp:extent cx="1045845"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15,328,617 and 10,555,000 shares, $0.001 par value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24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F-47</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(loss) profit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2"/>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80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Times New Roman" w:cs="Times New Roman" w:eastAsia="Times New Roman" w:hAnsi="Times New Roman"/>
                <w:sz w:val="18"/>
                <w:szCs w:val="18"/>
                <w:color w:val="auto"/>
                <w:w w:val="99"/>
              </w:rPr>
              <w:t>F-48</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type w:val="continuous"/>
        </w:sectPr>
      </w:pPr>
    </w:p>
    <w:bookmarkStart w:id="167" w:name="page168"/>
    <w:bookmarkEnd w:id="167"/>
    <w:p>
      <w:pPr>
        <w:spacing w:after="0" w:line="196" w:lineRule="auto"/>
        <w:framePr w:w="660" w:h="160" w:wrap="auto" w:vAnchor="page" w:hAnchor="page" w:x="2040" w:y="806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31" w:lineRule="auto"/>
        <w:framePr w:w="920" w:h="376" w:wrap="auto" w:vAnchor="page" w:hAnchor="page" w:x="2040" w:y="593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w:t>
      </w:r>
    </w:p>
    <w:p>
      <w:pPr>
        <w:spacing w:after="0" w:line="196" w:lineRule="auto"/>
        <w:framePr w:w="660" w:h="160" w:wrap="auto" w:vAnchor="page" w:hAnchor="page" w:x="2040" w:y="498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28" w:lineRule="auto"/>
        <w:framePr w:w="1080" w:h="592" w:wrap="auto" w:vAnchor="page" w:hAnchor="page" w:x="1860" w:y="2896"/>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January 1, 2018</w:t>
      </w:r>
    </w:p>
    <w:p>
      <w:pPr>
        <w:spacing w:after="0" w:line="196" w:lineRule="auto"/>
        <w:framePr w:w="1360" w:h="160" w:wrap="auto" w:vAnchor="page" w:hAnchor="page" w:x="1860" w:y="290"/>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7"/>
            <w:szCs w:val="17"/>
            <w:b w:val="1"/>
            <w:bCs w:val="1"/>
            <w:u w:val="single" w:color="auto"/>
            <w:color w:val="0000EE"/>
          </w:rPr>
          <w:t>Table of Contents</w:t>
        </w:r>
      </w:hyperlink>
    </w:p>
    <w:p>
      <w:pPr>
        <w:jc w:val="center"/>
        <w:ind w:left="460" w:right="146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CONSOLIDATED STATEMENTS OF STOCKHOLDERS’ EQUITY (In thousands, except share amounts)</w:t>
      </w:r>
    </w:p>
    <w:p>
      <w:pPr>
        <w:spacing w:after="0" w:line="250" w:lineRule="exact"/>
        <w:rPr>
          <w:rFonts w:ascii="Times New Roman" w:cs="Times New Roman" w:eastAsia="Times New Roman" w:hAnsi="Times New Roman"/>
          <w:sz w:val="17"/>
          <w:szCs w:val="17"/>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20" w:type="dxa"/>
            <w:vAlign w:val="bottom"/>
            <w:gridSpan w:val="8"/>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to Trigrow</w:t>
            </w:r>
          </w:p>
        </w:tc>
        <w:tc>
          <w:tcPr>
            <w:tcW w:w="1760" w:type="dxa"/>
            <w:vAlign w:val="bottom"/>
            <w:gridSpan w:val="9"/>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2,072,794</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9,538,746</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3,014,993</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rFonts w:ascii="Times New Roman" w:cs="Times New Roman" w:eastAsia="Times New Roman" w:hAnsi="Times New Roman"/>
          <w:sz w:val="17"/>
          <w:szCs w:val="17"/>
          <w:b w:val="1"/>
          <w:bCs w:val="1"/>
          <w:u w:val="single" w:color="auto"/>
          <w:color w:val="0000EE"/>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rFonts w:ascii="Times New Roman" w:cs="Times New Roman" w:eastAsia="Times New Roman" w:hAnsi="Times New Roman"/>
          <w:sz w:val="17"/>
          <w:szCs w:val="17"/>
          <w:b w:val="1"/>
          <w:bCs w:val="1"/>
          <w:u w:val="single" w:color="auto"/>
          <w:color w:val="0000EE"/>
        </w:rPr>
      </w:pPr>
    </w:p>
    <w:p>
      <w:pPr>
        <w:ind w:left="43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698" w:right="459"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0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years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6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Cash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December 31, 2019.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revenue, or whose accounts receivable balances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accounts receivable, as follows:</w:t>
      </w:r>
    </w:p>
    <w:p>
      <w:pPr>
        <w:spacing w:after="0" w:line="12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ind w:left="460" w:right="879" w:firstLine="432"/>
        <w:spacing w:after="0" w:line="312" w:lineRule="auto"/>
        <w:rPr>
          <w:sz w:val="20"/>
          <w:szCs w:val="20"/>
          <w:color w:val="auto"/>
        </w:rPr>
      </w:pPr>
      <w:r>
        <w:rPr>
          <w:rFonts w:ascii="Times New Roman" w:cs="Times New Roman" w:eastAsia="Times New Roman" w:hAnsi="Times New Roman"/>
          <w:sz w:val="17"/>
          <w:szCs w:val="17"/>
          <w:color w:val="auto"/>
        </w:rPr>
        <w:t>Intangible assets are related to the establishment of Brands and capital contribution made by a non-controlling entity in the form of license agreement and from investment in the Company’s website domain.</w:t>
      </w:r>
    </w:p>
    <w:p>
      <w:pPr>
        <w:spacing w:after="0" w:line="59"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2019, and 2018, the value of the license agreement was $167 and the Company’s domain was $3. Investments in the Company’s website are amortized over their estimated useful lives of</w:t>
      </w:r>
    </w:p>
    <w:p>
      <w:pPr>
        <w:spacing w:after="0" w:line="1" w:lineRule="exact"/>
        <w:rPr>
          <w:sz w:val="20"/>
          <w:szCs w:val="20"/>
          <w:color w:val="auto"/>
        </w:rPr>
      </w:pPr>
    </w:p>
    <w:p>
      <w:pPr>
        <w:ind w:left="460" w:right="739"/>
        <w:spacing w:after="0" w:line="260" w:lineRule="auto"/>
        <w:rPr>
          <w:sz w:val="20"/>
          <w:szCs w:val="20"/>
          <w:color w:val="auto"/>
        </w:rPr>
      </w:pPr>
      <w:r>
        <w:rPr>
          <w:rFonts w:ascii="Times New Roman" w:cs="Times New Roman" w:eastAsia="Times New Roman" w:hAnsi="Times New Roman"/>
          <w:sz w:val="18"/>
          <w:szCs w:val="18"/>
          <w:color w:val="auto"/>
        </w:rPr>
        <w:t>3 years. As of December 31, 2019, and 2018, amortizable intangible assets were $3 and $3, and accumulated amortization was $2 and $1, respectively.</w:t>
      </w:r>
    </w:p>
    <w:p>
      <w:pPr>
        <w:spacing w:after="0" w:line="11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6"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16"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7"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0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2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ASU No. 2014-15, </w:t>
      </w:r>
      <w:r>
        <w:rPr>
          <w:rFonts w:ascii="Times New Roman" w:cs="Times New Roman" w:eastAsia="Times New Roman" w:hAnsi="Times New Roman"/>
          <w:sz w:val="18"/>
          <w:szCs w:val="18"/>
          <w:i w:val="1"/>
          <w:iCs w:val="1"/>
          <w:color w:val="auto"/>
        </w:rPr>
        <w:t xml:space="preserve">Disclosure of Uncertainties about an Entity’s Ability to Continue as a Going Concern </w:t>
      </w:r>
      <w:r>
        <w:rPr>
          <w:rFonts w:ascii="Times New Roman" w:cs="Times New Roman" w:eastAsia="Times New Roman" w:hAnsi="Times New Roman"/>
          <w:sz w:val="18"/>
          <w:szCs w:val="18"/>
          <w:color w:val="auto"/>
        </w:rPr>
        <w:t>(“ASU 2014-15”).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02"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Inventory</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187</w:t>
            </w:r>
          </w:p>
        </w:tc>
        <w:tc>
          <w:tcPr>
            <w:tcW w:w="92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$1 and $1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9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On November 16, 2018, the Company increased its authorized number of shares of common stock to 10,555,000 shares and to simultaneously declared a 1,000 for 1 stock split of its common shares.</w:t>
      </w:r>
    </w:p>
    <w:p>
      <w:pPr>
        <w:spacing w:after="0" w:line="8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30"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 KISS</w:t>
      </w:r>
    </w:p>
    <w:p>
      <w:pPr>
        <w:spacing w:after="0" w:line="162"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On May 11, 2018, the Company issued Series 1 KISS notes for $500 (“KISS 1”). The KISS 1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500,000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61" w:lineRule="auto"/>
        <w:tabs>
          <w:tab w:leader="none" w:pos="12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85"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2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08"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Series 1 KISS do not bear any interest. On April 30, 2019, the KISS 1 note was converted to 500,000 Preferred A Stock as part of the Company’s Preferred A financing round.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1.A KISS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During August 3, 2018 and September 14, 2018, the Company issued Series 1.A KISS notes for a total of $800 (“KISS 1.A”). The KISS 1.A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8"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2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KISS1.A’s holders to shares, at any time on or after the maturity of KISS 1.</w:t>
      </w:r>
    </w:p>
    <w:p>
      <w:pPr>
        <w:spacing w:after="0" w:line="8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2"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Series 1.A KISS do not bear any interest and were converted to 442,199 Preferred A Stock on April 30, 2019 as part of the Company’s Preferred A financing round.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November 2018, TriGrow adopted its 2018 Stock Plan allowing the issuance of 1,055,000 shares.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979,279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940,533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60" w:type="dxa"/>
            <w:vAlign w:val="bottom"/>
            <w:tcBorders>
              <w:bottom w:val="single" w:sz="8" w:color="CCEEFF"/>
            </w:tcBorders>
            <w:vMerge w:val="continue"/>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gridSpan w:val="2"/>
            <w:vMerge w:val="continue"/>
          </w:tcPr>
          <w:p>
            <w:pPr>
              <w:spacing w:after="0"/>
              <w:rPr>
                <w:sz w:val="23"/>
                <w:szCs w:val="23"/>
                <w:color w:val="auto"/>
              </w:rPr>
            </w:pPr>
          </w:p>
        </w:tc>
        <w:tc>
          <w:tcPr>
            <w:tcW w:w="1240" w:type="dxa"/>
            <w:vAlign w:val="bottom"/>
            <w:tcBorders>
              <w:bottom w:val="single" w:sz="8" w:color="CCEEFF"/>
            </w:tcBorders>
            <w:gridSpan w:val="3"/>
            <w:vMerge w:val="continue"/>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at December 31, 2019 was $196 as the Company’s stock price of $0.201 on grant date was higher than the exercise price of the stock options.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104"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as of December 31, 2019 and 2018 are summarized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Through and including , 2021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3,795,547 Shares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429895</wp:posOffset>
            </wp:positionV>
            <wp:extent cx="3051810" cy="8489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00" w:hanging="608"/>
        <w:spacing w:after="0"/>
        <w:tabs>
          <w:tab w:leader="none" w:pos="45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536575</wp:posOffset>
            </wp:positionV>
            <wp:extent cx="514350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579120</wp:posOffset>
            </wp:positionV>
            <wp:extent cx="514350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862330</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9,409.88</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13,437.50</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41"/>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40,854.07</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233,701.45</w:t>
            </w:r>
          </w:p>
        </w:tc>
      </w:tr>
      <w:tr>
        <w:trPr>
          <w:trHeight w:val="40"/>
        </w:trPr>
        <w:tc>
          <w:tcPr>
            <w:tcW w:w="46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16"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9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0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20" w:lineRule="exact"/>
        <w:rPr>
          <w:sz w:val="20"/>
          <w:szCs w:val="20"/>
          <w:color w:val="auto"/>
        </w:rPr>
      </w:pPr>
    </w:p>
    <w:p>
      <w:pPr>
        <w:ind w:left="460" w:right="779" w:firstLine="432"/>
        <w:spacing w:after="0" w:line="258"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16" w:lineRule="exact"/>
        <w:rPr>
          <w:sz w:val="20"/>
          <w:szCs w:val="20"/>
          <w:color w:val="auto"/>
        </w:rPr>
      </w:pPr>
    </w:p>
    <w:p>
      <w:pPr>
        <w:ind w:left="460" w:right="619" w:firstLine="432"/>
        <w:spacing w:after="0" w:line="276" w:lineRule="auto"/>
        <w:rPr>
          <w:sz w:val="20"/>
          <w:szCs w:val="20"/>
          <w:color w:val="auto"/>
        </w:rPr>
      </w:pPr>
      <w:r>
        <w:rPr>
          <w:rFonts w:ascii="Times New Roman" w:cs="Times New Roman" w:eastAsia="Times New Roman" w:hAnsi="Times New Roman"/>
          <w:sz w:val="17"/>
          <w:szCs w:val="17"/>
          <w:color w:val="auto"/>
        </w:rPr>
        <w:t>Discretionary indemnification pursuant to Section 78.7502 may be made as authorized upon determination that the indemnification is proper under the circumstances. Such determination may be made by</w:t>
      </w:r>
    </w:p>
    <w:p>
      <w:pPr>
        <w:spacing w:after="0" w:line="1" w:lineRule="exact"/>
        <w:rPr>
          <w:sz w:val="20"/>
          <w:szCs w:val="20"/>
          <w:color w:val="auto"/>
        </w:rPr>
      </w:pPr>
    </w:p>
    <w:p>
      <w:pPr>
        <w:jc w:val="both"/>
        <w:ind w:left="460" w:right="499" w:hanging="6"/>
        <w:spacing w:after="0" w:line="253" w:lineRule="auto"/>
        <w:tabs>
          <w:tab w:leader="none" w:pos="6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0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2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0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21"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The information below lists all of the securities sold by us during the past three years which were not registered under the Securities Act:</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10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January 2020, the Company issued an aggregate of 595,552 shares of its common stock to the TriGrow shareholders in connection with the merger with TriGrow.</w:t>
      </w:r>
    </w:p>
    <w:p>
      <w:pPr>
        <w:spacing w:after="0" w:line="9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95" w:lineRule="exact"/>
        <w:rPr>
          <w:sz w:val="20"/>
          <w:szCs w:val="20"/>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10, 2020: 40,000 Series A Preferred Shares were issued by the Company to three investors.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13, 2020: 5,000 Series A Preferred Shares were issued by the Company to one investor.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21, 2020: 10,000 Series A Preferred Shares were issued by the Company to one investor.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17, 2020: 5,000 Series A Preferred Shares were issued by the Company to one investor.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7, 2020: 40,000 Series A Preferred Shares were issued by the Company to one investor.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May 2020, the Company issued stock options to purchase an aggregate of 1,622,719 shares of its common stock to its officers, directors and employees in consideration for services provided, or to be provided, to the Company.</w:t>
      </w:r>
    </w:p>
    <w:p>
      <w:pPr>
        <w:spacing w:after="0" w:line="108"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10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In December 2020, the Company issued stock options to purchase an aggregate of 44,254 shares of its common stock to its directors in consideration for services provided, or to be provided, to the Company.</w:t>
      </w:r>
    </w:p>
    <w:p>
      <w:pPr>
        <w:spacing w:after="0" w:line="81" w:lineRule="exact"/>
        <w:rPr>
          <w:sz w:val="20"/>
          <w:szCs w:val="20"/>
          <w:color w:val="auto"/>
        </w:rPr>
      </w:pPr>
    </w:p>
    <w:p>
      <w:pPr>
        <w:ind w:left="460" w:right="859" w:firstLine="432"/>
        <w:spacing w:after="0" w:line="312" w:lineRule="auto"/>
        <w:rPr>
          <w:sz w:val="20"/>
          <w:szCs w:val="20"/>
          <w:color w:val="auto"/>
        </w:rPr>
      </w:pPr>
      <w:r>
        <w:rPr>
          <w:rFonts w:ascii="Times New Roman" w:cs="Times New Roman" w:eastAsia="Times New Roman" w:hAnsi="Times New Roman"/>
          <w:sz w:val="17"/>
          <w:szCs w:val="17"/>
          <w:color w:val="auto"/>
        </w:rPr>
        <w:t>In January 2021, the Company issued stock options to purchase an aggregate of 144,360 shares of its common stock to its directors in consideration for services provided, or to be provided, to the Company.</w:t>
      </w:r>
    </w:p>
    <w:p>
      <w:pPr>
        <w:spacing w:after="0" w:line="7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Notes</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Closing Date</w:t>
            </w:r>
          </w:p>
        </w:tc>
        <w:tc>
          <w:tcPr>
            <w:tcW w:w="180" w:type="dxa"/>
            <w:vAlign w:val="bottom"/>
          </w:tcPr>
          <w:p>
            <w:pPr>
              <w:spacing w:after="0"/>
              <w:rPr>
                <w:sz w:val="18"/>
                <w:szCs w:val="18"/>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Issued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8/19/2020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9/16/2020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9/23/2020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11/13/2020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11/27/2020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11/18/2020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11/30/2020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12/8/2020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12/28/2020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12/14/2020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12/31/2020</w:t>
            </w:r>
          </w:p>
        </w:tc>
        <w:tc>
          <w:tcPr>
            <w:tcW w:w="1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1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ind w:left="1300" w:hanging="41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25"/>
          </w:tcPr>
          <w:p>
            <w:pPr>
              <w:ind w:left="7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3"/>
        </w:trPr>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704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Underwriting Agreement dated as of January 27, 2021 between the Registrant and Maxim Group,</w:t>
              </w:r>
            </w:hyperlink>
          </w:p>
        </w:tc>
        <w:tc>
          <w:tcPr>
            <w:tcW w:w="180" w:type="dxa"/>
            <w:vAlign w:val="bottom"/>
            <w:gridSpan w:val="8"/>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LLC (incorporated by reference to Exhibit 1.1 to the Registrant’s Current Report on Form 8-K filed</w:t>
              </w:r>
            </w:hyperlink>
          </w:p>
        </w:tc>
        <w:tc>
          <w:tcPr>
            <w:tcW w:w="4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with the Securities and Exchange Commission on February 2, 2021)</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Agreement and Plan of Merger dated January 22, 2020 between the Company and TriGrow</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Systems, Inc. (incorporated by reference to Exhibit 2.1 to the Registrant’s Registration Statement on</w:t>
              </w:r>
            </w:hyperlink>
          </w:p>
        </w:tc>
      </w:tr>
      <w:tr>
        <w:trPr>
          <w:trHeight w:val="257"/>
        </w:trPr>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200" w:type="dxa"/>
            <w:vAlign w:val="bottom"/>
            <w:tcBorders>
              <w:top w:val="single" w:sz="8" w:color="0000EE"/>
              <w:bottom w:val="single" w:sz="8" w:color="CCEEFF"/>
            </w:tcBorders>
            <w:gridSpan w:val="28"/>
            <w:shd w:val="clear" w:color="auto" w:fill="CCEEFF"/>
          </w:tcPr>
          <w:p>
            <w:pPr>
              <w:spacing w:after="0"/>
              <w:rPr>
                <w:rFonts w:ascii="Times New Roman" w:cs="Times New Roman" w:eastAsia="Times New Roman" w:hAnsi="Times New Roman"/>
                <w:sz w:val="18"/>
                <w:szCs w:val="18"/>
                <w:u w:val="single" w:color="auto"/>
                <w:color w:val="0000EE"/>
              </w:rPr>
            </w:pPr>
            <w:hyperlink r:id="rId283">
              <w:r>
                <w:rPr>
                  <w:rFonts w:ascii="Times New Roman" w:cs="Times New Roman" w:eastAsia="Times New Roman" w:hAnsi="Times New Roman"/>
                  <w:sz w:val="18"/>
                  <w:szCs w:val="18"/>
                  <w:u w:val="single" w:color="auto"/>
                  <w:color w:val="0000EE"/>
                </w:rPr>
                <w:t>Form S-1 filed with the Securities and Exchange Commission on December 22, 2020)</w:t>
              </w:r>
            </w:hyperlink>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714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Articles of Incorporation of the Registrant, as amended (incorporated by reference to Exhibit 3.1 to</w:t>
              </w:r>
            </w:hyperlink>
          </w:p>
        </w:tc>
        <w:tc>
          <w:tcPr>
            <w:tcW w:w="80" w:type="dxa"/>
            <w:vAlign w:val="bottom"/>
            <w:gridSpan w:val="4"/>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the Registrant’s Amendment No. 1 to Registration Statement on Form S-1 filed with the Securities</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and Exchange Commission on January 13, 2021)</w:t>
              </w:r>
            </w:hyperlink>
          </w:p>
        </w:tc>
        <w:tc>
          <w:tcPr>
            <w:tcW w:w="140" w:type="dxa"/>
            <w:vAlign w:val="bottom"/>
            <w:gridSpan w:val="7"/>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68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Third Amended and Restated Certificate of Designations of the Series A Convertible Preferred</w:t>
              </w:r>
            </w:hyperlink>
          </w:p>
        </w:tc>
        <w:tc>
          <w:tcPr>
            <w:tcW w:w="400" w:type="dxa"/>
            <w:vAlign w:val="bottom"/>
            <w:tcBorders>
              <w:bottom w:val="single" w:sz="8" w:color="CCEEFF"/>
            </w:tcBorders>
            <w:gridSpan w:val="14"/>
            <w:shd w:val="clear" w:color="auto" w:fill="CCEEFF"/>
          </w:tcPr>
          <w:p>
            <w:pPr>
              <w:spacing w:after="0"/>
              <w:rPr>
                <w:sz w:val="15"/>
                <w:szCs w:val="15"/>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Stock of the Registrant (incorporated by reference to Exhibit 3.2 to the Registrant’s Amendment</w:t>
              </w:r>
            </w:hyperlink>
          </w:p>
        </w:tc>
        <w:tc>
          <w:tcPr>
            <w:tcW w:w="30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No. 1 to Registration Statement on Form S-1 filed with the Securities and Exchange Commission</w:t>
              </w:r>
            </w:hyperlink>
          </w:p>
        </w:tc>
        <w:tc>
          <w:tcPr>
            <w:tcW w:w="22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on January 13,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69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Amended and Restated Bylaws of the Registrant (incorporated by reference to Exhibit 3.3 to the</w:t>
              </w:r>
            </w:hyperlink>
          </w:p>
        </w:tc>
        <w:tc>
          <w:tcPr>
            <w:tcW w:w="280" w:type="dxa"/>
            <w:vAlign w:val="bottom"/>
            <w:gridSpan w:val="12"/>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Registrant’s Amendment No. 2 to Registration Statement on Form S-1 filed with the Securities and</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Exchange Commission on January 26, 2021)</w:t>
              </w:r>
            </w:hyperlink>
          </w:p>
        </w:tc>
        <w:tc>
          <w:tcPr>
            <w:tcW w:w="100" w:type="dxa"/>
            <w:vAlign w:val="bottom"/>
            <w:gridSpan w:val="5"/>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Form of Common Stock Certificate (incorporated by reference to Exhibit 4.1 to the Registrant’s</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Amendment No. 2 to Registration Statement on Form S-1 filed with the Securities and Exchange</w:t>
              </w:r>
            </w:hyperlink>
          </w:p>
        </w:tc>
        <w:tc>
          <w:tcPr>
            <w:tcW w:w="24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Commission on January 26,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Form of Representative’s Warrant**</w:t>
            </w:r>
          </w:p>
        </w:tc>
      </w:tr>
      <w:tr>
        <w:trPr>
          <w:trHeight w:val="49"/>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Form of Representative’s Warrant dated January 27, 2021 (incorporated by reference to Exhibit 4.2</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to the Registrant’s Amendment No. 2 to Registration Statement on Form S-1 filed with the</w:t>
              </w:r>
            </w:hyperlink>
          </w:p>
        </w:tc>
        <w:tc>
          <w:tcPr>
            <w:tcW w:w="64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Securities and Exchange Commission on January 26,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716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Form of Warrant issued to Noteholders (incorporated by reference to Exhibit 4.3 to the Registrant’s</w:t>
              </w:r>
            </w:hyperlink>
          </w:p>
        </w:tc>
        <w:tc>
          <w:tcPr>
            <w:tcW w:w="60" w:type="dxa"/>
            <w:vAlign w:val="bottom"/>
            <w:gridSpan w:val="3"/>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Registration Statement on Form S-1 filed with the Securities and Exchange Commission on</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December 22, 2020)</w:t>
              </w:r>
            </w:hyperlink>
          </w:p>
        </w:tc>
        <w:tc>
          <w:tcPr>
            <w:tcW w:w="640" w:type="dxa"/>
            <w:vAlign w:val="bottom"/>
            <w:gridSpan w:val="16"/>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63"/>
        </w:trPr>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Loeb &amp; Loeb LLP regarding legality**</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704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Operating Agreement of Agrify-Valiant, LLC dated December 8, 2019 (incorporated by reference</w:t>
              </w:r>
            </w:hyperlink>
          </w:p>
        </w:tc>
        <w:tc>
          <w:tcPr>
            <w:tcW w:w="180" w:type="dxa"/>
            <w:vAlign w:val="bottom"/>
            <w:gridSpan w:val="8"/>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to Exhibit 10.1 to the Registrant’s Registration Statement on Form S-1 filed with the Securities and</w:t>
              </w:r>
            </w:hyperlink>
          </w:p>
        </w:tc>
        <w:tc>
          <w:tcPr>
            <w:tcW w:w="8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Exchange Commission on December 22, 2020)</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Distribution Agreement dated June 7, 2019 between the Company and Bluezone Products, Inc.±</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(incorporated by reference to Exhibit 10.2 to the Registrant’s Registration Statement on Form S-1</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filed with the Securities and Exchange Commission on December 22, 2020)</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7220" w:type="dxa"/>
            <w:vAlign w:val="bottom"/>
            <w:gridSpan w:val="29"/>
          </w:tcPr>
          <w:p>
            <w:pPr>
              <w:spacing w:after="0" w:line="17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Distribution Agreement dated March 9, 2020 between the Company and Enozo Technologies Inc.±</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(incorporated by reference to Exhibit 10.3 to the Registrant’s Registration Statement on Form S-1</w:t>
              </w:r>
            </w:hyperlink>
          </w:p>
        </w:tc>
        <w:tc>
          <w:tcPr>
            <w:tcW w:w="100" w:type="dxa"/>
            <w:vAlign w:val="bottom"/>
            <w:tcBorders>
              <w:top w:val="single" w:sz="8" w:color="0000EE"/>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filed with the Securities and Exchange Commission on December 22, 2020)</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Purchase Agreement dated as of July 10, 2020 between the Company and 4D Bios Inc.±</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7"/>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(incorporated by reference to Exhibit 10.4 to the Registrant’s Registration Statement on Form S-1</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filed with the Securities and Exchange Commission on December 22, 2020)</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7220" w:type="dxa"/>
            <w:vAlign w:val="bottom"/>
            <w:gridSpan w:val="29"/>
          </w:tcPr>
          <w:p>
            <w:pPr>
              <w:spacing w:after="0" w:line="17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Form of Employment Agreement of Raymond Chang (incorporated by reference to Exhibit 10.5 to</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the Registrant’s Amendment No. 1 to Registration Statement on Form S-1 filed with the Securities</w:t>
              </w:r>
            </w:hyperlink>
          </w:p>
        </w:tc>
        <w:tc>
          <w:tcPr>
            <w:tcW w:w="12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and Exchange Commission on January 13, 2021)</w:t>
              </w:r>
            </w:hyperlink>
          </w:p>
        </w:tc>
        <w:tc>
          <w:tcPr>
            <w:tcW w:w="140" w:type="dxa"/>
            <w:vAlign w:val="bottom"/>
            <w:gridSpan w:val="7"/>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Employment Agreement of Former Chief Technology Officer, Matthew Liotta (incorporated by</w:t>
              </w:r>
            </w:hyperlink>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reference to Exhibit 10.7 to the Registrant’s Registration Statement on Form S-1 filed with the</w:t>
              </w:r>
            </w:hyperlink>
          </w:p>
        </w:tc>
        <w:tc>
          <w:tcPr>
            <w:tcW w:w="300" w:type="dxa"/>
            <w:vAlign w:val="bottom"/>
            <w:tcBorders>
              <w:top w:val="single" w:sz="8" w:color="CCEEFF"/>
            </w:tcBorders>
            <w:gridSpan w:val="13"/>
            <w:shd w:val="clear" w:color="auto" w:fill="CCEEFF"/>
          </w:tcPr>
          <w:p>
            <w:pPr>
              <w:spacing w:after="0"/>
              <w:rPr>
                <w:sz w:val="17"/>
                <w:szCs w:val="17"/>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7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Securities and Exchange Commission on December 22, 2020)</w:t>
              </w:r>
            </w:hyperlink>
          </w:p>
        </w:tc>
        <w:tc>
          <w:tcPr>
            <w:tcW w:w="440" w:type="dxa"/>
            <w:vAlign w:val="bottom"/>
            <w:tcBorders>
              <w:top w:val="single" w:sz="8" w:color="CCEEFF"/>
            </w:tcBorders>
            <w:gridSpan w:val="15"/>
            <w:shd w:val="clear" w:color="auto" w:fill="CCEEFF"/>
          </w:tcPr>
          <w:p>
            <w:pPr>
              <w:spacing w:after="0"/>
              <w:rPr>
                <w:sz w:val="17"/>
                <w:szCs w:val="17"/>
                <w:color w:val="auto"/>
              </w:rPr>
            </w:pPr>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700"/>
        <w:spacing w:after="0"/>
        <w:tabs>
          <w:tab w:leader="none" w:pos="45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60" w:lineRule="exact"/>
        <w:rPr>
          <w:sz w:val="20"/>
          <w:szCs w:val="20"/>
          <w:color w:val="auto"/>
        </w:rPr>
      </w:pPr>
    </w:p>
    <w:p>
      <w:pPr>
        <w:ind w:left="1340" w:right="65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97">
        <w:r>
          <w:rPr>
            <w:rFonts w:ascii="Times New Roman" w:cs="Times New Roman" w:eastAsia="Times New Roman" w:hAnsi="Times New Roman"/>
            <w:sz w:val="18"/>
            <w:szCs w:val="18"/>
            <w:u w:val="single" w:color="auto"/>
            <w:color w:val="0000EE"/>
          </w:rPr>
          <w:t>Separation Agreement dated August 5, 2020 between the Company and Matthew Liotta</w:t>
        </w:r>
      </w:hyperlink>
      <w:r>
        <w:rPr>
          <w:rFonts w:ascii="Times New Roman" w:cs="Times New Roman" w:eastAsia="Times New Roman" w:hAnsi="Times New Roman"/>
          <w:sz w:val="18"/>
          <w:szCs w:val="18"/>
          <w:u w:val="single" w:color="auto"/>
          <w:color w:val="0000EE"/>
        </w:rPr>
        <w:t xml:space="preserve"> </w:t>
      </w:r>
      <w:hyperlink r:id="rId297">
        <w:r>
          <w:rPr>
            <w:rFonts w:ascii="Times New Roman" w:cs="Times New Roman" w:eastAsia="Times New Roman" w:hAnsi="Times New Roman"/>
            <w:sz w:val="18"/>
            <w:szCs w:val="18"/>
            <w:u w:val="single" w:color="auto"/>
            <w:color w:val="0000EE"/>
          </w:rPr>
          <w:t>(incorporated by reference to Exhibit 10.8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297">
        <w:r>
          <w:rPr>
            <w:rFonts w:ascii="Times New Roman" w:cs="Times New Roman" w:eastAsia="Times New Roman" w:hAnsi="Times New Roman"/>
            <w:sz w:val="18"/>
            <w:szCs w:val="18"/>
            <w:u w:val="single" w:color="auto"/>
            <w:color w:val="0000EE"/>
          </w:rPr>
          <w:t>filed with the Securities and Exchange Commission on December 22,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-433070</wp:posOffset>
            </wp:positionV>
            <wp:extent cx="5143500" cy="4457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ind w:left="1340" w:right="57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99">
        <w:r>
          <w:rPr>
            <w:rFonts w:ascii="Times New Roman" w:cs="Times New Roman" w:eastAsia="Times New Roman" w:hAnsi="Times New Roman"/>
            <w:sz w:val="18"/>
            <w:szCs w:val="18"/>
            <w:u w:val="single" w:color="auto"/>
            <w:color w:val="0000EE"/>
          </w:rPr>
          <w:t>Profits Interest Agreement dated January 21, 2020 between the Company and CCI Finance, LLC</w:t>
        </w:r>
      </w:hyperlink>
      <w:r>
        <w:rPr>
          <w:rFonts w:ascii="Times New Roman" w:cs="Times New Roman" w:eastAsia="Times New Roman" w:hAnsi="Times New Roman"/>
          <w:sz w:val="18"/>
          <w:szCs w:val="18"/>
          <w:u w:val="single" w:color="auto"/>
          <w:color w:val="0000EE"/>
        </w:rPr>
        <w:t xml:space="preserve"> </w:t>
      </w:r>
      <w:hyperlink r:id="rId299">
        <w:r>
          <w:rPr>
            <w:rFonts w:ascii="Times New Roman" w:cs="Times New Roman" w:eastAsia="Times New Roman" w:hAnsi="Times New Roman"/>
            <w:sz w:val="18"/>
            <w:szCs w:val="18"/>
            <w:u w:val="single" w:color="auto"/>
            <w:color w:val="0000EE"/>
          </w:rPr>
          <w:t>(incorporated by reference to Exhibit 10.11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299">
        <w:r>
          <w:rPr>
            <w:rFonts w:ascii="Times New Roman" w:cs="Times New Roman" w:eastAsia="Times New Roman" w:hAnsi="Times New Roman"/>
            <w:sz w:val="18"/>
            <w:szCs w:val="18"/>
            <w:u w:val="single" w:color="auto"/>
            <w:color w:val="0000EE"/>
          </w:rPr>
          <w:t>filed with the Securities and Exchange Commission on December 22, 2020)</w:t>
        </w:r>
      </w:hyperlink>
    </w:p>
    <w:p>
      <w:pPr>
        <w:ind w:left="1340" w:right="579" w:hanging="876"/>
        <w:spacing w:after="0" w:line="281" w:lineRule="auto"/>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300">
        <w:r>
          <w:rPr>
            <w:rFonts w:ascii="Times New Roman" w:cs="Times New Roman" w:eastAsia="Times New Roman" w:hAnsi="Times New Roman"/>
            <w:sz w:val="17"/>
            <w:szCs w:val="17"/>
            <w:u w:val="single" w:color="auto"/>
            <w:color w:val="0000EE"/>
          </w:rPr>
          <w:t>Form of Registration Rights Agreement between the Company and the Series A Preferred</w:t>
        </w:r>
      </w:hyperlink>
      <w:r>
        <w:rPr>
          <w:rFonts w:ascii="Times New Roman" w:cs="Times New Roman" w:eastAsia="Times New Roman" w:hAnsi="Times New Roman"/>
          <w:sz w:val="17"/>
          <w:szCs w:val="17"/>
          <w:u w:val="single" w:color="auto"/>
          <w:color w:val="0000EE"/>
        </w:rPr>
        <w:t xml:space="preserve"> </w:t>
      </w:r>
      <w:hyperlink r:id="rId300">
        <w:r>
          <w:rPr>
            <w:rFonts w:ascii="Times New Roman" w:cs="Times New Roman" w:eastAsia="Times New Roman" w:hAnsi="Times New Roman"/>
            <w:sz w:val="17"/>
            <w:szCs w:val="17"/>
            <w:u w:val="single" w:color="auto"/>
            <w:color w:val="0000EE"/>
          </w:rPr>
          <w:t>stockholders (incorporated by reference to Exhibit 10.12 to the Registrant’s Registration Statement</w:t>
        </w:r>
      </w:hyperlink>
      <w:r>
        <w:rPr>
          <w:rFonts w:ascii="Times New Roman" w:cs="Times New Roman" w:eastAsia="Times New Roman" w:hAnsi="Times New Roman"/>
          <w:sz w:val="17"/>
          <w:szCs w:val="17"/>
          <w:u w:val="single" w:color="auto"/>
          <w:color w:val="0000EE"/>
        </w:rPr>
        <w:t xml:space="preserve"> </w:t>
      </w:r>
      <w:hyperlink r:id="rId300">
        <w:r>
          <w:rPr>
            <w:rFonts w:ascii="Times New Roman" w:cs="Times New Roman" w:eastAsia="Times New Roman" w:hAnsi="Times New Roman"/>
            <w:sz w:val="17"/>
            <w:szCs w:val="17"/>
            <w:u w:val="single" w:color="auto"/>
            <w:color w:val="0000EE"/>
          </w:rPr>
          <w:t>on Form S-1 filed with the Securities and Exchange Commission on December 22, 2020)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-423545</wp:posOffset>
            </wp:positionV>
            <wp:extent cx="5143500" cy="436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99" w:hanging="876"/>
        <w:spacing w:after="0" w:line="261"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302">
        <w:r>
          <w:rPr>
            <w:rFonts w:ascii="Times New Roman" w:cs="Times New Roman" w:eastAsia="Times New Roman" w:hAnsi="Times New Roman"/>
            <w:sz w:val="18"/>
            <w:szCs w:val="18"/>
            <w:u w:val="single" w:color="auto"/>
            <w:color w:val="0000EE"/>
          </w:rPr>
          <w:t>Form of Series A Subscription Agreement between the Company and the Series A Preferred</w:t>
        </w:r>
      </w:hyperlink>
      <w:r>
        <w:rPr>
          <w:rFonts w:ascii="Times New Roman" w:cs="Times New Roman" w:eastAsia="Times New Roman" w:hAnsi="Times New Roman"/>
          <w:sz w:val="18"/>
          <w:szCs w:val="18"/>
          <w:u w:val="single" w:color="auto"/>
          <w:color w:val="0000EE"/>
        </w:rPr>
        <w:t xml:space="preserve"> </w:t>
      </w:r>
      <w:hyperlink r:id="rId302">
        <w:r>
          <w:rPr>
            <w:rFonts w:ascii="Times New Roman" w:cs="Times New Roman" w:eastAsia="Times New Roman" w:hAnsi="Times New Roman"/>
            <w:sz w:val="18"/>
            <w:szCs w:val="18"/>
            <w:u w:val="single" w:color="auto"/>
            <w:color w:val="0000EE"/>
          </w:rPr>
          <w:t>stockholders (incorporated by reference to Exhibit 10.10 to the Registrant’s Amendment No. 1 to</w:t>
        </w:r>
      </w:hyperlink>
      <w:r>
        <w:rPr>
          <w:rFonts w:ascii="Times New Roman" w:cs="Times New Roman" w:eastAsia="Times New Roman" w:hAnsi="Times New Roman"/>
          <w:sz w:val="18"/>
          <w:szCs w:val="18"/>
          <w:u w:val="single" w:color="auto"/>
          <w:color w:val="0000EE"/>
        </w:rPr>
        <w:t xml:space="preserve"> </w:t>
      </w:r>
      <w:hyperlink r:id="rId302">
        <w:r>
          <w:rPr>
            <w:rFonts w:ascii="Times New Roman" w:cs="Times New Roman" w:eastAsia="Times New Roman" w:hAnsi="Times New Roman"/>
            <w:sz w:val="18"/>
            <w:szCs w:val="18"/>
            <w:u w:val="single" w:color="auto"/>
            <w:color w:val="0000EE"/>
          </w:rPr>
          <w:t>Registration Statement on Form S-1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302">
        <w:r>
          <w:rPr>
            <w:rFonts w:ascii="Times New Roman" w:cs="Times New Roman" w:eastAsia="Times New Roman" w:hAnsi="Times New Roman"/>
            <w:sz w:val="18"/>
            <w:szCs w:val="18"/>
            <w:u w:val="single" w:color="auto"/>
            <w:color w:val="0000EE"/>
          </w:rPr>
          <w:t>January 13, 2021)</w:t>
        </w:r>
      </w:hyperlink>
    </w:p>
    <w:p>
      <w:pPr>
        <w:spacing w:after="0" w:line="4" w:lineRule="exact"/>
        <w:rPr>
          <w:rFonts w:ascii="Times New Roman" w:cs="Times New Roman" w:eastAsia="Times New Roman" w:hAnsi="Times New Roman"/>
          <w:sz w:val="18"/>
          <w:szCs w:val="18"/>
          <w:u w:val="single" w:color="auto"/>
          <w:color w:val="0000EE"/>
        </w:rPr>
      </w:pPr>
    </w:p>
    <w:p>
      <w:pPr>
        <w:ind w:left="1340" w:right="49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303">
        <w:r>
          <w:rPr>
            <w:rFonts w:ascii="Times New Roman" w:cs="Times New Roman" w:eastAsia="Times New Roman" w:hAnsi="Times New Roman"/>
            <w:sz w:val="18"/>
            <w:szCs w:val="18"/>
            <w:u w:val="single" w:color="auto"/>
            <w:color w:val="0000EE"/>
          </w:rPr>
          <w:t>2020 Omnibus Equity Incentive Plan (incorporated by reference to Exhibit 10.13 to the Registrant’s</w:t>
        </w:r>
      </w:hyperlink>
      <w:r>
        <w:rPr>
          <w:rFonts w:ascii="Times New Roman" w:cs="Times New Roman" w:eastAsia="Times New Roman" w:hAnsi="Times New Roman"/>
          <w:sz w:val="18"/>
          <w:szCs w:val="18"/>
          <w:u w:val="single" w:color="auto"/>
          <w:color w:val="0000EE"/>
        </w:rPr>
        <w:t xml:space="preserve"> </w:t>
      </w:r>
      <w:hyperlink r:id="rId303">
        <w:r>
          <w:rPr>
            <w:rFonts w:ascii="Times New Roman" w:cs="Times New Roman" w:eastAsia="Times New Roman" w:hAnsi="Times New Roman"/>
            <w:sz w:val="18"/>
            <w:szCs w:val="18"/>
            <w:u w:val="single" w:color="auto"/>
            <w:color w:val="0000EE"/>
          </w:rPr>
          <w:t>Registration Statement on Form S-1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303">
        <w:r>
          <w:rPr>
            <w:rFonts w:ascii="Times New Roman" w:cs="Times New Roman" w:eastAsia="Times New Roman" w:hAnsi="Times New Roman"/>
            <w:sz w:val="18"/>
            <w:szCs w:val="18"/>
            <w:u w:val="single" w:color="auto"/>
            <w:color w:val="0000EE"/>
          </w:rPr>
          <w:t>December 22,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3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305">
        <w:r>
          <w:rPr>
            <w:rFonts w:ascii="Times New Roman" w:cs="Times New Roman" w:eastAsia="Times New Roman" w:hAnsi="Times New Roman"/>
            <w:sz w:val="18"/>
            <w:szCs w:val="18"/>
            <w:u w:val="single" w:color="auto"/>
            <w:color w:val="0000EE"/>
          </w:rPr>
          <w:t>Form of Note and Warrant Purchase Agreement (incorporated by reference to Exhibit 10.14 to the</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Registrant’s Registration Statement on Form S-1 filed with the Securities and Exchange</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Commission on December 22, 2020)</w:t>
        </w:r>
      </w:hyperlink>
    </w:p>
    <w:p>
      <w:pPr>
        <w:ind w:left="1340" w:right="55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306">
        <w:r>
          <w:rPr>
            <w:rFonts w:ascii="Times New Roman" w:cs="Times New Roman" w:eastAsia="Times New Roman" w:hAnsi="Times New Roman"/>
            <w:sz w:val="18"/>
            <w:szCs w:val="18"/>
            <w:u w:val="single" w:color="auto"/>
            <w:color w:val="0000EE"/>
          </w:rPr>
          <w:t>Form of Convertible Promissory Note (incorporated by reference to Exhibit 10.13 to the</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Registrant’s Amendment No. 1 to Registration Statement on Form S-1 filed with the Securities and</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Exchange Commission on January 13, 2021)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599" w:hanging="876"/>
        <w:spacing w:after="0" w:line="261"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308">
        <w:r>
          <w:rPr>
            <w:rFonts w:ascii="Times New Roman" w:cs="Times New Roman" w:eastAsia="Times New Roman" w:hAnsi="Times New Roman"/>
            <w:sz w:val="18"/>
            <w:szCs w:val="18"/>
            <w:u w:val="single" w:color="auto"/>
            <w:color w:val="0000EE"/>
          </w:rPr>
          <w:t>Intellectual Property Assignment and Transfer Agreement by and among the Company, Agrify</w:t>
        </w:r>
      </w:hyperlink>
      <w:r>
        <w:rPr>
          <w:rFonts w:ascii="Times New Roman" w:cs="Times New Roman" w:eastAsia="Times New Roman" w:hAnsi="Times New Roman"/>
          <w:sz w:val="18"/>
          <w:szCs w:val="18"/>
          <w:u w:val="single" w:color="auto"/>
          <w:color w:val="0000EE"/>
        </w:rPr>
        <w:t xml:space="preserve"> </w:t>
      </w:r>
      <w:hyperlink r:id="rId308">
        <w:r>
          <w:rPr>
            <w:rFonts w:ascii="Times New Roman" w:cs="Times New Roman" w:eastAsia="Times New Roman" w:hAnsi="Times New Roman"/>
            <w:sz w:val="18"/>
            <w:szCs w:val="18"/>
            <w:u w:val="single" w:color="auto"/>
            <w:color w:val="0000EE"/>
          </w:rPr>
          <w:t>Brands, LLC and The Holden Company effective as of January 1, 2020 (incorporated by reference</w:t>
        </w:r>
      </w:hyperlink>
      <w:r>
        <w:rPr>
          <w:rFonts w:ascii="Times New Roman" w:cs="Times New Roman" w:eastAsia="Times New Roman" w:hAnsi="Times New Roman"/>
          <w:sz w:val="18"/>
          <w:szCs w:val="18"/>
          <w:u w:val="single" w:color="auto"/>
          <w:color w:val="0000EE"/>
        </w:rPr>
        <w:t xml:space="preserve"> </w:t>
      </w:r>
      <w:hyperlink r:id="rId308">
        <w:r>
          <w:rPr>
            <w:rFonts w:ascii="Times New Roman" w:cs="Times New Roman" w:eastAsia="Times New Roman" w:hAnsi="Times New Roman"/>
            <w:sz w:val="18"/>
            <w:szCs w:val="18"/>
            <w:u w:val="single" w:color="auto"/>
            <w:color w:val="0000EE"/>
          </w:rPr>
          <w:t>to Exhibit 10.16 to the Registrant’s Registration Statement on Form S-1 filed with the Securities</w:t>
        </w:r>
      </w:hyperlink>
      <w:r>
        <w:rPr>
          <w:rFonts w:ascii="Times New Roman" w:cs="Times New Roman" w:eastAsia="Times New Roman" w:hAnsi="Times New Roman"/>
          <w:sz w:val="18"/>
          <w:szCs w:val="18"/>
          <w:u w:val="single" w:color="auto"/>
          <w:color w:val="0000EE"/>
        </w:rPr>
        <w:t xml:space="preserve"> </w:t>
      </w:r>
      <w:hyperlink r:id="rId308">
        <w:r>
          <w:rPr>
            <w:rFonts w:ascii="Times New Roman" w:cs="Times New Roman" w:eastAsia="Times New Roman" w:hAnsi="Times New Roman"/>
            <w:sz w:val="18"/>
            <w:szCs w:val="18"/>
            <w:u w:val="single" w:color="auto"/>
            <w:color w:val="0000EE"/>
          </w:rPr>
          <w:t>and Exchange Commission on December 22, 2020)</w:t>
        </w:r>
      </w:hyperlink>
    </w:p>
    <w:p>
      <w:pPr>
        <w:spacing w:after="0" w:line="4" w:lineRule="exact"/>
        <w:rPr>
          <w:rFonts w:ascii="Times New Roman" w:cs="Times New Roman" w:eastAsia="Times New Roman" w:hAnsi="Times New Roman"/>
          <w:sz w:val="18"/>
          <w:szCs w:val="18"/>
          <w:u w:val="single" w:color="auto"/>
          <w:color w:val="0000EE"/>
        </w:rPr>
      </w:pPr>
    </w:p>
    <w:p>
      <w:pPr>
        <w:jc w:val="both"/>
        <w:ind w:left="1340" w:right="639" w:hanging="876"/>
        <w:spacing w:after="0" w:line="281" w:lineRule="auto"/>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309">
        <w:r>
          <w:rPr>
            <w:rFonts w:ascii="Times New Roman" w:cs="Times New Roman" w:eastAsia="Times New Roman" w:hAnsi="Times New Roman"/>
            <w:sz w:val="17"/>
            <w:szCs w:val="17"/>
            <w:u w:val="single" w:color="auto"/>
            <w:color w:val="0000EE"/>
          </w:rPr>
          <w:t>Supply Agreement by and among the Company and Mack Molding Co. dated December 7, 2020±</w:t>
        </w:r>
      </w:hyperlink>
      <w:r>
        <w:rPr>
          <w:rFonts w:ascii="Times New Roman" w:cs="Times New Roman" w:eastAsia="Times New Roman" w:hAnsi="Times New Roman"/>
          <w:sz w:val="17"/>
          <w:szCs w:val="17"/>
          <w:u w:val="single" w:color="auto"/>
          <w:color w:val="0000EE"/>
        </w:rPr>
        <w:t xml:space="preserve"> </w:t>
      </w:r>
      <w:hyperlink r:id="rId309">
        <w:r>
          <w:rPr>
            <w:rFonts w:ascii="Times New Roman" w:cs="Times New Roman" w:eastAsia="Times New Roman" w:hAnsi="Times New Roman"/>
            <w:sz w:val="17"/>
            <w:szCs w:val="17"/>
            <w:u w:val="single" w:color="auto"/>
            <w:color w:val="0000EE"/>
          </w:rPr>
          <w:t>(incorporated by reference to Exhibit 10.15 to the Registrant’s Amendment No. 1 to Registration</w:t>
        </w:r>
      </w:hyperlink>
      <w:r>
        <w:rPr>
          <w:rFonts w:ascii="Times New Roman" w:cs="Times New Roman" w:eastAsia="Times New Roman" w:hAnsi="Times New Roman"/>
          <w:sz w:val="17"/>
          <w:szCs w:val="17"/>
          <w:u w:val="single" w:color="auto"/>
          <w:color w:val="0000EE"/>
        </w:rPr>
        <w:t xml:space="preserve"> </w:t>
      </w:r>
      <w:hyperlink r:id="rId309">
        <w:r>
          <w:rPr>
            <w:rFonts w:ascii="Times New Roman" w:cs="Times New Roman" w:eastAsia="Times New Roman" w:hAnsi="Times New Roman"/>
            <w:sz w:val="17"/>
            <w:szCs w:val="17"/>
            <w:u w:val="single" w:color="auto"/>
            <w:color w:val="0000EE"/>
          </w:rPr>
          <w:t>Statement on Form S-1 filed with the Securities and Exchange Commission on January 13, 2021)</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-423545</wp:posOffset>
            </wp:positionV>
            <wp:extent cx="5143500" cy="436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340" w:right="81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311">
        <w:r>
          <w:rPr>
            <w:rFonts w:ascii="Times New Roman" w:cs="Times New Roman" w:eastAsia="Times New Roman" w:hAnsi="Times New Roman"/>
            <w:sz w:val="18"/>
            <w:szCs w:val="18"/>
            <w:u w:val="single" w:color="auto"/>
            <w:color w:val="0000EE"/>
          </w:rPr>
          <w:t>Amended and Restated Operating Agreement of Agrify Brands, LLC effective as of August 12,</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2020 (incorporated by reference to Exhibit 10.18 to the Registrant’s Registration Statement on</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Form S-1 filed with the Securities and Exchange Commission on December 22, 2020)</w:t>
        </w:r>
      </w:hyperlink>
    </w:p>
    <w:p>
      <w:pPr>
        <w:ind w:left="1340" w:right="559" w:hanging="876"/>
        <w:spacing w:after="0" w:line="266" w:lineRule="auto"/>
        <w:tabs>
          <w:tab w:leader="none" w:pos="1320" w:val="left"/>
        </w:tabs>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color w:val="auto"/>
        </w:rPr>
        <w:t>10.17</w:t>
      </w:r>
      <w:r>
        <w:rPr>
          <w:sz w:val="20"/>
          <w:szCs w:val="20"/>
          <w:color w:val="auto"/>
        </w:rPr>
        <w:tab/>
      </w:r>
      <w:hyperlink r:id="rId312">
        <w:r>
          <w:rPr>
            <w:rFonts w:ascii="Times New Roman" w:cs="Times New Roman" w:eastAsia="Times New Roman" w:hAnsi="Times New Roman"/>
            <w:sz w:val="18"/>
            <w:szCs w:val="18"/>
            <w:u w:val="single" w:color="auto"/>
            <w:color w:val="215E9E"/>
          </w:rPr>
          <w:t>Employment Agreement of Niv Krikov (incorporated by reference to Exhibit 10.17 to the</w:t>
        </w:r>
      </w:hyperlink>
      <w:r>
        <w:rPr>
          <w:rFonts w:ascii="Times New Roman" w:cs="Times New Roman" w:eastAsia="Times New Roman" w:hAnsi="Times New Roman"/>
          <w:sz w:val="18"/>
          <w:szCs w:val="18"/>
          <w:u w:val="single" w:color="auto"/>
          <w:color w:val="215E9E"/>
        </w:rPr>
        <w:t xml:space="preserve"> </w:t>
      </w:r>
      <w:hyperlink r:id="rId312">
        <w:r>
          <w:rPr>
            <w:rFonts w:ascii="Times New Roman" w:cs="Times New Roman" w:eastAsia="Times New Roman" w:hAnsi="Times New Roman"/>
            <w:sz w:val="18"/>
            <w:szCs w:val="18"/>
            <w:u w:val="single" w:color="auto"/>
            <w:color w:val="215E9E"/>
          </w:rPr>
          <w:t>Registrant’s Amendment No. 3 to Registration Statement on Form S-1 filed with the Securities and</w:t>
        </w:r>
      </w:hyperlink>
      <w:r>
        <w:rPr>
          <w:rFonts w:ascii="Times New Roman" w:cs="Times New Roman" w:eastAsia="Times New Roman" w:hAnsi="Times New Roman"/>
          <w:sz w:val="18"/>
          <w:szCs w:val="18"/>
          <w:u w:val="single" w:color="auto"/>
          <w:color w:val="215E9E"/>
        </w:rPr>
        <w:t xml:space="preserve"> </w:t>
      </w:r>
      <w:hyperlink r:id="rId312">
        <w:r>
          <w:rPr>
            <w:rFonts w:ascii="Times New Roman" w:cs="Times New Roman" w:eastAsia="Times New Roman" w:hAnsi="Times New Roman"/>
            <w:sz w:val="18"/>
            <w:szCs w:val="18"/>
            <w:u w:val="single" w:color="auto"/>
            <w:color w:val="215E9E"/>
          </w:rPr>
          <w:t>Exchange Commission on January 26, 2021)</w:t>
        </w:r>
      </w:hyperlink>
    </w:p>
    <w:p>
      <w:pPr>
        <w:spacing w:after="0" w:line="20" w:lineRule="exact"/>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u w:val="single" w:color="auto"/>
          <w:color w:val="215E9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460"/>
        <w:spacing w:after="0"/>
        <w:tabs>
          <w:tab w:leader="none" w:pos="132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7"/>
          <w:szCs w:val="17"/>
          <w:u w:val="single" w:color="auto"/>
          <w:color w:val="215E9E"/>
        </w:rPr>
        <w:t>Form of Indemnification Agreement with directors and executive officers</w:t>
      </w:r>
    </w:p>
    <w:p>
      <w:pPr>
        <w:spacing w:after="0" w:line="77" w:lineRule="exact"/>
        <w:rPr>
          <w:rFonts w:ascii="Times New Roman" w:cs="Times New Roman" w:eastAsia="Times New Roman" w:hAnsi="Times New Roman"/>
          <w:sz w:val="18"/>
          <w:szCs w:val="18"/>
          <w:u w:val="single" w:color="auto"/>
          <w:color w:val="215E9E"/>
        </w:rPr>
      </w:pPr>
    </w:p>
    <w:p>
      <w:pPr>
        <w:ind w:left="1340" w:right="65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314">
        <w:r>
          <w:rPr>
            <w:rFonts w:ascii="Times New Roman" w:cs="Times New Roman" w:eastAsia="Times New Roman" w:hAnsi="Times New Roman"/>
            <w:sz w:val="18"/>
            <w:szCs w:val="18"/>
            <w:u w:val="single" w:color="auto"/>
            <w:color w:val="0000EE"/>
          </w:rPr>
          <w:t>Code of Ethics of Agrify Corporation Applicable To Directors, Officers And Employees</w:t>
        </w:r>
      </w:hyperlink>
      <w:r>
        <w:rPr>
          <w:rFonts w:ascii="Times New Roman" w:cs="Times New Roman" w:eastAsia="Times New Roman" w:hAnsi="Times New Roman"/>
          <w:sz w:val="18"/>
          <w:szCs w:val="18"/>
          <w:u w:val="single" w:color="auto"/>
          <w:color w:val="0000EE"/>
        </w:rPr>
        <w:t xml:space="preserve"> </w:t>
      </w:r>
      <w:hyperlink r:id="rId314">
        <w:r>
          <w:rPr>
            <w:rFonts w:ascii="Times New Roman" w:cs="Times New Roman" w:eastAsia="Times New Roman" w:hAnsi="Times New Roman"/>
            <w:sz w:val="18"/>
            <w:szCs w:val="18"/>
            <w:u w:val="single" w:color="auto"/>
            <w:color w:val="0000EE"/>
          </w:rPr>
          <w:t>(incorporated by reference to Exhibit 14.1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314">
        <w:r>
          <w:rPr>
            <w:rFonts w:ascii="Times New Roman" w:cs="Times New Roman" w:eastAsia="Times New Roman" w:hAnsi="Times New Roman"/>
            <w:sz w:val="18"/>
            <w:szCs w:val="18"/>
            <w:u w:val="single" w:color="auto"/>
            <w:color w:val="0000EE"/>
          </w:rPr>
          <w:t>filed with the Securities and Exchange Commission on December 22,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9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316">
        <w:r>
          <w:rPr>
            <w:rFonts w:ascii="Times New Roman" w:cs="Times New Roman" w:eastAsia="Times New Roman" w:hAnsi="Times New Roman"/>
            <w:sz w:val="18"/>
            <w:szCs w:val="18"/>
            <w:u w:val="single" w:color="auto"/>
            <w:color w:val="0000EE"/>
          </w:rPr>
          <w:t>Subsidiaries of the Registrant (incorporated by reference to Exhibit 21.1 to the Registrant’s</w:t>
        </w:r>
      </w:hyperlink>
      <w:r>
        <w:rPr>
          <w:rFonts w:ascii="Times New Roman" w:cs="Times New Roman" w:eastAsia="Times New Roman" w:hAnsi="Times New Roman"/>
          <w:sz w:val="18"/>
          <w:szCs w:val="18"/>
          <w:u w:val="single" w:color="auto"/>
          <w:color w:val="0000EE"/>
        </w:rPr>
        <w:t xml:space="preserve"> </w:t>
      </w:r>
      <w:hyperlink r:id="rId316">
        <w:r>
          <w:rPr>
            <w:rFonts w:ascii="Times New Roman" w:cs="Times New Roman" w:eastAsia="Times New Roman" w:hAnsi="Times New Roman"/>
            <w:sz w:val="18"/>
            <w:szCs w:val="18"/>
            <w:u w:val="single" w:color="auto"/>
            <w:color w:val="0000EE"/>
          </w:rPr>
          <w:t>Amendment No. 1 to Registration Statement on Form S-1 filed with the Securities and Exchange</w:t>
        </w:r>
      </w:hyperlink>
      <w:r>
        <w:rPr>
          <w:rFonts w:ascii="Times New Roman" w:cs="Times New Roman" w:eastAsia="Times New Roman" w:hAnsi="Times New Roman"/>
          <w:sz w:val="18"/>
          <w:szCs w:val="18"/>
          <w:u w:val="single" w:color="auto"/>
          <w:color w:val="0000EE"/>
        </w:rPr>
        <w:t xml:space="preserve"> </w:t>
      </w:r>
      <w:hyperlink r:id="rId316">
        <w:r>
          <w:rPr>
            <w:rFonts w:ascii="Times New Roman" w:cs="Times New Roman" w:eastAsia="Times New Roman" w:hAnsi="Times New Roman"/>
            <w:sz w:val="18"/>
            <w:szCs w:val="18"/>
            <w:u w:val="single" w:color="auto"/>
            <w:color w:val="0000EE"/>
          </w:rPr>
          <w:t>Commission on January 13, 2021)</w:t>
        </w:r>
      </w:hyperlink>
    </w:p>
    <w:p>
      <w:pPr>
        <w:ind w:left="460"/>
        <w:spacing w:after="0"/>
        <w:tabs>
          <w:tab w:leader="none" w:pos="13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Marcum LLP, independent registered public accounting firm**</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EE"/>
        </w:rPr>
      </w:pPr>
    </w:p>
    <w:p>
      <w:pPr>
        <w:ind w:left="460"/>
        <w:spacing w:after="0"/>
        <w:tabs>
          <w:tab w:leader="none" w:pos="13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Loeb &amp; Loeb LLP (included in Exhibit 5.1)**</w:t>
      </w:r>
    </w:p>
    <w:p>
      <w:pPr>
        <w:spacing w:after="0" w:line="77" w:lineRule="exact"/>
        <w:rPr>
          <w:rFonts w:ascii="Times New Roman" w:cs="Times New Roman" w:eastAsia="Times New Roman" w:hAnsi="Times New Roman"/>
          <w:sz w:val="18"/>
          <w:szCs w:val="18"/>
          <w:u w:val="single" w:color="auto"/>
          <w:color w:val="0000EE"/>
        </w:rPr>
      </w:pPr>
    </w:p>
    <w:p>
      <w:pPr>
        <w:ind w:left="46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189">
        <w:r>
          <w:rPr>
            <w:rFonts w:ascii="Times New Roman" w:cs="Times New Roman" w:eastAsia="Times New Roman" w:hAnsi="Times New Roman"/>
            <w:sz w:val="17"/>
            <w:szCs w:val="17"/>
            <w:u w:val="single" w:color="auto"/>
            <w:color w:val="0000EE"/>
          </w:rPr>
          <w:t>Power of Attorney (included on signature page)**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rFonts w:ascii="Times New Roman" w:cs="Times New Roman" w:eastAsia="Times New Roman" w:hAnsi="Times New Roman"/>
          <w:sz w:val="18"/>
          <w:szCs w:val="18"/>
          <w:u w:val="single" w:color="auto"/>
          <w:color w:val="0000EE"/>
        </w:rPr>
      </w:pPr>
    </w:p>
    <w:p>
      <w:pPr>
        <w:ind w:left="860" w:hanging="406"/>
        <w:spacing w:after="0"/>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6" w:lineRule="exact"/>
        <w:rPr>
          <w:rFonts w:ascii="Times New Roman" w:cs="Times New Roman" w:eastAsia="Times New Roman" w:hAnsi="Times New Roman"/>
          <w:sz w:val="18"/>
          <w:szCs w:val="18"/>
          <w:u w:val="single" w:color="auto"/>
          <w:color w:val="0000EE"/>
        </w:rPr>
      </w:pPr>
    </w:p>
    <w:p>
      <w:pPr>
        <w:ind w:left="860" w:hanging="406"/>
        <w:spacing w:after="0"/>
        <w:tabs>
          <w:tab w:leader="none" w:pos="8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from this exhibit in reliance upon Item 601(b)(10) of Regulation S-K.</w:t>
      </w:r>
    </w:p>
    <w:p>
      <w:pPr>
        <w:spacing w:after="0" w:line="181" w:lineRule="exact"/>
        <w:rPr>
          <w:rFonts w:ascii="Times New Roman" w:cs="Times New Roman" w:eastAsia="Times New Roman" w:hAnsi="Times New Roman"/>
          <w:sz w:val="16"/>
          <w:szCs w:val="16"/>
          <w:color w:val="auto"/>
        </w:rPr>
      </w:pPr>
    </w:p>
    <w:p>
      <w:pPr>
        <w:ind w:left="4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sz w:val="20"/>
          <w:szCs w:val="20"/>
          <w:color w:val="auto"/>
        </w:rPr>
      </w:pPr>
    </w:p>
    <w:p>
      <w:pPr>
        <w:ind w:left="460" w:right="479" w:firstLine="426"/>
        <w:spacing w:after="0" w:line="281" w:lineRule="auto"/>
        <w:tabs>
          <w:tab w:leader="none" w:pos="128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6" w:lineRule="exact"/>
        <w:rPr>
          <w:rFonts w:ascii="Times New Roman" w:cs="Times New Roman" w:eastAsia="Times New Roman" w:hAnsi="Times New Roman"/>
          <w:sz w:val="17"/>
          <w:szCs w:val="17"/>
          <w:color w:val="auto"/>
        </w:rPr>
      </w:pPr>
    </w:p>
    <w:p>
      <w:pPr>
        <w:ind w:left="460" w:right="519" w:firstLine="426"/>
        <w:spacing w:after="0" w:line="261" w:lineRule="auto"/>
        <w:tabs>
          <w:tab w:leader="none" w:pos="128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79" w:firstLine="432"/>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authorized, in Burlington, Massachusetts, on [</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0" w:type="dxa"/>
            <w:vAlign w:val="bottom"/>
          </w:tcPr>
          <w:p>
            <w:pPr>
              <w:spacing w:after="0"/>
              <w:rPr>
                <w:sz w:val="1"/>
                <w:szCs w:val="1"/>
                <w:color w:val="auto"/>
              </w:rPr>
            </w:pPr>
          </w:p>
        </w:tc>
      </w:tr>
      <w:tr>
        <w:trPr>
          <w:trHeight w:val="283"/>
        </w:trPr>
        <w:tc>
          <w:tcPr>
            <w:tcW w:w="342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0" w:type="dxa"/>
            <w:vAlign w:val="bottom"/>
          </w:tcPr>
          <w:p>
            <w:pPr>
              <w:spacing w:after="0"/>
              <w:rPr>
                <w:sz w:val="1"/>
                <w:szCs w:val="1"/>
                <w:color w:val="auto"/>
              </w:rPr>
            </w:pPr>
          </w:p>
        </w:tc>
      </w:tr>
      <w:tr>
        <w:trPr>
          <w:trHeight w:val="279"/>
        </w:trPr>
        <w:tc>
          <w:tcPr>
            <w:tcW w:w="342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520" w:type="dxa"/>
            <w:vAlign w:val="bottom"/>
            <w:gridSpan w:val="2"/>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60" w:type="dxa"/>
            <w:vAlign w:val="bottom"/>
          </w:tcPr>
          <w:p>
            <w:pPr>
              <w:spacing w:after="0"/>
              <w:rPr>
                <w:sz w:val="18"/>
                <w:szCs w:val="18"/>
                <w:color w:val="auto"/>
              </w:rPr>
            </w:pPr>
          </w:p>
        </w:tc>
        <w:tc>
          <w:tcPr>
            <w:tcW w:w="124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36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Niv Krikov</w:t>
            </w:r>
          </w:p>
        </w:tc>
        <w:tc>
          <w:tcPr>
            <w:tcW w:w="36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80" w:type="dxa"/>
            <w:vAlign w:val="bottom"/>
          </w:tcPr>
          <w:p>
            <w:pPr>
              <w:spacing w:after="0"/>
              <w:rPr>
                <w:sz w:val="24"/>
                <w:szCs w:val="24"/>
                <w:color w:val="auto"/>
              </w:rPr>
            </w:pPr>
          </w:p>
        </w:tc>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Matthew Kressy</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___________ between Agrify Corporation,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_______________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to 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directors, officers or in other capacities, the Company will provide adequate indemnification against inordinate risks of claims and actions against them arising out of their service to and activities on behalf of the Company and its subsidiaries;</w:t>
      </w:r>
    </w:p>
    <w:p>
      <w:pPr>
        <w:spacing w:after="0" w:line="17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and to advance expenses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such persons to the fullest extent permitted by applicable law so that they will serve or continue to serve the Company free from undue concern that they will not be so indemnified;</w:t>
      </w:r>
    </w:p>
    <w:p>
      <w:pPr>
        <w:spacing w:after="0" w:line="171" w:lineRule="exact"/>
        <w:rPr>
          <w:sz w:val="20"/>
          <w:szCs w:val="20"/>
          <w:color w:val="auto"/>
        </w:rPr>
      </w:pPr>
    </w:p>
    <w:p>
      <w:pPr>
        <w:ind w:right="9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also be entitled to indemnification pursuant to the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and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Bylaws of the Company; and</w:t>
      </w:r>
    </w:p>
    <w:p>
      <w:pPr>
        <w:spacing w:after="0" w:line="155" w:lineRule="exact"/>
        <w:rPr>
          <w:sz w:val="20"/>
          <w:szCs w:val="20"/>
          <w:color w:val="auto"/>
        </w:rPr>
      </w:pPr>
    </w:p>
    <w:p>
      <w:pPr>
        <w:ind w:right="62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this Agreement is a supplement to and in furtherance of the Articles of Incorporation and Bylaws of the Company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resolutions adopted pursuant thereto, and shall not be deemed a substitute therefor, nor to diminish or abrogate any rights of Indemnitee thereunder.</w:t>
      </w:r>
    </w:p>
    <w:p>
      <w:pPr>
        <w:spacing w:after="0" w:line="132"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Indemnitee’s agreement to serve as a director, officer or in other capacities on behalf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159" w:lineRule="exact"/>
        <w:rPr>
          <w:sz w:val="20"/>
          <w:szCs w:val="20"/>
          <w:color w:val="auto"/>
        </w:rPr>
      </w:pPr>
    </w:p>
    <w:p>
      <w:pPr>
        <w:ind w:right="360" w:firstLine="656"/>
        <w:spacing w:after="0" w:line="282" w:lineRule="auto"/>
        <w:tabs>
          <w:tab w:leader="none" w:pos="8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ind w:right="60" w:firstLine="1304"/>
        <w:spacing w:after="0" w:line="255"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l(a)</w:t>
      </w:r>
      <w:r>
        <w:rPr>
          <w:rFonts w:ascii="Times New Roman" w:cs="Times New Roman" w:eastAsia="Times New Roman" w:hAnsi="Times New Roman"/>
          <w:sz w:val="18"/>
          <w:szCs w:val="18"/>
          <w:color w:val="auto"/>
        </w:rPr>
        <w:t xml:space="preserve"> if, by reason of his or her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her, or on his or her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ind w:left="-40" w:right="100" w:firstLine="1304"/>
        <w:spacing w:after="0" w:line="255" w:lineRule="auto"/>
        <w:tabs>
          <w:tab w:leader="none" w:pos="151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if, by reason of his or her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applicable law so provides, no indemnification against such Expenses shall be made in respect of any claim, issue or matter in such Proceeding as to which Indemnitee shall have been adjudged to be liable to the Company unless and to the extent that a court of competent jurisdiction shall determine that such indemnification may be made.</w:t>
      </w:r>
    </w:p>
    <w:p>
      <w:pPr>
        <w:spacing w:after="0" w:line="188" w:lineRule="exact"/>
        <w:rPr>
          <w:rFonts w:ascii="Times New Roman" w:cs="Times New Roman" w:eastAsia="Times New Roman" w:hAnsi="Times New Roman"/>
          <w:sz w:val="18"/>
          <w:szCs w:val="18"/>
          <w:color w:val="auto"/>
        </w:rPr>
      </w:pPr>
    </w:p>
    <w:p>
      <w:pPr>
        <w:ind w:left="-40" w:firstLine="1304"/>
        <w:spacing w:after="0" w:line="254" w:lineRule="auto"/>
        <w:tabs>
          <w:tab w:leader="none" w:pos="1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ind w:left="-40" w:right="20" w:firstLine="656"/>
        <w:spacing w:after="0" w:line="255" w:lineRule="auto"/>
        <w:tabs>
          <w:tab w:leader="none" w:pos="7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40" w:firstLine="1304"/>
        <w:spacing w:after="0" w:line="256" w:lineRule="auto"/>
        <w:tabs>
          <w:tab w:leader="none" w:pos="149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91" w:name="page192"/>
    <w:bookmarkEnd w:id="191"/>
    <w:p>
      <w:pPr>
        <w:ind w:left="-40" w:firstLine="1304"/>
        <w:spacing w:after="0" w:line="252" w:lineRule="auto"/>
        <w:tabs>
          <w:tab w:leader="none" w:pos="15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ind w:left="-40" w:right="40" w:firstLine="1304"/>
        <w:spacing w:after="0" w:line="282" w:lineRule="auto"/>
        <w:tabs>
          <w:tab w:leader="none" w:pos="14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1" w:lineRule="exact"/>
        <w:rPr>
          <w:rFonts w:ascii="Times New Roman" w:cs="Times New Roman" w:eastAsia="Times New Roman" w:hAnsi="Times New Roman"/>
          <w:sz w:val="18"/>
          <w:szCs w:val="18"/>
          <w:color w:val="auto"/>
        </w:rPr>
      </w:pPr>
    </w:p>
    <w:p>
      <w:pPr>
        <w:ind w:left="-40" w:right="20" w:firstLine="1304"/>
        <w:spacing w:after="0" w:line="255" w:lineRule="auto"/>
        <w:tabs>
          <w:tab w:leader="none" w:pos="15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ind w:left="-40" w:firstLine="656"/>
        <w:spacing w:after="0" w:line="266" w:lineRule="auto"/>
        <w:tabs>
          <w:tab w:leader="none" w:pos="7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92" w:name="page193"/>
    <w:bookmarkEnd w:id="192"/>
    <w:p>
      <w:pPr>
        <w:ind w:left="-40" w:firstLine="656"/>
        <w:spacing w:after="0" w:line="255" w:lineRule="auto"/>
        <w:tabs>
          <w:tab w:leader="none" w:pos="7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w:t>
      </w:r>
    </w:p>
    <w:p>
      <w:pPr>
        <w:spacing w:after="0" w:line="188" w:lineRule="exact"/>
        <w:rPr>
          <w:rFonts w:ascii="Times New Roman" w:cs="Times New Roman" w:eastAsia="Times New Roman" w:hAnsi="Times New Roman"/>
          <w:sz w:val="18"/>
          <w:szCs w:val="18"/>
          <w:color w:val="auto"/>
        </w:rPr>
      </w:pPr>
    </w:p>
    <w:p>
      <w:pPr>
        <w:jc w:val="both"/>
        <w:ind w:left="-40" w:right="200" w:firstLine="656"/>
        <w:spacing w:after="0" w:line="261" w:lineRule="auto"/>
        <w:tabs>
          <w:tab w:leader="none" w:pos="7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NRS and public policy of the State of Nevada. Accordingly, the parties agree that the following procedures and presumptions shall apply in the event of any question as to whether Indemnitee is entitled to indemnification under this Agreement:</w:t>
      </w:r>
    </w:p>
    <w:p>
      <w:pPr>
        <w:spacing w:after="0" w:line="179" w:lineRule="exact"/>
        <w:rPr>
          <w:rFonts w:ascii="Times New Roman" w:cs="Times New Roman" w:eastAsia="Times New Roman" w:hAnsi="Times New Roman"/>
          <w:sz w:val="18"/>
          <w:szCs w:val="18"/>
          <w:color w:val="auto"/>
        </w:rPr>
      </w:pPr>
    </w:p>
    <w:p>
      <w:pPr>
        <w:jc w:val="both"/>
        <w:ind w:left="-40" w:right="120" w:firstLine="1304"/>
        <w:spacing w:after="0" w:line="256" w:lineRule="auto"/>
        <w:tabs>
          <w:tab w:leader="none" w:pos="149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7" w:lineRule="exact"/>
        <w:rPr>
          <w:rFonts w:ascii="Times New Roman" w:cs="Times New Roman" w:eastAsia="Times New Roman" w:hAnsi="Times New Roman"/>
          <w:sz w:val="18"/>
          <w:szCs w:val="18"/>
          <w:color w:val="auto"/>
        </w:rPr>
      </w:pPr>
    </w:p>
    <w:p>
      <w:pPr>
        <w:ind w:left="-40" w:right="80" w:firstLine="1304"/>
        <w:spacing w:after="0" w:line="256" w:lineRule="auto"/>
        <w:tabs>
          <w:tab w:leader="none" w:pos="151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(as hereinafter defined),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(as hereinafter defined) in a written opinion to the Board, a copy of which shall be delivered to the Indemnitee, or (iv) if so directed by the Board, by the stockholders of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93" w:name="page194"/>
    <w:bookmarkEnd w:id="193"/>
    <w:p>
      <w:pPr>
        <w:ind w:firstLine="1304"/>
        <w:spacing w:after="0" w:line="276" w:lineRule="auto"/>
        <w:tabs>
          <w:tab w:leader="none" w:pos="154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the Independent Counsel shall be selected as provided in this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The Independent Counsel shall be selected by the Board. Indemnitee may, within ten</w:t>
      </w:r>
    </w:p>
    <w:p>
      <w:pPr>
        <w:ind w:right="20" w:firstLine="8"/>
        <w:spacing w:after="0" w:line="251" w:lineRule="auto"/>
        <w:tabs>
          <w:tab w:leader="none" w:pos="3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such written notice of selection shall have been given, deliver to the Company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objection may be asserted only on the ground that the Independent Counsel so selected does not meet the requirements of Independent Counsel,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a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92" w:lineRule="exact"/>
        <w:rPr>
          <w:rFonts w:ascii="Times New Roman" w:cs="Times New Roman" w:eastAsia="Times New Roman" w:hAnsi="Times New Roman"/>
          <w:sz w:val="18"/>
          <w:szCs w:val="18"/>
          <w:color w:val="auto"/>
        </w:rPr>
      </w:pPr>
    </w:p>
    <w:p>
      <w:pPr>
        <w:ind w:right="80" w:firstLine="1304"/>
        <w:spacing w:after="0" w:line="255" w:lineRule="auto"/>
        <w:tabs>
          <w:tab w:leader="none" w:pos="155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ind w:right="140" w:firstLine="1304"/>
        <w:spacing w:after="0" w:line="254" w:lineRule="auto"/>
        <w:tabs>
          <w:tab w:leader="none" w:pos="154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ind w:left="-40" w:firstLine="1304"/>
        <w:spacing w:after="0" w:line="253" w:lineRule="auto"/>
        <w:tabs>
          <w:tab w:leader="none" w:pos="148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87" w:lineRule="exact"/>
        <w:rPr>
          <w:rFonts w:ascii="Times New Roman" w:cs="Times New Roman" w:eastAsia="Times New Roman" w:hAnsi="Times New Roman"/>
          <w:sz w:val="18"/>
          <w:szCs w:val="18"/>
          <w:color w:val="auto"/>
        </w:rPr>
      </w:pPr>
    </w:p>
    <w:p>
      <w:pPr>
        <w:ind w:left="-40" w:right="100" w:firstLine="1304"/>
        <w:spacing w:after="0" w:line="255" w:lineRule="auto"/>
        <w:tabs>
          <w:tab w:leader="none" w:pos="151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8" w:lineRule="exact"/>
        <w:rPr>
          <w:rFonts w:ascii="Times New Roman" w:cs="Times New Roman" w:eastAsia="Times New Roman" w:hAnsi="Times New Roman"/>
          <w:sz w:val="18"/>
          <w:szCs w:val="18"/>
          <w:color w:val="auto"/>
        </w:rPr>
      </w:pPr>
    </w:p>
    <w:p>
      <w:pPr>
        <w:ind w:left="-40" w:right="120" w:firstLine="1304"/>
        <w:spacing w:after="0" w:line="258" w:lineRule="auto"/>
        <w:tabs>
          <w:tab w:leader="none" w:pos="15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3" w:lineRule="exact"/>
        <w:rPr>
          <w:rFonts w:ascii="Times New Roman" w:cs="Times New Roman" w:eastAsia="Times New Roman" w:hAnsi="Times New Roman"/>
          <w:sz w:val="18"/>
          <w:szCs w:val="18"/>
          <w:color w:val="auto"/>
        </w:rPr>
      </w:pPr>
    </w:p>
    <w:p>
      <w:pPr>
        <w:ind w:left="-40" w:right="80" w:firstLine="1304"/>
        <w:spacing w:after="0" w:line="258" w:lineRule="auto"/>
        <w:tabs>
          <w:tab w:leader="none" w:pos="14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95" w:name="page196"/>
    <w:bookmarkEnd w:id="195"/>
    <w:p>
      <w:pPr>
        <w:ind w:left="832" w:hanging="184"/>
        <w:spacing w:after="0"/>
        <w:tabs>
          <w:tab w:leader="none" w:pos="83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54" w:lineRule="auto"/>
        <w:tabs>
          <w:tab w:leader="none" w:pos="153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188" w:lineRule="exact"/>
        <w:rPr>
          <w:rFonts w:ascii="Times New Roman" w:cs="Times New Roman" w:eastAsia="Times New Roman" w:hAnsi="Times New Roman"/>
          <w:sz w:val="18"/>
          <w:szCs w:val="18"/>
          <w:color w:val="auto"/>
        </w:rPr>
      </w:pPr>
    </w:p>
    <w:p>
      <w:pPr>
        <w:ind w:left="-8" w:right="200" w:firstLine="1304"/>
        <w:spacing w:after="0" w:line="266" w:lineRule="auto"/>
        <w:tabs>
          <w:tab w:leader="none" w:pos="154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 w:right="40" w:firstLine="1304"/>
        <w:spacing w:after="0" w:line="261" w:lineRule="auto"/>
        <w:tabs>
          <w:tab w:leader="none" w:pos="153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left="-8" w:right="60" w:firstLine="1304"/>
        <w:spacing w:after="0" w:line="258" w:lineRule="auto"/>
        <w:tabs>
          <w:tab w:leader="none" w:pos="154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seeks a judicial adjudication of his or her rights under, or to recover damages for breach of, this Agreement, or to recover under any directors’ and officers’ liability insurance policies maintained by the Company, the Company shall pay on his or her behalf, in advance, any and all expenses (of the types described in the definition of Expenses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actually and reasonably incurred by him or her in such judicial adjudication, regardless of whether Indemnitee ultimately is determined to be entitled to such indemnification, advancement of expenses or insurance recovery.</w:t>
      </w:r>
    </w:p>
    <w:p>
      <w:pPr>
        <w:spacing w:after="0" w:line="183" w:lineRule="exact"/>
        <w:rPr>
          <w:rFonts w:ascii="Times New Roman" w:cs="Times New Roman" w:eastAsia="Times New Roman" w:hAnsi="Times New Roman"/>
          <w:sz w:val="18"/>
          <w:szCs w:val="18"/>
          <w:color w:val="auto"/>
        </w:rPr>
      </w:pPr>
    </w:p>
    <w:p>
      <w:pPr>
        <w:ind w:left="-8" w:right="60" w:firstLine="1304"/>
        <w:spacing w:after="0" w:line="272" w:lineRule="auto"/>
        <w:tabs>
          <w:tab w:leader="none" w:pos="1529"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be precluded from asserting in any judicial proceeding commenced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spacing w:after="0" w:line="1" w:lineRule="exact"/>
        <w:rPr>
          <w:rFonts w:ascii="Times New Roman" w:cs="Times New Roman" w:eastAsia="Times New Roman" w:hAnsi="Times New Roman"/>
          <w:sz w:val="17"/>
          <w:szCs w:val="17"/>
          <w:color w:val="auto"/>
        </w:rPr>
      </w:pPr>
    </w:p>
    <w:p>
      <w:pPr>
        <w:ind w:left="-8" w:right="20" w:firstLine="8"/>
        <w:spacing w:after="0" w:line="253" w:lineRule="auto"/>
        <w:tabs>
          <w:tab w:leader="none" w:pos="33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39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196" w:name="page197"/>
    <w:bookmarkEnd w:id="196"/>
    <w:p>
      <w:pPr>
        <w:ind w:left="-20" w:right="720" w:firstLine="1304"/>
        <w:spacing w:after="0" w:line="282" w:lineRule="auto"/>
        <w:tabs>
          <w:tab w:leader="none" w:pos="15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53" w:lineRule="auto"/>
        <w:tabs>
          <w:tab w:leader="none" w:pos="151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Articles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NRS, whether by statute or judicial decision, permits greater indemnification than would be afforded currently under the Articles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ind w:left="-20" w:right="100" w:firstLine="1304"/>
        <w:spacing w:after="0" w:line="254" w:lineRule="auto"/>
        <w:tabs>
          <w:tab w:leader="none" w:pos="152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20" w:right="40" w:firstLine="1304"/>
        <w:spacing w:after="0" w:line="266" w:lineRule="auto"/>
        <w:tabs>
          <w:tab w:leader="none" w:pos="152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97" w:name="page198"/>
    <w:bookmarkEnd w:id="197"/>
    <w:p>
      <w:pPr>
        <w:ind w:left="-20" w:right="80" w:firstLine="1304"/>
        <w:spacing w:after="0" w:line="282" w:lineRule="auto"/>
        <w:tabs>
          <w:tab w:leader="none" w:pos="152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61" w:lineRule="exact"/>
        <w:rPr>
          <w:rFonts w:ascii="Times New Roman" w:cs="Times New Roman" w:eastAsia="Times New Roman" w:hAnsi="Times New Roman"/>
          <w:sz w:val="18"/>
          <w:szCs w:val="18"/>
          <w:color w:val="auto"/>
        </w:rPr>
      </w:pPr>
    </w:p>
    <w:p>
      <w:pPr>
        <w:ind w:left="-20" w:right="80" w:firstLine="1304"/>
        <w:spacing w:after="0" w:line="261" w:lineRule="auto"/>
        <w:tabs>
          <w:tab w:leader="none" w:pos="151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79" w:lineRule="exact"/>
        <w:rPr>
          <w:rFonts w:ascii="Times New Roman" w:cs="Times New Roman" w:eastAsia="Times New Roman" w:hAnsi="Times New Roman"/>
          <w:sz w:val="18"/>
          <w:szCs w:val="18"/>
          <w:color w:val="auto"/>
        </w:rPr>
      </w:pPr>
    </w:p>
    <w:p>
      <w:pPr>
        <w:ind w:left="-20" w:right="580" w:firstLine="656"/>
        <w:spacing w:after="0" w:line="282" w:lineRule="auto"/>
        <w:tabs>
          <w:tab w:leader="none" w:pos="8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ind w:left="-20" w:right="180" w:firstLine="1304"/>
        <w:spacing w:after="0" w:line="266" w:lineRule="auto"/>
        <w:tabs>
          <w:tab w:leader="none" w:pos="152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w:t>
      </w:r>
    </w:p>
    <w:p>
      <w:pPr>
        <w:spacing w:after="0" w:line="175" w:lineRule="exact"/>
        <w:rPr>
          <w:rFonts w:ascii="Times New Roman" w:cs="Times New Roman" w:eastAsia="Times New Roman" w:hAnsi="Times New Roman"/>
          <w:sz w:val="18"/>
          <w:szCs w:val="18"/>
          <w:color w:val="auto"/>
        </w:rPr>
      </w:pPr>
    </w:p>
    <w:p>
      <w:pPr>
        <w:ind w:left="-20" w:right="260" w:firstLine="1304"/>
        <w:spacing w:after="0" w:line="312" w:lineRule="auto"/>
        <w:tabs>
          <w:tab w:leader="none" w:pos="153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 accounting of profits made from the purchase and sale (or sale and purchase) by Indemnitee of securities of the Company within the meaning of </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xml:space="preserve"> of the Securities Exchange Act of 1934, as amended, or similar provisions of state statutory law or common law; or</w:t>
      </w:r>
    </w:p>
    <w:p>
      <w:pPr>
        <w:spacing w:after="0" w:line="139" w:lineRule="exact"/>
        <w:rPr>
          <w:rFonts w:ascii="Times New Roman" w:cs="Times New Roman" w:eastAsia="Times New Roman" w:hAnsi="Times New Roman"/>
          <w:sz w:val="17"/>
          <w:szCs w:val="17"/>
          <w:color w:val="auto"/>
        </w:rPr>
      </w:pPr>
    </w:p>
    <w:p>
      <w:pPr>
        <w:ind w:left="-20" w:right="80" w:firstLine="1304"/>
        <w:spacing w:after="0" w:line="261" w:lineRule="auto"/>
        <w:tabs>
          <w:tab w:leader="none" w:pos="152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20" w:firstLine="656"/>
        <w:spacing w:after="0" w:line="254" w:lineRule="auto"/>
        <w:tabs>
          <w:tab w:leader="none" w:pos="89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 director, officer or in other capacities on behalf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98" w:name="page199"/>
    <w:bookmarkEnd w:id="198"/>
    <w:p>
      <w:pPr>
        <w:ind w:left="-20" w:right="420" w:firstLine="656"/>
        <w:spacing w:after="0" w:line="266" w:lineRule="auto"/>
        <w:tabs>
          <w:tab w:leader="none" w:pos="89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1304"/>
        <w:spacing w:after="0" w:line="266" w:lineRule="auto"/>
        <w:tabs>
          <w:tab w:leader="none" w:pos="151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 director, officer or in other capacities on behalf of the Company, and the Company acknowledges that Indemnitee is relying upon this Agreement in serving in any such capacity.</w:t>
      </w:r>
    </w:p>
    <w:p>
      <w:pPr>
        <w:spacing w:after="0" w:line="175" w:lineRule="exact"/>
        <w:rPr>
          <w:rFonts w:ascii="Times New Roman" w:cs="Times New Roman" w:eastAsia="Times New Roman" w:hAnsi="Times New Roman"/>
          <w:sz w:val="18"/>
          <w:szCs w:val="18"/>
          <w:color w:val="auto"/>
        </w:rPr>
      </w:pPr>
    </w:p>
    <w:p>
      <w:pPr>
        <w:ind w:left="-20" w:right="220" w:firstLine="1304"/>
        <w:spacing w:after="0" w:line="282" w:lineRule="auto"/>
        <w:tabs>
          <w:tab w:leader="none" w:pos="152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left="-20" w:right="620" w:firstLine="1304"/>
        <w:spacing w:after="0" w:line="282" w:lineRule="auto"/>
        <w:tabs>
          <w:tab w:leader="none" w:pos="151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jc w:val="both"/>
        <w:ind w:left="-20" w:firstLine="1304"/>
        <w:spacing w:after="0" w:line="268" w:lineRule="auto"/>
        <w:tabs>
          <w:tab w:leader="none" w:pos="152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(i) the Company or any of its direct or indirect subsidiaries or (ii) any other corporation, partnership, joint venture, trust, employee benefit plan or other enterprise, and in the case of clause (ii) only, that such person is or was serving at the express written request of the Company.</w:t>
      </w:r>
    </w:p>
    <w:p>
      <w:pPr>
        <w:spacing w:after="0" w:line="170" w:lineRule="exact"/>
        <w:rPr>
          <w:rFonts w:ascii="Times New Roman" w:cs="Times New Roman" w:eastAsia="Times New Roman" w:hAnsi="Times New Roman"/>
          <w:sz w:val="18"/>
          <w:szCs w:val="18"/>
          <w:color w:val="auto"/>
        </w:rPr>
      </w:pPr>
    </w:p>
    <w:p>
      <w:pPr>
        <w:ind w:left="-20" w:right="420" w:firstLine="1304"/>
        <w:spacing w:after="0" w:line="286" w:lineRule="auto"/>
        <w:tabs>
          <w:tab w:leader="none" w:pos="153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left="-20" w:right="380" w:firstLine="1304"/>
        <w:spacing w:after="0" w:line="286" w:lineRule="auto"/>
        <w:tabs>
          <w:tab w:leader="none" w:pos="152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ind w:left="-20" w:right="100" w:firstLine="1304"/>
        <w:spacing w:after="0" w:line="256" w:lineRule="auto"/>
        <w:tabs>
          <w:tab w:leader="none" w:pos="153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9" w:name="page200"/>
    <w:bookmarkEnd w:id="199"/>
    <w:p>
      <w:pPr>
        <w:ind w:left="-20" w:right="100" w:firstLine="1304"/>
        <w:spacing w:after="0" w:line="255" w:lineRule="auto"/>
        <w:tabs>
          <w:tab w:leader="none" w:pos="152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color w:val="auto"/>
        </w:rPr>
      </w:pPr>
    </w:p>
    <w:p>
      <w:pPr>
        <w:ind w:left="-20" w:firstLine="1304"/>
        <w:spacing w:after="0" w:line="256" w:lineRule="auto"/>
        <w:tabs>
          <w:tab w:leader="none" w:pos="150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or her rights under this Agreement.</w:t>
      </w:r>
    </w:p>
    <w:p>
      <w:pPr>
        <w:spacing w:after="0" w:line="186" w:lineRule="exact"/>
        <w:rPr>
          <w:rFonts w:ascii="Times New Roman" w:cs="Times New Roman" w:eastAsia="Times New Roman" w:hAnsi="Times New Roman"/>
          <w:sz w:val="18"/>
          <w:szCs w:val="18"/>
          <w:color w:val="auto"/>
        </w:rPr>
      </w:pPr>
    </w:p>
    <w:p>
      <w:pPr>
        <w:ind w:left="-20" w:right="460" w:firstLine="656"/>
        <w:spacing w:after="0" w:line="261" w:lineRule="auto"/>
        <w:tabs>
          <w:tab w:leader="none" w:pos="8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ind w:left="-20" w:right="400" w:firstLine="656"/>
        <w:spacing w:after="0" w:line="266" w:lineRule="auto"/>
        <w:tabs>
          <w:tab w:leader="none" w:pos="8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ind w:left="-20" w:right="60" w:firstLine="656"/>
        <w:spacing w:after="0" w:line="261" w:lineRule="auto"/>
        <w:tabs>
          <w:tab w:leader="none" w:pos="8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0" w:right="359" w:bottom="1440" w:gutter="0" w:footer="0" w:header="0"/>
        </w:sectPr>
      </w:pPr>
    </w:p>
    <w:bookmarkStart w:id="200" w:name="page201"/>
    <w:bookmarkEnd w:id="200"/>
    <w:p>
      <w:pPr>
        <w:ind w:left="-120" w:right="20" w:firstLine="656"/>
        <w:spacing w:after="0" w:line="256" w:lineRule="auto"/>
        <w:tabs>
          <w:tab w:leader="none" w:pos="7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an internationally recognized overnight courier, specifying next day delivery, with written verification of receipt. Notices shall be addressed to the respective parties as follows, or to such other address as a party shall specify to the others in accordance with these notice provisions:</w:t>
      </w:r>
    </w:p>
    <w:p>
      <w:pPr>
        <w:spacing w:after="0" w:line="187" w:lineRule="exact"/>
        <w:rPr>
          <w:rFonts w:ascii="Times New Roman" w:cs="Times New Roman" w:eastAsia="Times New Roman" w:hAnsi="Times New Roman"/>
          <w:sz w:val="18"/>
          <w:szCs w:val="18"/>
          <w:color w:val="auto"/>
        </w:rPr>
      </w:pPr>
    </w:p>
    <w:p>
      <w:pPr>
        <w:ind w:left="1420" w:hanging="236"/>
        <w:spacing w:after="0"/>
        <w:tabs>
          <w:tab w:leader="none" w:pos="1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225" w:lineRule="exact"/>
        <w:rPr>
          <w:rFonts w:ascii="Times New Roman" w:cs="Times New Roman" w:eastAsia="Times New Roman" w:hAnsi="Times New Roman"/>
          <w:sz w:val="18"/>
          <w:szCs w:val="18"/>
          <w:color w:val="auto"/>
        </w:rPr>
      </w:pPr>
    </w:p>
    <w:p>
      <w:pPr>
        <w:ind w:left="1440" w:hanging="256"/>
        <w:spacing w:after="0"/>
        <w:tabs>
          <w:tab w:leader="none" w:pos="14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101 Middlesex Turnpike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Suite 6, PMB 326</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Attn: Raymond Chang</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Email: raymond.chang@agrify.com</w:t>
      </w:r>
    </w:p>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840"/>
        <w:spacing w:after="0"/>
        <w:tabs>
          <w:tab w:leader="none" w:pos="2780" w:val="left"/>
        </w:tabs>
        <w:rPr>
          <w:sz w:val="20"/>
          <w:szCs w:val="20"/>
          <w:color w:val="auto"/>
        </w:rPr>
      </w:pPr>
      <w:r>
        <w:rPr>
          <w:rFonts w:ascii="Times New Roman" w:cs="Times New Roman" w:eastAsia="Times New Roman" w:hAnsi="Times New Roman"/>
          <w:sz w:val="18"/>
          <w:szCs w:val="18"/>
          <w:color w:val="auto"/>
        </w:rPr>
        <w:t>Attention:</w:t>
        <w:tab/>
        <w:t>Mitchell S. Nussbaum, Esq.</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David J. Levine, Esq.</w:t>
      </w:r>
    </w:p>
    <w:p>
      <w:pPr>
        <w:spacing w:after="0" w:line="9" w:lineRule="exact"/>
        <w:rPr>
          <w:sz w:val="20"/>
          <w:szCs w:val="20"/>
          <w:color w:val="auto"/>
        </w:rPr>
      </w:pPr>
    </w:p>
    <w:p>
      <w:pPr>
        <w:ind w:left="184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tab/>
        <w:t>mnussbaum@loeb.com</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dlevine@loeb.com</w:t>
      </w:r>
    </w:p>
    <w:p>
      <w:pPr>
        <w:spacing w:after="0" w:line="207" w:lineRule="exact"/>
        <w:rPr>
          <w:sz w:val="20"/>
          <w:szCs w:val="20"/>
          <w:color w:val="auto"/>
        </w:rPr>
      </w:pPr>
    </w:p>
    <w:p>
      <w:pPr>
        <w:ind w:left="-120" w:firstLine="656"/>
        <w:spacing w:after="0" w:line="261" w:lineRule="auto"/>
        <w:tabs>
          <w:tab w:leader="none" w:pos="7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signatures</w:t>
      </w:r>
      <w:r>
        <w:rPr>
          <w:rFonts w:ascii="Times New Roman" w:cs="Times New Roman" w:eastAsia="Times New Roman" w:hAnsi="Times New Roman"/>
          <w:sz w:val="18"/>
          <w:szCs w:val="18"/>
          <w:color w:val="auto"/>
        </w:rPr>
        <w:t xml:space="preserve">. This Agreement may be executed in one or more counterparts, or with signatures executed on different signature pages, all of which shall constitute originals and together they shall constitute one document.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120" w:right="140" w:firstLine="656"/>
        <w:spacing w:after="0" w:line="282" w:lineRule="auto"/>
        <w:tabs>
          <w:tab w:leader="none" w:pos="7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201" w:name="page202"/>
    <w:bookmarkEnd w:id="201"/>
    <w:p>
      <w:pPr>
        <w:ind w:left="-40" w:firstLine="656"/>
        <w:spacing w:after="0" w:line="255" w:lineRule="auto"/>
        <w:tabs>
          <w:tab w:leader="none" w:pos="8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shall be governed by, and construed and enforced in accordance with, the laws of the State of Nevada, without regard to its conflict of laws rules. The Company and Indemnitee hereby irrevocably and unconditionally (i) agree that any Proceeding arising out of or in connection with this Agreement shall be brought only in a court of competent jurisdiction located in the State of Nevada (the “</w:t>
      </w:r>
      <w:r>
        <w:rPr>
          <w:rFonts w:ascii="Times New Roman" w:cs="Times New Roman" w:eastAsia="Times New Roman" w:hAnsi="Times New Roman"/>
          <w:sz w:val="18"/>
          <w:szCs w:val="18"/>
          <w:b w:val="1"/>
          <w:bCs w:val="1"/>
          <w:color w:val="auto"/>
        </w:rPr>
        <w:t>Nevada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Nevada Court for purposes of any Proceeding arising out of or in connection with this Agreement, (iii) waive any objection to the laying of venue of any such Proceeding in the Nevada Court, and (iv) waive, and agree not to plead or to make, any claim that any such Proceeding brought in the Nevada Court has been brought in an improper or inconvenient forum.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on and as of the day and year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480060</wp:posOffset>
            </wp:positionV>
            <wp:extent cx="284607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325755</wp:posOffset>
            </wp:positionV>
            <wp:extent cx="284607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171450</wp:posOffset>
            </wp:positionV>
            <wp:extent cx="284607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429895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00"/>
      </w:cols>
      <w:pgMar w:left="98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decimal"/>
      <w:start w:val="1"/>
    </w:lvl>
    <w:lvl w:ilvl="1">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lowerLetter"/>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upperLetter"/>
      <w:start w:val="68"/>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3"/>
    </w:lvl>
  </w:abstractNum>
  <w:abstractNum w:abstractNumId="50">
    <w:nsid w:val="661E3F1E"/>
    <w:multiLevelType w:val="hybridMultilevel"/>
    <w:lvl w:ilvl="0">
      <w:lvlJc w:val="left"/>
      <w:lvlText w:val="(%1)"/>
      <w:numFmt w:val="lowerRoman"/>
      <w:start w:val="4"/>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decimal"/>
      <w:start w:val="3"/>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lowerRoman"/>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2"/>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lowerRoman"/>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lvl w:ilvl="1">
      <w:lvlJc w:val="left"/>
      <w:lvlText w:val="(%2)"/>
      <w:numFmt w:val="lowerLetter"/>
      <w:start w:val="1"/>
    </w:lvl>
  </w:abstractNum>
  <w:abstractNum w:abstractNumId="76">
    <w:nsid w:val="885E1B"/>
    <w:multiLevelType w:val="hybridMultilevel"/>
    <w:lvl w:ilvl="0">
      <w:lvlJc w:val="left"/>
      <w:lvlText w:val="%1"/>
      <w:numFmt w:val="decimal"/>
      <w:start w:val="1"/>
    </w:lvl>
    <w:lvl w:ilvl="1">
      <w:lvlJc w:val="left"/>
      <w:lvlText w:val="(%2)"/>
      <w:numFmt w:val="lowerLetter"/>
      <w:start w:val="2"/>
    </w:lvl>
  </w:abstractNum>
  <w:abstractNum w:abstractNumId="77">
    <w:nsid w:val="76272110"/>
    <w:multiLevelType w:val="hybridMultilevel"/>
    <w:lvl w:ilvl="0">
      <w:lvlJc w:val="left"/>
      <w:lvlText w:val="%1."/>
      <w:numFmt w:val="decimal"/>
      <w:start w:val="2"/>
    </w:lvl>
    <w:lvl w:ilvl="1">
      <w:lvlJc w:val="left"/>
      <w:lvlText w:val="(%2)"/>
      <w:numFmt w:val="lowerLetter"/>
      <w:start w:val="1"/>
    </w:lvl>
  </w:abstractNum>
  <w:abstractNum w:abstractNumId="78">
    <w:nsid w:val="4C04A8AF"/>
    <w:multiLevelType w:val="hybridMultilevel"/>
    <w:lvl w:ilvl="0">
      <w:lvlJc w:val="left"/>
      <w:lvlText w:val="%1"/>
      <w:numFmt w:val="decimal"/>
      <w:start w:val="1"/>
    </w:lvl>
    <w:lvl w:ilvl="1">
      <w:lvlJc w:val="left"/>
      <w:lvlText w:val="(%2)"/>
      <w:numFmt w:val="lowerLetter"/>
      <w:start w:val="2"/>
    </w:lvl>
  </w:abstractNum>
  <w:abstractNum w:abstractNumId="79">
    <w:nsid w:val="1716703B"/>
    <w:multiLevelType w:val="hybridMultilevel"/>
    <w:lvl w:ilvl="0">
      <w:lvlJc w:val="left"/>
      <w:lvlText w:val="%1."/>
      <w:numFmt w:val="decimal"/>
      <w:start w:val="4"/>
    </w:lvl>
    <w:lvl w:ilvl="1">
      <w:lvlJc w:val="left"/>
      <w:lvlText w:val="%2"/>
      <w:numFmt w:val="lowerLetter"/>
      <w:start w:val="1"/>
    </w:lvl>
  </w:abstractNum>
  <w:abstractNum w:abstractNumId="80">
    <w:nsid w:val="14E17E33"/>
    <w:multiLevelType w:val="hybridMultilevel"/>
    <w:lvl w:ilvl="0">
      <w:lvlJc w:val="left"/>
      <w:lvlText w:val="%1."/>
      <w:numFmt w:val="decimal"/>
      <w:start w:val="5"/>
    </w:lvl>
    <w:lvl w:ilvl="1">
      <w:lvlJc w:val="left"/>
      <w:lvlText w:val="(%2)"/>
      <w:numFmt w:val="lowerLetter"/>
      <w:start w:val="1"/>
    </w:lvl>
  </w:abstractNum>
  <w:abstractNum w:abstractNumId="81">
    <w:nsid w:val="3222E7CD"/>
    <w:multiLevelType w:val="hybridMultilevel"/>
    <w:lvl w:ilvl="0">
      <w:lvlJc w:val="left"/>
      <w:lvlText w:val="%1"/>
      <w:numFmt w:val="decimal"/>
      <w:start w:val="1"/>
    </w:lvl>
    <w:lvl w:ilvl="1">
      <w:lvlJc w:val="left"/>
      <w:lvlText w:val="(%2)"/>
      <w:numFmt w:val="lowerLetter"/>
      <w:start w:val="3"/>
    </w:lvl>
  </w:abstractNum>
  <w:abstractNum w:abstractNumId="82">
    <w:nsid w:val="74DE0EE3"/>
    <w:multiLevelType w:val="hybridMultilevel"/>
    <w:lvl w:ilvl="0">
      <w:lvlJc w:val="left"/>
      <w:lvlText w:val="(%1)"/>
      <w:numFmt w:val="decimal"/>
      <w:start w:val="10"/>
    </w:lvl>
    <w:lvl w:ilvl="1">
      <w:lvlJc w:val="left"/>
      <w:lvlText w:val="(%2)"/>
      <w:numFmt w:val="lowerLetter"/>
      <w:start w:val="4"/>
    </w:lvl>
  </w:abstractNum>
  <w:abstractNum w:abstractNumId="83">
    <w:nsid w:val="68EBC550"/>
    <w:multiLevelType w:val="hybridMultilevel"/>
    <w:lvl w:ilvl="0">
      <w:lvlJc w:val="left"/>
      <w:lvlText w:val="(%1)"/>
      <w:numFmt w:val="lowerLetter"/>
      <w:start w:val="6"/>
    </w:lvl>
  </w:abstractNum>
  <w:abstractNum w:abstractNumId="84">
    <w:nsid w:val="2DF6D648"/>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85">
    <w:nsid w:val="46B7D447"/>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86">
    <w:nsid w:val="4A2AC315"/>
    <w:multiLevelType w:val="hybridMultilevel"/>
    <w:lvl w:ilvl="0">
      <w:lvlJc w:val="left"/>
      <w:lvlText w:val="%1"/>
      <w:numFmt w:val="decimal"/>
      <w:start w:val="1"/>
    </w:lvl>
    <w:lvl w:ilvl="1">
      <w:lvlJc w:val="left"/>
      <w:lvlText w:val="(%2)"/>
      <w:numFmt w:val="lowerLetter"/>
      <w:start w:val="6"/>
    </w:lvl>
  </w:abstractNum>
  <w:abstractNum w:abstractNumId="87">
    <w:nsid w:val="39EE015C"/>
    <w:multiLevelType w:val="hybridMultilevel"/>
    <w:lvl w:ilvl="0">
      <w:lvlJc w:val="left"/>
      <w:lvlText w:val="%1."/>
      <w:numFmt w:val="decimal"/>
      <w:start w:val="8"/>
    </w:lvl>
    <w:lvl w:ilvl="1">
      <w:lvlJc w:val="left"/>
      <w:lvlText w:val="(%2)"/>
      <w:numFmt w:val="lowerLetter"/>
      <w:start w:val="1"/>
    </w:lvl>
  </w:abstractNum>
  <w:abstractNum w:abstractNumId="88">
    <w:nsid w:val="57FC4FBB"/>
    <w:multiLevelType w:val="hybridMultilevel"/>
    <w:lvl w:ilvl="0">
      <w:lvlJc w:val="left"/>
      <w:lvlText w:val="%1"/>
      <w:numFmt w:val="decimal"/>
      <w:start w:val="1"/>
    </w:lvl>
    <w:lvl w:ilvl="1">
      <w:lvlJc w:val="left"/>
      <w:lvlText w:val="(%2)"/>
      <w:numFmt w:val="lowerLetter"/>
      <w:start w:val="4"/>
    </w:lvl>
  </w:abstractNum>
  <w:abstractNum w:abstractNumId="89">
    <w:nsid w:val="CC1016F"/>
    <w:multiLevelType w:val="hybridMultilevel"/>
    <w:lvl w:ilvl="0">
      <w:lvlJc w:val="left"/>
      <w:lvlText w:val="%1."/>
      <w:numFmt w:val="decimal"/>
      <w:start w:val="9"/>
    </w:lvl>
    <w:lvl w:ilvl="1">
      <w:lvlJc w:val="left"/>
      <w:lvlText w:val="(%2)"/>
      <w:numFmt w:val="lowerLetter"/>
      <w:start w:val="1"/>
    </w:lvl>
  </w:abstractNum>
  <w:abstractNum w:abstractNumId="90">
    <w:nsid w:val="43F18422"/>
    <w:multiLevelType w:val="hybridMultilevel"/>
    <w:lvl w:ilvl="0">
      <w:lvlJc w:val="left"/>
      <w:lvlText w:val="%1."/>
      <w:numFmt w:val="decimal"/>
      <w:start w:val="11"/>
    </w:lvl>
    <w:lvl w:ilvl="1">
      <w:lvlJc w:val="left"/>
      <w:lvlText w:val="(%2)"/>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5"/>
    </w:lvl>
  </w:abstractNum>
  <w:abstractNum w:abstractNumId="92">
    <w:nsid w:val="26F324BA"/>
    <w:multiLevelType w:val="hybridMultilevel"/>
    <w:lvl w:ilvl="0">
      <w:lvlJc w:val="left"/>
      <w:lvlText w:val="%1."/>
      <w:numFmt w:val="decimal"/>
      <w:start w:val="14"/>
    </w:lvl>
    <w:lvl w:ilvl="1">
      <w:lvlJc w:val="left"/>
      <w:lvlText w:val="%2"/>
      <w:numFmt w:val="lowerLetter"/>
      <w:start w:val="1"/>
    </w:lvl>
  </w:abstractNum>
  <w:abstractNum w:abstractNumId="93">
    <w:nsid w:val="7F01579B"/>
    <w:multiLevelType w:val="hybridMultilevel"/>
    <w:lvl w:ilvl="0">
      <w:lvlJc w:val="left"/>
      <w:lvlText w:val="%1."/>
      <w:numFmt w:val="decimal"/>
      <w:start w:val="17"/>
    </w:lvl>
    <w:lvl w:ilvl="1">
      <w:lvlJc w:val="left"/>
      <w:lvlText w:val="(%2)"/>
      <w:numFmt w:val="lowerLetter"/>
      <w:start w:val="1"/>
    </w:lvl>
  </w:abstractNum>
  <w:abstractNum w:abstractNumId="94">
    <w:nsid w:val="49DA307D"/>
    <w:multiLevelType w:val="hybridMultilevel"/>
    <w:lvl w:ilvl="0">
      <w:lvlJc w:val="left"/>
      <w:lvlText w:val="%1."/>
      <w:numFmt w:val="decimal"/>
      <w:start w:val="18"/>
    </w:lvl>
  </w:abstractNum>
  <w:abstractNum w:abstractNumId="95">
    <w:nsid w:val="7055A5F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96" Type="http://schemas.openxmlformats.org/officeDocument/2006/relationships/image" Target="media/image275.png"/><Relationship Id="rId298" Type="http://schemas.openxmlformats.org/officeDocument/2006/relationships/image" Target="media/image276.png"/><Relationship Id="rId301" Type="http://schemas.openxmlformats.org/officeDocument/2006/relationships/image" Target="media/image277.png"/><Relationship Id="rId304" Type="http://schemas.openxmlformats.org/officeDocument/2006/relationships/image" Target="media/image278.png"/><Relationship Id="rId307" Type="http://schemas.openxmlformats.org/officeDocument/2006/relationships/image" Target="media/image279.png"/><Relationship Id="rId310" Type="http://schemas.openxmlformats.org/officeDocument/2006/relationships/image" Target="media/image280.png"/><Relationship Id="rId313" Type="http://schemas.openxmlformats.org/officeDocument/2006/relationships/image" Target="media/image281.png"/><Relationship Id="rId315"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282" Type="http://schemas.openxmlformats.org/officeDocument/2006/relationships/hyperlink" Target="http://www.sec.gov/Archives/edgar/data/1800637/000121390021004220/fs12021a2ex1-1_agrifycorp.htm" TargetMode="External"/><Relationship Id="rId283" Type="http://schemas.openxmlformats.org/officeDocument/2006/relationships/hyperlink" Target="http://www.sec.gov/Archives/edgar/data/1800637/000121390020044121/fs12020ex2-1_agrifycorp.htm" TargetMode="External"/><Relationship Id="rId284" Type="http://schemas.openxmlformats.org/officeDocument/2006/relationships/hyperlink" Target="http://www.sec.gov/Archives/edgar/data/1800637/000121390021001799/fs12020a1ex3-1_agrify.htm" TargetMode="External"/><Relationship Id="rId285" Type="http://schemas.openxmlformats.org/officeDocument/2006/relationships/hyperlink" Target="http://www.sec.gov/Archives/edgar/data/1800637/000121390021001799/fs12020a1ex3-2_agrify.htm" TargetMode="External"/><Relationship Id="rId286" Type="http://schemas.openxmlformats.org/officeDocument/2006/relationships/hyperlink" Target="http://www.sec.gov/Archives/edgar/data/1800637/000121390021004220/fs12021a2ex3-3_agrifycorp.htm" TargetMode="External"/><Relationship Id="rId287" Type="http://schemas.openxmlformats.org/officeDocument/2006/relationships/hyperlink" Target="http://www.sec.gov/Archives/edgar/data/1800637/000121390021004220/fs12021a2ex4-1_agrifycorp.htm" TargetMode="External"/><Relationship Id="rId288" Type="http://schemas.openxmlformats.org/officeDocument/2006/relationships/hyperlink" Target="http://www.sec.gov/Archives/edgar/data/1800637/000121390021004220/fs12021a2ex4-2_agrifycorp.htm" TargetMode="External"/><Relationship Id="rId289" Type="http://schemas.openxmlformats.org/officeDocument/2006/relationships/hyperlink" Target="http://www.sec.gov/Archives/edgar/data/1800637/000121390020044121/fs12020ex4-3_agrifycorp.htm" TargetMode="External"/><Relationship Id="rId290" Type="http://schemas.openxmlformats.org/officeDocument/2006/relationships/hyperlink" Target="http://www.sec.gov/Archives/edgar/data/1800637/000121390020044121/fs12020ex10-1_agrifycorp.htm" TargetMode="External"/><Relationship Id="rId291" Type="http://schemas.openxmlformats.org/officeDocument/2006/relationships/hyperlink" Target="http://www.sec.gov/Archives/edgar/data/1800637/000121390020044121/fs12020ex10-2_agrifycorp.htm" TargetMode="External"/><Relationship Id="rId292" Type="http://schemas.openxmlformats.org/officeDocument/2006/relationships/hyperlink" Target="http://www.sec.gov/Archives/edgar/data/1800637/000121390020044121/fs12020ex10-3_agrifycorp.htm" TargetMode="External"/><Relationship Id="rId293" Type="http://schemas.openxmlformats.org/officeDocument/2006/relationships/hyperlink" Target="http://www.sec.gov/Archives/edgar/data/1800637/000121390020044121/fs12020ex10-4_agrifycorp.htm" TargetMode="External"/><Relationship Id="rId294" Type="http://schemas.openxmlformats.org/officeDocument/2006/relationships/hyperlink" Target="http://www.sec.gov/Archives/edgar/data/1800637/000121390021001799/fs12020a1ex10-5_agrify.htm" TargetMode="External"/><Relationship Id="rId295" Type="http://schemas.openxmlformats.org/officeDocument/2006/relationships/hyperlink" Target="http://www.sec.gov/Archives/edgar/data/1800637/000121390020044121/fs12020ex10-7_agrifycorp.htm" TargetMode="External"/><Relationship Id="rId297" Type="http://schemas.openxmlformats.org/officeDocument/2006/relationships/hyperlink" Target="http://www.sec.gov/Archives/edgar/data/1800637/000121390020044121/fs12020ex10-8_agrifycorp.htm" TargetMode="External"/><Relationship Id="rId299" Type="http://schemas.openxmlformats.org/officeDocument/2006/relationships/hyperlink" Target="http://www.sec.gov/Archives/edgar/data/1800637/000121390020044121/fs12020ex10-11_agrifycorp.htm" TargetMode="External"/><Relationship Id="rId300" Type="http://schemas.openxmlformats.org/officeDocument/2006/relationships/hyperlink" Target="http://www.sec.gov/Archives/edgar/data/1800637/000121390020044121/fs12020ex10-12_agrifycorp.htm" TargetMode="External"/><Relationship Id="rId302" Type="http://schemas.openxmlformats.org/officeDocument/2006/relationships/hyperlink" Target="http://www.sec.gov/Archives/edgar/data/1800637/000121390021001799/fs12020a1ex10-10_agrify.htm" TargetMode="External"/><Relationship Id="rId303" Type="http://schemas.openxmlformats.org/officeDocument/2006/relationships/hyperlink" Target="http://www.sec.gov/Archives/edgar/data/1800637/000121390020044121/fs12020ex10-13_agrifycorp.htm" TargetMode="External"/><Relationship Id="rId305" Type="http://schemas.openxmlformats.org/officeDocument/2006/relationships/hyperlink" Target="http://www.sec.gov/Archives/edgar/data/1800637/000121390020044121/fs12020ex10-14_agrifycorp.htm" TargetMode="External"/><Relationship Id="rId306" Type="http://schemas.openxmlformats.org/officeDocument/2006/relationships/hyperlink" Target="http://www.sec.gov/Archives/edgar/data/1800637/000121390021001799/fs12020a1ex10-13_agrify.htm" TargetMode="External"/><Relationship Id="rId308" Type="http://schemas.openxmlformats.org/officeDocument/2006/relationships/hyperlink" Target="http://www.sec.gov/Archives/edgar/data/1800637/000121390020044121/fs12020ex10-16_agrifycorp.htm" TargetMode="External"/><Relationship Id="rId309" Type="http://schemas.openxmlformats.org/officeDocument/2006/relationships/hyperlink" Target="http://www.sec.gov/Archives/edgar/data/1800637/000121390021001799/fs12020a1ex10-15_agrify.htm" TargetMode="External"/><Relationship Id="rId311" Type="http://schemas.openxmlformats.org/officeDocument/2006/relationships/hyperlink" Target="http://www.sec.gov/Archives/edgar/data/1800637/000121390020044121/fs12020ex10-18_agrifycorp.htm" TargetMode="External"/><Relationship Id="rId312" Type="http://schemas.openxmlformats.org/officeDocument/2006/relationships/hyperlink" Target="https://www.sec.gov/Archives/edgar/data/1800637/000121390021004451/fs12021a3ex10-17_agrifycorp.htm" TargetMode="External"/><Relationship Id="rId314" Type="http://schemas.openxmlformats.org/officeDocument/2006/relationships/hyperlink" Target="http://www.sec.gov/Archives/edgar/data/1800637/000121390020044121/fs12020ex14-1_agrifycorp.htm" TargetMode="External"/><Relationship Id="rId316" Type="http://schemas.openxmlformats.org/officeDocument/2006/relationships/hyperlink" Target="http://www.sec.gov/Archives/edgar/data/1800637/000121390021001799/fs12020a1ex21-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2021-02-11T23:11:51Z</dcterms:created>
  <dcterms:modified xsi:type="dcterms:W3CDTF">2021-02-11T23:11:51Z</dcterms:modified>
</cp:coreProperties>
</file>