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640" w:type="dxa"/>
        <w:tblCellMar>
          <w:top w:w="0" w:type="dxa"/>
          <w:left w:w="0" w:type="dxa"/>
          <w:bottom w:w="0" w:type="dxa"/>
          <w:right w:w="0" w:type="dxa"/>
        </w:tblCellMar>
      </w:tblPr>
      <w:tr>
        <w:trPr>
          <w:trHeight w:val="216"/>
        </w:trPr>
        <w:tc>
          <w:tcPr>
            <w:tcW w:w="5680" w:type="dxa"/>
            <w:vAlign w:val="bottom"/>
          </w:tcPr>
          <w:p>
            <w:pPr>
              <w:jc w:val="center"/>
              <w:ind w:right="1710"/>
              <w:spacing w:after="0"/>
              <w:rPr>
                <w:sz w:val="20"/>
                <w:szCs w:val="20"/>
                <w:color w:val="auto"/>
              </w:rPr>
            </w:pPr>
            <w:r>
              <w:rPr>
                <w:rFonts w:ascii="Arial" w:cs="Arial" w:eastAsia="Arial" w:hAnsi="Arial"/>
                <w:sz w:val="18"/>
                <w:szCs w:val="18"/>
                <w:b w:val="1"/>
                <w:bCs w:val="1"/>
                <w:color w:val="auto"/>
                <w:w w:val="97"/>
              </w:rPr>
              <w:t>UNITED STATES</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5680" w:type="dxa"/>
            <w:vAlign w:val="bottom"/>
            <w:vMerge w:val="restart"/>
          </w:tcPr>
          <w:p>
            <w:pPr>
              <w:jc w:val="center"/>
              <w:ind w:right="1710"/>
              <w:spacing w:after="0"/>
              <w:rPr>
                <w:sz w:val="20"/>
                <w:szCs w:val="20"/>
                <w:color w:val="auto"/>
              </w:rPr>
            </w:pPr>
            <w:r>
              <w:rPr>
                <w:rFonts w:ascii="Arial" w:cs="Arial" w:eastAsia="Arial" w:hAnsi="Arial"/>
                <w:sz w:val="18"/>
                <w:szCs w:val="18"/>
                <w:b w:val="1"/>
                <w:bCs w:val="1"/>
                <w:color w:val="auto"/>
              </w:rPr>
              <w:t>SECURITIES AND EXCHANGE COMMISSION</w:t>
            </w: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680" w:type="dxa"/>
            <w:vAlign w:val="bottom"/>
            <w:vMerge w:val="continue"/>
          </w:tcPr>
          <w:p>
            <w:pPr>
              <w:spacing w:after="0"/>
              <w:rPr>
                <w:sz w:val="8"/>
                <w:szCs w:val="8"/>
                <w:color w:val="auto"/>
              </w:rPr>
            </w:pPr>
          </w:p>
        </w:tc>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SEC File Number</w:t>
            </w:r>
          </w:p>
        </w:tc>
        <w:tc>
          <w:tcPr>
            <w:tcW w:w="0" w:type="dxa"/>
            <w:vAlign w:val="bottom"/>
          </w:tcPr>
          <w:p>
            <w:pPr>
              <w:spacing w:after="0"/>
              <w:rPr>
                <w:sz w:val="1"/>
                <w:szCs w:val="1"/>
                <w:color w:val="auto"/>
              </w:rPr>
            </w:pPr>
          </w:p>
        </w:tc>
      </w:tr>
      <w:tr>
        <w:trPr>
          <w:trHeight w:val="153"/>
        </w:trPr>
        <w:tc>
          <w:tcPr>
            <w:tcW w:w="5680" w:type="dxa"/>
            <w:vAlign w:val="bottom"/>
            <w:vMerge w:val="restart"/>
          </w:tcPr>
          <w:p>
            <w:pPr>
              <w:jc w:val="center"/>
              <w:ind w:right="1730"/>
              <w:spacing w:after="0"/>
              <w:rPr>
                <w:sz w:val="20"/>
                <w:szCs w:val="20"/>
                <w:color w:val="auto"/>
              </w:rPr>
            </w:pPr>
            <w:r>
              <w:rPr>
                <w:rFonts w:ascii="Arial" w:cs="Arial" w:eastAsia="Arial" w:hAnsi="Arial"/>
                <w:sz w:val="18"/>
                <w:szCs w:val="18"/>
                <w:b w:val="1"/>
                <w:bCs w:val="1"/>
                <w:color w:val="auto"/>
                <w:w w:val="91"/>
              </w:rPr>
              <w:t>Washington, D.C. 20549</w:t>
            </w:r>
          </w:p>
        </w:tc>
        <w:tc>
          <w:tcPr>
            <w:tcW w:w="1820" w:type="dxa"/>
            <w:vAlign w:val="bottom"/>
            <w:tcBorders>
              <w:left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5680" w:type="dxa"/>
            <w:vAlign w:val="bottom"/>
            <w:vMerge w:val="continue"/>
          </w:tcPr>
          <w:p>
            <w:pPr>
              <w:spacing w:after="0"/>
              <w:rPr>
                <w:sz w:val="7"/>
                <w:szCs w:val="7"/>
                <w:color w:val="auto"/>
              </w:rPr>
            </w:pPr>
          </w:p>
        </w:tc>
        <w:tc>
          <w:tcPr>
            <w:tcW w:w="1820" w:type="dxa"/>
            <w:vAlign w:val="bottom"/>
            <w:tcBorders>
              <w:left w:val="single" w:sz="8" w:color="auto"/>
              <w:right w:val="single" w:sz="8" w:color="auto"/>
            </w:tcBorders>
            <w:vMerge w:val="restart"/>
          </w:tcPr>
          <w:p>
            <w:pPr>
              <w:jc w:val="right"/>
              <w:ind w:right="450"/>
              <w:spacing w:after="0"/>
              <w:rPr>
                <w:sz w:val="20"/>
                <w:szCs w:val="20"/>
                <w:color w:val="auto"/>
              </w:rPr>
            </w:pPr>
            <w:r>
              <w:rPr>
                <w:rFonts w:ascii="Arial" w:cs="Arial" w:eastAsia="Arial" w:hAnsi="Arial"/>
                <w:sz w:val="18"/>
                <w:szCs w:val="18"/>
                <w:color w:val="auto"/>
              </w:rPr>
              <w:t>001-39946</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20" w:type="dxa"/>
            <w:vAlign w:val="bottom"/>
            <w:tcBorders>
              <w:left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5680" w:type="dxa"/>
            <w:vAlign w:val="bottom"/>
          </w:tcPr>
          <w:p>
            <w:pPr>
              <w:spacing w:after="0"/>
              <w:rPr>
                <w:sz w:val="5"/>
                <w:szCs w:val="5"/>
                <w:color w:val="auto"/>
              </w:rPr>
            </w:pPr>
          </w:p>
        </w:tc>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5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69"/>
        </w:trPr>
        <w:tc>
          <w:tcPr>
            <w:tcW w:w="1860" w:type="dxa"/>
            <w:vAlign w:val="bottom"/>
          </w:tcPr>
          <w:p>
            <w:pPr>
              <w:spacing w:after="0"/>
              <w:rPr>
                <w:sz w:val="23"/>
                <w:szCs w:val="23"/>
                <w:color w:val="auto"/>
              </w:rPr>
            </w:pPr>
          </w:p>
        </w:tc>
        <w:tc>
          <w:tcPr>
            <w:tcW w:w="6180" w:type="dxa"/>
            <w:vAlign w:val="bottom"/>
          </w:tcPr>
          <w:p>
            <w:pPr>
              <w:ind w:left="3100"/>
              <w:spacing w:after="0"/>
              <w:rPr>
                <w:sz w:val="20"/>
                <w:szCs w:val="20"/>
                <w:color w:val="auto"/>
              </w:rPr>
            </w:pPr>
            <w:r>
              <w:rPr>
                <w:rFonts w:ascii="Arial" w:cs="Arial" w:eastAsia="Arial" w:hAnsi="Arial"/>
                <w:sz w:val="18"/>
                <w:szCs w:val="18"/>
                <w:b w:val="1"/>
                <w:bCs w:val="1"/>
                <w:color w:val="auto"/>
              </w:rPr>
              <w:t>FORM 12b-25</w:t>
            </w:r>
          </w:p>
        </w:tc>
        <w:tc>
          <w:tcPr>
            <w:tcW w:w="1240" w:type="dxa"/>
            <w:vAlign w:val="bottom"/>
            <w:tcBorders>
              <w:right w:val="single" w:sz="8" w:color="auto"/>
            </w:tcBorders>
          </w:tcPr>
          <w:p>
            <w:pPr>
              <w:spacing w:after="0"/>
              <w:rPr>
                <w:sz w:val="23"/>
                <w:szCs w:val="23"/>
                <w:color w:val="auto"/>
              </w:rPr>
            </w:pPr>
          </w:p>
        </w:tc>
        <w:tc>
          <w:tcPr>
            <w:tcW w:w="18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CUSIP Number</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00853E305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618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NOTIFICATION OF LATE FILING</w:t>
            </w:r>
          </w:p>
        </w:tc>
        <w:tc>
          <w:tcPr>
            <w:tcW w:w="1240" w:type="dxa"/>
            <w:vAlign w:val="bottom"/>
            <w:tcBorders>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1"/>
                <w:szCs w:val="21"/>
                <w:color w:val="auto"/>
              </w:rPr>
            </w:pPr>
          </w:p>
        </w:tc>
        <w:tc>
          <w:tcPr>
            <w:tcW w:w="6180" w:type="dxa"/>
            <w:vAlign w:val="bottom"/>
            <w:vMerge w:val="continue"/>
          </w:tcPr>
          <w:p>
            <w:pPr>
              <w:spacing w:after="0"/>
              <w:rPr>
                <w:sz w:val="21"/>
                <w:szCs w:val="21"/>
                <w:color w:val="auto"/>
              </w:rPr>
            </w:pPr>
          </w:p>
        </w:tc>
        <w:tc>
          <w:tcPr>
            <w:tcW w:w="1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7"/>
        </w:trPr>
        <w:tc>
          <w:tcPr>
            <w:tcW w:w="186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6180" w:type="dxa"/>
            <w:vAlign w:val="bottom"/>
          </w:tcPr>
          <w:p>
            <w:pP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Form 10-K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Form 20-F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Form 11-K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Form 10-Q</w:t>
            </w:r>
            <w:r>
              <w:rPr>
                <w:rFonts w:ascii="MS PGothic" w:cs="MS PGothic" w:eastAsia="MS PGothic" w:hAnsi="MS PGothic"/>
                <w:sz w:val="18"/>
                <w:szCs w:val="18"/>
                <w:color w:val="auto"/>
                <w:w w:val="93"/>
              </w:rPr>
              <w:t xml:space="preserve">☐ </w:t>
            </w:r>
            <w:r>
              <w:rPr>
                <w:rFonts w:ascii="Arial" w:cs="Arial" w:eastAsia="Arial" w:hAnsi="Arial"/>
                <w:sz w:val="18"/>
                <w:szCs w:val="18"/>
                <w:color w:val="auto"/>
                <w:w w:val="93"/>
              </w:rPr>
              <w:t>Form 10-D</w:t>
            </w:r>
          </w:p>
        </w:tc>
        <w:tc>
          <w:tcPr>
            <w:tcW w:w="304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N-CEN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86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September 30, 2023</w:t>
            </w:r>
          </w:p>
        </w:tc>
        <w:tc>
          <w:tcPr>
            <w:tcW w:w="1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4"/>
        </w:trPr>
        <w:tc>
          <w:tcPr>
            <w:tcW w:w="1860" w:type="dxa"/>
            <w:vAlign w:val="bottom"/>
          </w:tcPr>
          <w:p>
            <w:pPr>
              <w:spacing w:after="0"/>
              <w:rPr>
                <w:sz w:val="24"/>
                <w:szCs w:val="24"/>
                <w:color w:val="auto"/>
              </w:rPr>
            </w:pPr>
          </w:p>
        </w:tc>
        <w:tc>
          <w:tcPr>
            <w:tcW w:w="61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10-K</w:t>
            </w:r>
          </w:p>
        </w:tc>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3"/>
                <w:szCs w:val="23"/>
                <w:color w:val="auto"/>
              </w:rPr>
            </w:pPr>
          </w:p>
        </w:tc>
        <w:tc>
          <w:tcPr>
            <w:tcW w:w="61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20-F</w:t>
            </w:r>
          </w:p>
        </w:tc>
        <w:tc>
          <w:tcPr>
            <w:tcW w:w="12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60" w:type="dxa"/>
            <w:vAlign w:val="bottom"/>
          </w:tcPr>
          <w:p>
            <w:pPr>
              <w:spacing w:after="0"/>
              <w:rPr>
                <w:sz w:val="23"/>
                <w:szCs w:val="23"/>
                <w:color w:val="auto"/>
              </w:rPr>
            </w:pPr>
          </w:p>
        </w:tc>
        <w:tc>
          <w:tcPr>
            <w:tcW w:w="61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11-K</w:t>
            </w:r>
          </w:p>
        </w:tc>
        <w:tc>
          <w:tcPr>
            <w:tcW w:w="12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1860" w:type="dxa"/>
            <w:vAlign w:val="bottom"/>
          </w:tcPr>
          <w:p>
            <w:pPr>
              <w:spacing w:after="0"/>
              <w:rPr>
                <w:sz w:val="24"/>
                <w:szCs w:val="24"/>
                <w:color w:val="auto"/>
              </w:rPr>
            </w:pPr>
          </w:p>
        </w:tc>
        <w:tc>
          <w:tcPr>
            <w:tcW w:w="61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10-Q</w:t>
            </w:r>
          </w:p>
        </w:tc>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 the Transition Period Ended:</w:t>
            </w:r>
          </w:p>
        </w:tc>
        <w:tc>
          <w:tcPr>
            <w:tcW w:w="1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the notification relates to a portion of the filing checked above, identify the Item(s) to which the notification relates: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Name of Registrant</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if Applicable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2468 Industrial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Troy, MI 48084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Address of Principal Executive Office </w:t>
      </w:r>
      <w:r>
        <w:rPr>
          <w:rFonts w:ascii="Arial" w:cs="Arial" w:eastAsia="Arial" w:hAnsi="Arial"/>
          <w:sz w:val="18"/>
          <w:szCs w:val="18"/>
          <w:b w:val="1"/>
          <w:bCs w:val="1"/>
          <w:i w:val="1"/>
          <w:iCs w:val="1"/>
          <w:color w:val="auto"/>
        </w:rPr>
        <w:t>(Street and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254635</wp:posOffset>
            </wp:positionV>
            <wp:extent cx="17145" cy="92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 cy="925830"/>
                    </a:xfrm>
                    <a:prstGeom prst="rect">
                      <a:avLst/>
                    </a:prstGeom>
                    <a:noFill/>
                  </pic:spPr>
                </pic:pic>
              </a:graphicData>
            </a:graphic>
          </wp:anchor>
        </w:drawing>
      </w:r>
    </w:p>
    <w:p>
      <w:pPr>
        <w:spacing w:after="0" w:line="393" w:lineRule="exact"/>
        <w:rPr>
          <w:sz w:val="20"/>
          <w:szCs w:val="20"/>
          <w:color w:val="auto"/>
        </w:rPr>
      </w:pPr>
    </w:p>
    <w:p>
      <w:pPr>
        <w:ind w:left="1140" w:hanging="375"/>
        <w:spacing w:after="0"/>
        <w:tabs>
          <w:tab w:leader="none" w:pos="114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74" w:lineRule="exact"/>
        <w:rPr>
          <w:rFonts w:ascii="Arial" w:cs="Arial" w:eastAsia="Arial" w:hAnsi="Arial"/>
          <w:sz w:val="17"/>
          <w:szCs w:val="17"/>
          <w:color w:val="auto"/>
        </w:rPr>
      </w:pPr>
    </w:p>
    <w:p>
      <w:pPr>
        <w:ind w:left="1140" w:hanging="380"/>
        <w:spacing w:after="0"/>
        <w:tabs>
          <w:tab w:leader="none" w:pos="114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46" w:lineRule="exact"/>
        <w:rPr>
          <w:rFonts w:ascii="Arial" w:cs="Arial" w:eastAsia="Arial" w:hAnsi="Arial"/>
          <w:sz w:val="16"/>
          <w:szCs w:val="16"/>
          <w:color w:val="auto"/>
        </w:rPr>
      </w:pPr>
    </w:p>
    <w:p>
      <w:pPr>
        <w:ind w:left="1140" w:right="140" w:hanging="936"/>
        <w:spacing w:after="0" w:line="200" w:lineRule="auto"/>
        <w:tabs>
          <w:tab w:leader="none" w:pos="11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42" w:lineRule="exact"/>
        <w:rPr>
          <w:rFonts w:ascii="MS PGothic" w:cs="MS PGothic" w:eastAsia="MS PGothic" w:hAnsi="MS PGothic"/>
          <w:sz w:val="36"/>
          <w:szCs w:val="36"/>
          <w:color w:val="auto"/>
          <w:vertAlign w:val="subscript"/>
        </w:rPr>
      </w:pPr>
    </w:p>
    <w:p>
      <w:pPr>
        <w:ind w:left="1140" w:hanging="375"/>
        <w:spacing w:after="0"/>
        <w:tabs>
          <w:tab w:leader="none" w:pos="1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N-CEN, N-CSR or the transition report or portion thereof, could not be filed within the prescribed time period.</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previously disclosed by Agrify Corporation (the “Company”) in its Current Report on Form 8-K, as filed on April 17, 2023 (the “Prior 8-K”), the Audit Committee of the Company’s Board of Directors (the “Audit Committee”) determined that it was necessary to restate the Company’s unaudited condensed consolidated interim financial statements as of and for the fiscal periods ended March 31, 2022, June 30, 2022 and September 30, 2022 included in the Quarterly Reports on Form 10-Q with respect to such periods (such restatements, the “Restatements”). The Restatements were made as a result of errors in the accounting for warrants previously issued by the Company. Specifically, the Audit Committee concluded 15,079 warrants issued in a private placement on January 28, 2022 and 34,406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was a non-cash charge and was reflected in the Company’s statement of operations. The Restatements were filed on October 2, 2023.</w:t>
      </w:r>
    </w:p>
    <w:p>
      <w:pPr>
        <w:spacing w:after="0" w:line="1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a result of delays due to the Restatements described above, the Company is unable to complete its unaudited condensed consolidated financial statements and file its Quarterly Report on Form 10-Q for the quarter ended September 30, 2023 (the “Form 10-Q”) by the prescribed due date for such filing. The Company plans to file the Form 10-Q as soon as practicable.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3600" w:type="dxa"/>
            <w:vAlign w:val="bottom"/>
          </w:tcPr>
          <w:p>
            <w:pPr>
              <w:spacing w:after="0"/>
              <w:rPr>
                <w:sz w:val="24"/>
                <w:szCs w:val="24"/>
                <w:color w:val="auto"/>
              </w:rPr>
            </w:pPr>
          </w:p>
        </w:tc>
      </w:tr>
      <w:tr>
        <w:trPr>
          <w:trHeight w:val="439"/>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Raymond N. Chang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(617)</w:t>
            </w:r>
          </w:p>
        </w:tc>
        <w:tc>
          <w:tcPr>
            <w:tcW w:w="2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Arial" w:cs="Arial" w:eastAsia="Arial" w:hAnsi="Arial"/>
                <w:sz w:val="18"/>
                <w:szCs w:val="18"/>
                <w:b w:val="1"/>
                <w:bCs w:val="1"/>
                <w:color w:val="auto"/>
              </w:rPr>
              <w:t>788-9043</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firstLine="8"/>
        <w:spacing w:after="0" w:line="287"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not yet filed its Annual Report on Form 10-K for the fiscal year ended December 31, 2022 and its Quarterly Reports on Form 10-Q for the fiscal quarters ended March 31, 2023 and June 30, 2023, due to the reasons described in Part III above.</w:t>
      </w:r>
    </w:p>
    <w:p>
      <w:pPr>
        <w:spacing w:after="0" w:line="170" w:lineRule="exact"/>
        <w:rPr>
          <w:sz w:val="20"/>
          <w:szCs w:val="20"/>
          <w:color w:val="auto"/>
        </w:rPr>
      </w:pPr>
    </w:p>
    <w:p>
      <w:pPr>
        <w:ind w:firstLine="8"/>
        <w:spacing w:after="0" w:line="258"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As described above, the Company continues work on its Annual Report on Form 10-K for the fiscal year ended December 31, 2022 and its Quarterly Reports on Form 10-Q for the fiscal quarters ended March 31, 2023 and June 30, 2023. Due to the ongoing work relating to those delinquent filings, the Company is not currently able to provide a reasonable estimate regarding the results as of the date of this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matters discussed in this Form 12b-25 constitute forward-looking statements within the meaning of the federal securities laws. All statements contained in this Form 12b-25 that do not relate to matters of historical fact should be considered forward-looking statements. These forward-looking statements are based on management’s current expectation and include, but are not limited to, statements regarding the Company’s beliefs and expectations relating to the filing of the Form 10-Q and the results of the ongoing review.</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These forward-looking statements are not guarantees of future results and are subject to a number of risks and uncertainties, many of which are difficult to predict and beyond the Company’s control. Important factors that may cause actual results to differ materially from those in the forward-looking statements include, but are not limited to, a material delay in the Company’s financial reporting, including the possibility that the Company will not be able to file its Form 10-Q within the five-day extension permitted by the rules of the U.S. Securities and Exchange Commission, and the possibility that the ongoing audit may identify errors or control deficiencies in the Company’s accounting practices. The Company disclaims and does not undertake any obligation to update or revise any forward-looking statement in this report, except as required by applicable law or regulation.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120"/>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b w:val="1"/>
          <w:bCs w:val="1"/>
          <w:color w:val="auto"/>
        </w:rPr>
        <w:t>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VIOLATIONS (SEE 18 U.S.C. 1001).</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2023-11-15T15:42:55Z</dcterms:created>
  <dcterms:modified xsi:type="dcterms:W3CDTF">2023-11-15T15:42:55Z</dcterms:modified>
</cp:coreProperties>
</file>