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jc w:val="center"/>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8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rPr>
              <w:t>FORM 8-K/A</w:t>
            </w:r>
          </w:p>
        </w:tc>
        <w:tc>
          <w:tcPr>
            <w:tcW w:w="3140" w:type="dxa"/>
            <w:vAlign w:val="bottom"/>
          </w:tcPr>
          <w:p>
            <w:pPr>
              <w:spacing w:after="0"/>
              <w:rPr>
                <w:sz w:val="20"/>
                <w:szCs w:val="20"/>
                <w:color w:val="auto"/>
              </w:rPr>
            </w:pPr>
          </w:p>
        </w:tc>
      </w:tr>
      <w:tr>
        <w:trPr>
          <w:trHeight w:val="306"/>
        </w:trPr>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99"/>
              </w:rPr>
              <w:t>CURRENT REPORT</w:t>
            </w:r>
          </w:p>
        </w:tc>
        <w:tc>
          <w:tcPr>
            <w:tcW w:w="3140" w:type="dxa"/>
            <w:vAlign w:val="bottom"/>
          </w:tcPr>
          <w:p>
            <w:pPr>
              <w:spacing w:after="0"/>
              <w:rPr>
                <w:sz w:val="24"/>
                <w:szCs w:val="24"/>
                <w:color w:val="auto"/>
              </w:rPr>
            </w:pPr>
          </w:p>
        </w:tc>
      </w:tr>
      <w:tr>
        <w:trPr>
          <w:trHeight w:val="189"/>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80" w:type="dxa"/>
            <w:vAlign w:val="bottom"/>
            <w:gridSpan w:val="5"/>
          </w:tcPr>
          <w:p>
            <w:pPr>
              <w:jc w:val="center"/>
              <w:ind w:right="680"/>
              <w:spacing w:after="0" w:line="189" w:lineRule="exact"/>
              <w:rPr>
                <w:sz w:val="20"/>
                <w:szCs w:val="20"/>
                <w:color w:val="auto"/>
              </w:rPr>
            </w:pPr>
            <w:r>
              <w:rPr>
                <w:rFonts w:ascii="Arial" w:cs="Arial" w:eastAsia="Arial" w:hAnsi="Arial"/>
                <w:sz w:val="18"/>
                <w:szCs w:val="18"/>
                <w:b w:val="1"/>
                <w:bCs w:val="1"/>
                <w:color w:val="auto"/>
                <w:w w:val="92"/>
              </w:rPr>
              <w:t>(Amendment No. 1)</w:t>
            </w:r>
          </w:p>
        </w:tc>
        <w:tc>
          <w:tcPr>
            <w:tcW w:w="3140" w:type="dxa"/>
            <w:vAlign w:val="bottom"/>
          </w:tcPr>
          <w:p>
            <w:pPr>
              <w:spacing w:after="0"/>
              <w:rPr>
                <w:sz w:val="16"/>
                <w:szCs w:val="16"/>
                <w:color w:val="auto"/>
              </w:rPr>
            </w:pPr>
          </w:p>
        </w:tc>
      </w:tr>
      <w:tr>
        <w:trPr>
          <w:trHeight w:val="189"/>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80" w:type="dxa"/>
            <w:vAlign w:val="bottom"/>
            <w:gridSpan w:val="5"/>
          </w:tcPr>
          <w:p>
            <w:pPr>
              <w:jc w:val="center"/>
              <w:ind w:right="680"/>
              <w:spacing w:after="0" w:line="189" w:lineRule="exact"/>
              <w:rPr>
                <w:sz w:val="20"/>
                <w:szCs w:val="20"/>
                <w:color w:val="auto"/>
              </w:rPr>
            </w:pPr>
            <w:r>
              <w:rPr>
                <w:rFonts w:ascii="Arial" w:cs="Arial" w:eastAsia="Arial" w:hAnsi="Arial"/>
                <w:sz w:val="18"/>
                <w:szCs w:val="18"/>
                <w:b w:val="1"/>
                <w:bCs w:val="1"/>
                <w:color w:val="auto"/>
                <w:w w:val="90"/>
              </w:rPr>
              <w:t>Pursuant to Section 13 or 15(d)</w:t>
            </w:r>
          </w:p>
        </w:tc>
        <w:tc>
          <w:tcPr>
            <w:tcW w:w="3140" w:type="dxa"/>
            <w:vAlign w:val="bottom"/>
          </w:tcPr>
          <w:p>
            <w:pPr>
              <w:spacing w:after="0"/>
              <w:rPr>
                <w:sz w:val="16"/>
                <w:szCs w:val="16"/>
                <w:color w:val="auto"/>
              </w:rPr>
            </w:pPr>
          </w:p>
        </w:tc>
      </w:tr>
      <w:tr>
        <w:trPr>
          <w:trHeight w:val="234"/>
        </w:trPr>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8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89"/>
              </w:rPr>
              <w:t>of The Securities Exchange Act of 1934</w:t>
            </w:r>
          </w:p>
        </w:tc>
        <w:tc>
          <w:tcPr>
            <w:tcW w:w="3140" w:type="dxa"/>
            <w:vAlign w:val="bottom"/>
          </w:tcPr>
          <w:p>
            <w:pPr>
              <w:spacing w:after="0"/>
              <w:rPr>
                <w:sz w:val="20"/>
                <w:szCs w:val="20"/>
                <w:color w:val="auto"/>
              </w:rPr>
            </w:pPr>
          </w:p>
        </w:tc>
      </w:tr>
      <w:tr>
        <w:trPr>
          <w:trHeight w:val="351"/>
        </w:trPr>
        <w:tc>
          <w:tcPr>
            <w:tcW w:w="8100" w:type="dxa"/>
            <w:vAlign w:val="bottom"/>
            <w:gridSpan w:val="7"/>
          </w:tcPr>
          <w:p>
            <w:pPr>
              <w:jc w:val="center"/>
              <w:ind w:left="3050"/>
              <w:spacing w:after="0"/>
              <w:rPr>
                <w:sz w:val="20"/>
                <w:szCs w:val="20"/>
                <w:color w:val="auto"/>
              </w:rPr>
            </w:pPr>
            <w:r>
              <w:rPr>
                <w:rFonts w:ascii="Arial" w:cs="Arial" w:eastAsia="Arial" w:hAnsi="Arial"/>
                <w:sz w:val="18"/>
                <w:szCs w:val="18"/>
                <w:color w:val="auto"/>
                <w:w w:val="90"/>
              </w:rPr>
              <w:t xml:space="preserve">Date of report (Date of earliest event reported): </w:t>
            </w:r>
            <w:r>
              <w:rPr>
                <w:rFonts w:ascii="Arial" w:cs="Arial" w:eastAsia="Arial" w:hAnsi="Arial"/>
                <w:sz w:val="18"/>
                <w:szCs w:val="18"/>
                <w:b w:val="1"/>
                <w:bCs w:val="1"/>
                <w:color w:val="auto"/>
                <w:w w:val="90"/>
              </w:rPr>
              <w:t>September 29, 2021</w:t>
            </w:r>
          </w:p>
        </w:tc>
        <w:tc>
          <w:tcPr>
            <w:tcW w:w="3140" w:type="dxa"/>
            <w:vAlign w:val="bottom"/>
          </w:tcPr>
          <w:p>
            <w:pPr>
              <w:spacing w:after="0"/>
              <w:rPr>
                <w:sz w:val="24"/>
                <w:szCs w:val="24"/>
                <w:color w:val="auto"/>
              </w:rPr>
            </w:pPr>
          </w:p>
        </w:tc>
      </w:tr>
      <w:tr>
        <w:trPr>
          <w:trHeight w:val="364"/>
        </w:trPr>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rPr>
              <w:t>AGRIFY CORPORATION</w:t>
            </w:r>
          </w:p>
        </w:tc>
        <w:tc>
          <w:tcPr>
            <w:tcW w:w="3140" w:type="dxa"/>
            <w:vAlign w:val="bottom"/>
          </w:tcPr>
          <w:p>
            <w:pPr>
              <w:spacing w:after="0"/>
              <w:rPr>
                <w:sz w:val="24"/>
                <w:szCs w:val="24"/>
                <w:color w:val="auto"/>
              </w:rPr>
            </w:pPr>
          </w:p>
        </w:tc>
      </w:tr>
      <w:tr>
        <w:trPr>
          <w:trHeight w:val="230"/>
        </w:trPr>
        <w:tc>
          <w:tcPr>
            <w:tcW w:w="3580" w:type="dxa"/>
            <w:vAlign w:val="bottom"/>
          </w:tcPr>
          <w:p>
            <w:pPr>
              <w:spacing w:after="0"/>
              <w:rPr>
                <w:sz w:val="20"/>
                <w:szCs w:val="20"/>
                <w:color w:val="auto"/>
              </w:rPr>
            </w:pPr>
          </w:p>
        </w:tc>
        <w:tc>
          <w:tcPr>
            <w:tcW w:w="4520" w:type="dxa"/>
            <w:vAlign w:val="bottom"/>
            <w:gridSpan w:val="6"/>
          </w:tcPr>
          <w:p>
            <w:pPr>
              <w:jc w:val="center"/>
              <w:ind w:right="440"/>
              <w:spacing w:after="0"/>
              <w:rPr>
                <w:sz w:val="20"/>
                <w:szCs w:val="20"/>
                <w:color w:val="auto"/>
              </w:rPr>
            </w:pPr>
            <w:r>
              <w:rPr>
                <w:rFonts w:ascii="Arial" w:cs="Arial" w:eastAsia="Arial" w:hAnsi="Arial"/>
                <w:sz w:val="18"/>
                <w:szCs w:val="18"/>
                <w:color w:val="auto"/>
                <w:w w:val="90"/>
              </w:rPr>
              <w:t>(Exact name of registrant as specified in its charter)</w:t>
            </w:r>
          </w:p>
        </w:tc>
        <w:tc>
          <w:tcPr>
            <w:tcW w:w="3140" w:type="dxa"/>
            <w:vAlign w:val="bottom"/>
          </w:tcPr>
          <w:p>
            <w:pPr>
              <w:spacing w:after="0"/>
              <w:rPr>
                <w:sz w:val="20"/>
                <w:szCs w:val="20"/>
                <w:color w:val="auto"/>
              </w:rPr>
            </w:pPr>
          </w:p>
        </w:tc>
      </w:tr>
      <w:tr>
        <w:trPr>
          <w:trHeight w:val="418"/>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382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90"/>
              </w:rPr>
              <w:t>001-39946</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4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30-0943453</w:t>
            </w:r>
          </w:p>
        </w:tc>
      </w:tr>
      <w:tr>
        <w:trPr>
          <w:trHeight w:val="34"/>
        </w:trPr>
        <w:tc>
          <w:tcPr>
            <w:tcW w:w="3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29"/>
        </w:trPr>
        <w:tc>
          <w:tcPr>
            <w:tcW w:w="358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240" w:type="dxa"/>
            <w:vAlign w:val="bottom"/>
          </w:tcPr>
          <w:p>
            <w:pPr>
              <w:spacing w:after="0"/>
              <w:rPr>
                <w:sz w:val="19"/>
                <w:szCs w:val="19"/>
                <w:color w:val="auto"/>
              </w:rPr>
            </w:pPr>
          </w:p>
        </w:tc>
        <w:tc>
          <w:tcPr>
            <w:tcW w:w="4280" w:type="dxa"/>
            <w:vAlign w:val="bottom"/>
            <w:gridSpan w:val="5"/>
          </w:tcPr>
          <w:p>
            <w:pPr>
              <w:jc w:val="center"/>
              <w:ind w:right="680"/>
              <w:spacing w:after="0"/>
              <w:rPr>
                <w:sz w:val="20"/>
                <w:szCs w:val="20"/>
                <w:color w:val="auto"/>
              </w:rPr>
            </w:pPr>
            <w:r>
              <w:rPr>
                <w:rFonts w:ascii="Arial" w:cs="Arial" w:eastAsia="Arial" w:hAnsi="Arial"/>
                <w:sz w:val="18"/>
                <w:szCs w:val="18"/>
                <w:color w:val="auto"/>
                <w:w w:val="93"/>
              </w:rPr>
              <w:t>(Commission File Number)</w:t>
            </w:r>
          </w:p>
        </w:tc>
        <w:tc>
          <w:tcPr>
            <w:tcW w:w="3140" w:type="dxa"/>
            <w:vAlign w:val="bottom"/>
          </w:tcPr>
          <w:p>
            <w:pPr>
              <w:jc w:val="center"/>
              <w:ind w:right="350"/>
              <w:spacing w:after="0"/>
              <w:rPr>
                <w:sz w:val="20"/>
                <w:szCs w:val="20"/>
                <w:color w:val="auto"/>
              </w:rPr>
            </w:pPr>
            <w:r>
              <w:rPr>
                <w:rFonts w:ascii="Arial" w:cs="Arial" w:eastAsia="Arial" w:hAnsi="Arial"/>
                <w:sz w:val="18"/>
                <w:szCs w:val="18"/>
                <w:color w:val="auto"/>
                <w:w w:val="93"/>
              </w:rPr>
              <w:t>(IRS. Employer</w:t>
            </w:r>
          </w:p>
        </w:tc>
      </w:tr>
      <w:tr>
        <w:trPr>
          <w:trHeight w:val="230"/>
        </w:trPr>
        <w:tc>
          <w:tcPr>
            <w:tcW w:w="3580" w:type="dxa"/>
            <w:vAlign w:val="bottom"/>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40" w:type="dxa"/>
            <w:vAlign w:val="bottom"/>
          </w:tcPr>
          <w:p>
            <w:pPr>
              <w:jc w:val="center"/>
              <w:ind w:right="350"/>
              <w:spacing w:after="0"/>
              <w:rPr>
                <w:sz w:val="20"/>
                <w:szCs w:val="20"/>
                <w:color w:val="auto"/>
              </w:rPr>
            </w:pPr>
            <w:r>
              <w:rPr>
                <w:rFonts w:ascii="Arial" w:cs="Arial" w:eastAsia="Arial" w:hAnsi="Arial"/>
                <w:sz w:val="18"/>
                <w:szCs w:val="18"/>
                <w:color w:val="auto"/>
                <w:w w:val="94"/>
              </w:rPr>
              <w:t>Identification Number)</w:t>
            </w:r>
          </w:p>
        </w:tc>
      </w:tr>
      <w:tr>
        <w:trPr>
          <w:trHeight w:val="540"/>
        </w:trPr>
        <w:tc>
          <w:tcPr>
            <w:tcW w:w="358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76 Treble Cove Rd.</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43"/>
        </w:trPr>
        <w:tc>
          <w:tcPr>
            <w:tcW w:w="358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Building 3</w:t>
            </w: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310"/>
        </w:trPr>
        <w:tc>
          <w:tcPr>
            <w:tcW w:w="3580" w:type="dxa"/>
            <w:vAlign w:val="bottom"/>
            <w:tcBorders>
              <w:bottom w:val="single" w:sz="8" w:color="auto"/>
            </w:tcBorders>
          </w:tcPr>
          <w:p>
            <w:pPr>
              <w:ind w:left="2040"/>
              <w:spacing w:after="0"/>
              <w:rPr>
                <w:sz w:val="20"/>
                <w:szCs w:val="20"/>
                <w:color w:val="auto"/>
              </w:rPr>
            </w:pPr>
            <w:r>
              <w:rPr>
                <w:rFonts w:ascii="Arial" w:cs="Arial" w:eastAsia="Arial" w:hAnsi="Arial"/>
                <w:sz w:val="18"/>
                <w:szCs w:val="18"/>
                <w:b w:val="1"/>
                <w:bCs w:val="1"/>
                <w:color w:val="auto"/>
              </w:rPr>
              <w:t>Billerica, MA</w:t>
            </w: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7"/>
        </w:trPr>
        <w:tc>
          <w:tcPr>
            <w:tcW w:w="8100" w:type="dxa"/>
            <w:vAlign w:val="bottom"/>
            <w:gridSpan w:val="7"/>
          </w:tcPr>
          <w:p>
            <w:pPr>
              <w:jc w:val="center"/>
              <w:ind w:right="2600"/>
              <w:spacing w:after="0"/>
              <w:rPr>
                <w:sz w:val="20"/>
                <w:szCs w:val="20"/>
                <w:color w:val="auto"/>
              </w:rPr>
            </w:pPr>
            <w:r>
              <w:rPr>
                <w:rFonts w:ascii="Arial" w:cs="Arial" w:eastAsia="Arial" w:hAnsi="Arial"/>
                <w:sz w:val="18"/>
                <w:szCs w:val="18"/>
                <w:color w:val="auto"/>
                <w:w w:val="92"/>
              </w:rPr>
              <w:t>(Address of principal executive offices)</w:t>
            </w:r>
          </w:p>
        </w:tc>
        <w:tc>
          <w:tcPr>
            <w:tcW w:w="3140" w:type="dxa"/>
            <w:vAlign w:val="bottom"/>
          </w:tcPr>
          <w:p>
            <w:pPr>
              <w:jc w:val="center"/>
              <w:ind w:right="225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wp:posOffset>
            </wp:positionH>
            <wp:positionV relativeFrom="paragraph">
              <wp:posOffset>26035</wp:posOffset>
            </wp:positionV>
            <wp:extent cx="70548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79" w:lineRule="exact"/>
        <w:rPr>
          <w:sz w:val="24"/>
          <w:szCs w:val="24"/>
          <w:color w:val="auto"/>
        </w:rPr>
      </w:pPr>
    </w:p>
    <w:p>
      <w:pPr>
        <w:jc w:val="both"/>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8"/>
        </w:trPr>
        <w:tc>
          <w:tcPr>
            <w:tcW w:w="456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10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89"/>
              </w:rPr>
              <w:t>Ticker symbol(s)</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34"/>
        </w:trPr>
        <w:tc>
          <w:tcPr>
            <w:tcW w:w="3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43"/>
        </w:trPr>
        <w:tc>
          <w:tcPr>
            <w:tcW w:w="4560" w:type="dxa"/>
            <w:vAlign w:val="bottom"/>
            <w:gridSpan w:val="3"/>
            <w:shd w:val="clear" w:color="auto" w:fill="CCEEFF"/>
          </w:tcPr>
          <w:p>
            <w:pPr>
              <w:jc w:val="center"/>
              <w:ind w:right="98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3100" w:type="dxa"/>
            <w:vAlign w:val="bottom"/>
            <w:gridSpan w:val="2"/>
            <w:shd w:val="clear" w:color="auto" w:fill="CCEEFF"/>
          </w:tcPr>
          <w:p>
            <w:pPr>
              <w:jc w:val="center"/>
              <w:ind w:right="980"/>
              <w:spacing w:after="0"/>
              <w:rPr>
                <w:sz w:val="20"/>
                <w:szCs w:val="20"/>
                <w:color w:val="auto"/>
              </w:rPr>
            </w:pPr>
            <w:r>
              <w:rPr>
                <w:rFonts w:ascii="Arial" w:cs="Arial" w:eastAsia="Arial" w:hAnsi="Arial"/>
                <w:sz w:val="18"/>
                <w:szCs w:val="18"/>
                <w:b w:val="1"/>
                <w:bCs w:val="1"/>
                <w:color w:val="auto"/>
              </w:rPr>
              <w:t>AGFY</w:t>
            </w: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7"/>
        </w:trPr>
        <w:tc>
          <w:tcPr>
            <w:tcW w:w="35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r>
    </w:tbl>
    <w:p>
      <w:pPr>
        <w:spacing w:after="0" w:line="215" w:lineRule="exact"/>
        <w:rPr>
          <w:sz w:val="24"/>
          <w:szCs w:val="24"/>
          <w:color w:val="auto"/>
        </w:rPr>
      </w:pPr>
    </w:p>
    <w:p>
      <w:pPr>
        <w:jc w:val="both"/>
        <w:ind w:right="2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jc w:val="both"/>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Explanatory Note</w:t>
      </w:r>
    </w:p>
    <w:p>
      <w:pPr>
        <w:spacing w:after="0" w:line="154"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color w:val="auto"/>
        </w:rPr>
        <w:t>This Current Report on Form 8-K/A (this “Amendment”) amends the Current Report on Form 8-K (the “Original Form 8-K”) filed by Agrify Corporation (the “Company”) dated September 29, 2021 and filed with the Securities and Exchange Commission on October 4, 2021.</w:t>
      </w:r>
    </w:p>
    <w:p>
      <w:pPr>
        <w:spacing w:after="0" w:line="77"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This Amendment is solely for the purpose of (i) providing the financial statements and information required by Item 9.01(a) of Form 8-K and the pro forma financial information required by Item 9.01(b) of Form 8-K in connection with the Company’s previously reported acquisition of Mass2Media, LLC, d/b/a PX2 Holdings, LLC, d/b/a Precision Extraction Solutions, a Michigan limited liability company (“Precision”) and Cascade Sciences, LLC, a Delaware limited liability company (“Cascade”), and (ii) including Item 2.01, which was inadvertently submitted under Item 1.01 in the Original Form 8-K. The inclusion of Item 2.01 did not result in any disclosure from the Original Form 8-K changing.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Item 2.01. Completion of Acquisition or Disposition of Assets</w:t>
      </w:r>
    </w:p>
    <w:p>
      <w:pPr>
        <w:spacing w:after="0" w:line="168"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This Amendment No. 1 on Form 8-K/A amends and supplements the Original Form 8-K to include the historical audited and unaudited financial statements of both Precision and Cascade and the pro forma combined financial information required by Item 9.01 of Form 8-K that were not included in the Original Form 8-K in reliance on the instructions to such item. All disclosure under Item 1.01 in the Original Form</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8-K is hereby incorporated by reference into this Item 2.01. Except as set forth herein, no modifications have been made to information contained in the Original Form 8-K, and the Company has not updated any information contained therein to reflect events that have occurred since the date of the Original Form 8-K.</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81"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20"/>
          <w:szCs w:val="20"/>
          <w:color w:val="auto"/>
        </w:rPr>
        <w:t>Financial statements of business acquired.</w:t>
      </w:r>
    </w:p>
    <w:p>
      <w:pPr>
        <w:spacing w:after="0" w:line="175"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color w:val="auto"/>
        </w:rPr>
        <w:t>The audited financial statements of Precision and Cascade as of and for the year ended December 31, 2020 and 2019, with the accompanying notes, are attached hereto as Exhibit 99.1.</w:t>
      </w:r>
    </w:p>
    <w:p>
      <w:pPr>
        <w:spacing w:after="0" w:line="123" w:lineRule="exact"/>
        <w:rPr>
          <w:sz w:val="20"/>
          <w:szCs w:val="20"/>
          <w:color w:val="auto"/>
        </w:rPr>
      </w:pPr>
    </w:p>
    <w:p>
      <w:pPr>
        <w:ind w:right="1160"/>
        <w:spacing w:after="0" w:line="274" w:lineRule="auto"/>
        <w:rPr>
          <w:sz w:val="20"/>
          <w:szCs w:val="20"/>
          <w:color w:val="auto"/>
        </w:rPr>
      </w:pPr>
      <w:r>
        <w:rPr>
          <w:rFonts w:ascii="Arial" w:cs="Arial" w:eastAsia="Arial" w:hAnsi="Arial"/>
          <w:sz w:val="20"/>
          <w:szCs w:val="20"/>
          <w:color w:val="auto"/>
        </w:rPr>
        <w:t>The unaudited financial statements of Precision and Cascade as of and for the nine months ended September 30, 2021, with the accompanying notes, are attached hereto as Exhibit 99.2.</w:t>
      </w:r>
    </w:p>
    <w:p>
      <w:pPr>
        <w:spacing w:after="0" w:line="123"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0"/>
          <w:szCs w:val="20"/>
          <w:color w:val="auto"/>
        </w:rPr>
      </w:pPr>
      <w:r>
        <w:rPr>
          <w:rFonts w:ascii="Arial" w:cs="Arial" w:eastAsia="Arial" w:hAnsi="Arial"/>
          <w:sz w:val="20"/>
          <w:szCs w:val="20"/>
          <w:color w:val="auto"/>
        </w:rPr>
        <w:t>Pro forma financial information.</w:t>
      </w:r>
    </w:p>
    <w:p>
      <w:pPr>
        <w:spacing w:after="0" w:line="175" w:lineRule="exact"/>
        <w:rPr>
          <w:sz w:val="20"/>
          <w:szCs w:val="20"/>
          <w:color w:val="auto"/>
        </w:rPr>
      </w:pPr>
    </w:p>
    <w:p>
      <w:pPr>
        <w:ind w:right="80"/>
        <w:spacing w:after="0" w:line="332" w:lineRule="auto"/>
        <w:rPr>
          <w:sz w:val="20"/>
          <w:szCs w:val="20"/>
          <w:color w:val="auto"/>
        </w:rPr>
      </w:pPr>
      <w:r>
        <w:rPr>
          <w:rFonts w:ascii="Arial" w:cs="Arial" w:eastAsia="Arial" w:hAnsi="Arial"/>
          <w:sz w:val="18"/>
          <w:szCs w:val="18"/>
          <w:color w:val="auto"/>
        </w:rPr>
        <w:t>The unaudited pro forma condensed combined financial information of Precision and Cascade for the year ended December 31, 2020 and for the nine months ended September 30, 2021 and 2020, with the accompanying notes, are attached hereto as Exhibit 99.3.</w:t>
      </w:r>
    </w:p>
    <w:p>
      <w:pPr>
        <w:spacing w:after="0" w:line="75" w:lineRule="exact"/>
        <w:rPr>
          <w:sz w:val="20"/>
          <w:szCs w:val="20"/>
          <w:color w:val="auto"/>
        </w:rPr>
      </w:pPr>
    </w:p>
    <w:p>
      <w:pPr>
        <w:ind w:left="480" w:hanging="472"/>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6980" w:type="dxa"/>
            <w:vAlign w:val="bottom"/>
            <w:gridSpan w:val="5"/>
          </w:tcPr>
          <w:p>
            <w:pPr>
              <w:ind w:left="780"/>
              <w:spacing w:after="0"/>
              <w:rPr>
                <w:sz w:val="20"/>
                <w:szCs w:val="20"/>
                <w:color w:val="auto"/>
              </w:rPr>
            </w:pPr>
            <w:r>
              <w:rPr>
                <w:rFonts w:ascii="Arial" w:cs="Arial" w:eastAsia="Arial" w:hAnsi="Arial"/>
                <w:sz w:val="20"/>
                <w:szCs w:val="20"/>
                <w:b w:val="1"/>
                <w:bCs w:val="1"/>
                <w:color w:val="auto"/>
              </w:rPr>
              <w:t>Exhibit Index</w:t>
            </w:r>
          </w:p>
        </w:tc>
      </w:tr>
      <w:tr>
        <w:trPr>
          <w:trHeight w:val="401"/>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0"/>
        </w:trPr>
        <w:tc>
          <w:tcPr>
            <w:tcW w:w="1500" w:type="dxa"/>
            <w:vAlign w:val="bottom"/>
          </w:tcPr>
          <w:p>
            <w:pPr>
              <w:ind w:left="20"/>
              <w:spacing w:after="0"/>
              <w:rPr>
                <w:sz w:val="20"/>
                <w:szCs w:val="20"/>
                <w:color w:val="auto"/>
              </w:rPr>
            </w:pPr>
            <w:r>
              <w:rPr>
                <w:rFonts w:ascii="Arial" w:cs="Arial" w:eastAsia="Arial" w:hAnsi="Arial"/>
                <w:sz w:val="20"/>
                <w:szCs w:val="20"/>
                <w:color w:val="auto"/>
              </w:rPr>
              <w:t>23.1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tcBorders>
              <w:bottom w:val="single" w:sz="8" w:color="0000FF"/>
            </w:tcBorders>
          </w:tcPr>
          <w:p>
            <w:pPr>
              <w:spacing w:after="0"/>
              <w:rPr>
                <w:rFonts w:ascii="Arial" w:cs="Arial" w:eastAsia="Arial" w:hAnsi="Arial"/>
                <w:sz w:val="20"/>
                <w:szCs w:val="20"/>
                <w:color w:val="0000FF"/>
                <w:w w:val="89"/>
              </w:rPr>
            </w:pPr>
            <w:hyperlink w:anchor="page5">
              <w:r>
                <w:rPr>
                  <w:rFonts w:ascii="Arial" w:cs="Arial" w:eastAsia="Arial" w:hAnsi="Arial"/>
                  <w:sz w:val="20"/>
                  <w:szCs w:val="20"/>
                  <w:color w:val="0000FF"/>
                  <w:w w:val="89"/>
                </w:rPr>
                <w:t>Consent of Independent Auditors</w:t>
              </w:r>
            </w:hyperlink>
          </w:p>
        </w:tc>
        <w:tc>
          <w:tcPr>
            <w:tcW w:w="6980" w:type="dxa"/>
            <w:vAlign w:val="bottom"/>
            <w:gridSpan w:val="5"/>
          </w:tcPr>
          <w:p>
            <w:pPr>
              <w:spacing w:after="0"/>
              <w:rPr>
                <w:sz w:val="19"/>
                <w:szCs w:val="19"/>
                <w:color w:val="auto"/>
              </w:rPr>
            </w:pPr>
          </w:p>
        </w:tc>
      </w:tr>
      <w:tr>
        <w:trPr>
          <w:trHeight w:val="331"/>
        </w:trPr>
        <w:tc>
          <w:tcPr>
            <w:tcW w:w="1500" w:type="dxa"/>
            <w:vAlign w:val="bottom"/>
          </w:tcPr>
          <w:p>
            <w:pPr>
              <w:ind w:left="20"/>
              <w:spacing w:after="0"/>
              <w:rPr>
                <w:sz w:val="20"/>
                <w:szCs w:val="20"/>
                <w:color w:val="auto"/>
              </w:rPr>
            </w:pPr>
            <w:r>
              <w:rPr>
                <w:rFonts w:ascii="Arial" w:cs="Arial" w:eastAsia="Arial" w:hAnsi="Arial"/>
                <w:sz w:val="20"/>
                <w:szCs w:val="20"/>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6"/>
          </w:tcPr>
          <w:p>
            <w:pPr>
              <w:spacing w:after="0"/>
              <w:rPr>
                <w:rFonts w:ascii="Arial" w:cs="Arial" w:eastAsia="Arial" w:hAnsi="Arial"/>
                <w:sz w:val="20"/>
                <w:szCs w:val="20"/>
                <w:color w:val="0000FF"/>
                <w:w w:val="93"/>
              </w:rPr>
            </w:pPr>
            <w:hyperlink w:anchor="page7">
              <w:r>
                <w:rPr>
                  <w:rFonts w:ascii="Arial" w:cs="Arial" w:eastAsia="Arial" w:hAnsi="Arial"/>
                  <w:sz w:val="20"/>
                  <w:szCs w:val="20"/>
                  <w:color w:val="0000FF"/>
                  <w:w w:val="93"/>
                </w:rPr>
                <w:t>Audited financial statements of Precision and Cascade as of and for the years ended December 31, 2020 and 2019.</w:t>
              </w:r>
            </w:hyperlink>
          </w:p>
        </w:tc>
      </w:tr>
      <w:tr>
        <w:trPr>
          <w:trHeight w:val="331"/>
        </w:trPr>
        <w:tc>
          <w:tcPr>
            <w:tcW w:w="1500" w:type="dxa"/>
            <w:vAlign w:val="bottom"/>
          </w:tcPr>
          <w:p>
            <w:pPr>
              <w:ind w:left="20"/>
              <w:spacing w:after="0"/>
              <w:rPr>
                <w:sz w:val="20"/>
                <w:szCs w:val="20"/>
                <w:color w:val="auto"/>
              </w:rPr>
            </w:pPr>
            <w:r>
              <w:rPr>
                <w:rFonts w:ascii="Arial" w:cs="Arial" w:eastAsia="Arial" w:hAnsi="Arial"/>
                <w:sz w:val="20"/>
                <w:szCs w:val="20"/>
                <w:color w:val="auto"/>
              </w:rPr>
              <w:t>99.2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tcBorders>
              <w:top w:val="single" w:sz="8" w:color="0000FF"/>
            </w:tcBorders>
            <w:gridSpan w:val="5"/>
          </w:tcPr>
          <w:p>
            <w:pPr>
              <w:spacing w:after="0"/>
              <w:rPr>
                <w:rFonts w:ascii="Arial" w:cs="Arial" w:eastAsia="Arial" w:hAnsi="Arial"/>
                <w:sz w:val="20"/>
                <w:szCs w:val="20"/>
                <w:color w:val="0000FF"/>
              </w:rPr>
            </w:pPr>
            <w:hyperlink w:anchor="page42">
              <w:r>
                <w:rPr>
                  <w:rFonts w:ascii="Arial" w:cs="Arial" w:eastAsia="Arial" w:hAnsi="Arial"/>
                  <w:sz w:val="20"/>
                  <w:szCs w:val="20"/>
                  <w:color w:val="0000FF"/>
                </w:rPr>
                <w:t>Unaudited interim condensed consolidated financial statements of Cascade and Precision</w:t>
              </w:r>
            </w:hyperlink>
          </w:p>
        </w:tc>
        <w:tc>
          <w:tcPr>
            <w:tcW w:w="560" w:type="dxa"/>
            <w:vAlign w:val="bottom"/>
          </w:tcPr>
          <w:p>
            <w:pPr>
              <w:spacing w:after="0"/>
              <w:rPr>
                <w:sz w:val="24"/>
                <w:szCs w:val="24"/>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331"/>
        </w:trPr>
        <w:tc>
          <w:tcPr>
            <w:tcW w:w="1500" w:type="dxa"/>
            <w:vAlign w:val="bottom"/>
          </w:tcPr>
          <w:p>
            <w:pPr>
              <w:ind w:left="20"/>
              <w:spacing w:after="0"/>
              <w:rPr>
                <w:sz w:val="20"/>
                <w:szCs w:val="20"/>
                <w:color w:val="auto"/>
              </w:rPr>
            </w:pPr>
            <w:r>
              <w:rPr>
                <w:rFonts w:ascii="Arial" w:cs="Arial" w:eastAsia="Arial" w:hAnsi="Arial"/>
                <w:sz w:val="20"/>
                <w:szCs w:val="20"/>
                <w:color w:val="auto"/>
              </w:rPr>
              <w:t>99.3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6"/>
          </w:tcPr>
          <w:p>
            <w:pPr>
              <w:spacing w:after="0"/>
              <w:rPr>
                <w:rFonts w:ascii="Arial" w:cs="Arial" w:eastAsia="Arial" w:hAnsi="Arial"/>
                <w:sz w:val="20"/>
                <w:szCs w:val="20"/>
                <w:color w:val="0000FF"/>
                <w:w w:val="95"/>
              </w:rPr>
            </w:pPr>
            <w:hyperlink w:anchor="page63">
              <w:r>
                <w:rPr>
                  <w:rFonts w:ascii="Arial" w:cs="Arial" w:eastAsia="Arial" w:hAnsi="Arial"/>
                  <w:sz w:val="20"/>
                  <w:szCs w:val="20"/>
                  <w:color w:val="0000FF"/>
                  <w:w w:val="95"/>
                </w:rPr>
                <w:t>Unaudited pro forma condensed combined consolidated financial statements as of and for the nine months ended</w:t>
              </w:r>
            </w:hyperlink>
          </w:p>
        </w:tc>
      </w:tr>
      <w:tr>
        <w:trPr>
          <w:trHeight w:val="223"/>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60" w:type="dxa"/>
            <w:vAlign w:val="bottom"/>
            <w:tcBorders>
              <w:top w:val="single" w:sz="8" w:color="0000FF"/>
              <w:bottom w:val="single" w:sz="8" w:color="0000FF"/>
            </w:tcBorders>
            <w:gridSpan w:val="2"/>
          </w:tcPr>
          <w:p>
            <w:pPr>
              <w:spacing w:after="0" w:line="223" w:lineRule="exact"/>
              <w:rPr>
                <w:rFonts w:ascii="Arial" w:cs="Arial" w:eastAsia="Arial" w:hAnsi="Arial"/>
                <w:sz w:val="20"/>
                <w:szCs w:val="20"/>
                <w:color w:val="0000FF"/>
                <w:w w:val="87"/>
              </w:rPr>
            </w:pPr>
            <w:hyperlink w:anchor="page63">
              <w:r>
                <w:rPr>
                  <w:rFonts w:ascii="Arial" w:cs="Arial" w:eastAsia="Arial" w:hAnsi="Arial"/>
                  <w:sz w:val="20"/>
                  <w:szCs w:val="20"/>
                  <w:color w:val="0000FF"/>
                  <w:w w:val="87"/>
                </w:rPr>
                <w:t>September 30, 2021 and for the year ended December 31, 2020.</w:t>
              </w:r>
            </w:hyperlink>
          </w:p>
        </w:tc>
        <w:tc>
          <w:tcPr>
            <w:tcW w:w="3860" w:type="dxa"/>
            <w:vAlign w:val="bottom"/>
            <w:tcBorders>
              <w:top w:val="single" w:sz="8" w:color="0000FF"/>
            </w:tcBorders>
            <w:gridSpan w:val="2"/>
          </w:tcPr>
          <w:p>
            <w:pPr>
              <w:spacing w:after="0"/>
              <w:rPr>
                <w:sz w:val="19"/>
                <w:szCs w:val="19"/>
                <w:color w:val="auto"/>
              </w:rPr>
            </w:pPr>
          </w:p>
        </w:tc>
        <w:tc>
          <w:tcPr>
            <w:tcW w:w="700" w:type="dxa"/>
            <w:vAlign w:val="bottom"/>
            <w:gridSpan w:val="2"/>
          </w:tcPr>
          <w:p>
            <w:pPr>
              <w:spacing w:after="0"/>
              <w:rPr>
                <w:sz w:val="19"/>
                <w:szCs w:val="19"/>
                <w:color w:val="auto"/>
              </w:rPr>
            </w:pPr>
          </w:p>
        </w:tc>
      </w:tr>
      <w:tr>
        <w:trPr>
          <w:trHeight w:val="376"/>
        </w:trPr>
        <w:tc>
          <w:tcPr>
            <w:tcW w:w="1500" w:type="dxa"/>
            <w:vAlign w:val="bottom"/>
          </w:tcPr>
          <w:p>
            <w:pPr>
              <w:ind w:left="20"/>
              <w:spacing w:after="0"/>
              <w:rPr>
                <w:sz w:val="20"/>
                <w:szCs w:val="20"/>
                <w:color w:val="auto"/>
              </w:rPr>
            </w:pPr>
            <w:r>
              <w:rPr>
                <w:rFonts w:ascii="Arial" w:cs="Arial" w:eastAsia="Arial" w:hAnsi="Arial"/>
                <w:sz w:val="20"/>
                <w:szCs w:val="20"/>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Arial" w:cs="Arial" w:eastAsia="Arial" w:hAnsi="Arial"/>
                <w:sz w:val="20"/>
                <w:szCs w:val="20"/>
                <w:color w:val="auto"/>
              </w:rPr>
              <w:t>Cover Page Interactive Data File (embedded within the Inline XBRL document)</w:t>
            </w:r>
          </w:p>
        </w:tc>
      </w:tr>
      <w:tr>
        <w:trPr>
          <w:trHeight w:val="1690"/>
        </w:trPr>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SIGNATURES</w:t>
      </w:r>
    </w:p>
    <w:p>
      <w:pPr>
        <w:spacing w:after="0" w:line="18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260" w:type="dxa"/>
            <w:vAlign w:val="bottom"/>
          </w:tcPr>
          <w:p>
            <w:pPr>
              <w:spacing w:after="0"/>
              <w:rPr>
                <w:sz w:val="22"/>
                <w:szCs w:val="22"/>
                <w:color w:val="auto"/>
              </w:rPr>
            </w:pPr>
          </w:p>
        </w:tc>
        <w:tc>
          <w:tcPr>
            <w:tcW w:w="6960" w:type="dxa"/>
            <w:vAlign w:val="bottom"/>
            <w:gridSpan w:val="2"/>
          </w:tcPr>
          <w:p>
            <w:pPr>
              <w:ind w:left="2220"/>
              <w:spacing w:after="0"/>
              <w:rPr>
                <w:sz w:val="20"/>
                <w:szCs w:val="20"/>
                <w:color w:val="auto"/>
              </w:rPr>
            </w:pPr>
            <w:r>
              <w:rPr>
                <w:rFonts w:ascii="Arial" w:cs="Arial" w:eastAsia="Arial" w:hAnsi="Arial"/>
                <w:sz w:val="20"/>
                <w:szCs w:val="20"/>
                <w:b w:val="1"/>
                <w:bCs w:val="1"/>
                <w:color w:val="auto"/>
              </w:rPr>
              <w:t>AGRIFY CORPORATION</w:t>
            </w:r>
          </w:p>
        </w:tc>
        <w:tc>
          <w:tcPr>
            <w:tcW w:w="0" w:type="dxa"/>
            <w:vAlign w:val="bottom"/>
          </w:tcPr>
          <w:p>
            <w:pPr>
              <w:spacing w:after="0"/>
              <w:rPr>
                <w:sz w:val="1"/>
                <w:szCs w:val="1"/>
                <w:color w:val="auto"/>
              </w:rPr>
            </w:pPr>
          </w:p>
        </w:tc>
      </w:tr>
      <w:tr>
        <w:trPr>
          <w:trHeight w:val="553"/>
        </w:trPr>
        <w:tc>
          <w:tcPr>
            <w:tcW w:w="4260" w:type="dxa"/>
            <w:vAlign w:val="bottom"/>
          </w:tcPr>
          <w:p>
            <w:pPr>
              <w:spacing w:after="0"/>
              <w:rPr>
                <w:sz w:val="20"/>
                <w:szCs w:val="20"/>
                <w:color w:val="auto"/>
              </w:rPr>
            </w:pPr>
            <w:r>
              <w:rPr>
                <w:rFonts w:ascii="Arial" w:cs="Arial" w:eastAsia="Arial" w:hAnsi="Arial"/>
                <w:sz w:val="20"/>
                <w:szCs w:val="20"/>
                <w:color w:val="auto"/>
              </w:rPr>
              <w:t>Date: December 17, 2021</w:t>
            </w:r>
          </w:p>
        </w:tc>
        <w:tc>
          <w:tcPr>
            <w:tcW w:w="3160" w:type="dxa"/>
            <w:vAlign w:val="bottom"/>
          </w:tcPr>
          <w:p>
            <w:pPr>
              <w:ind w:left="2220"/>
              <w:spacing w:after="0"/>
              <w:rPr>
                <w:sz w:val="20"/>
                <w:szCs w:val="20"/>
                <w:color w:val="auto"/>
              </w:rPr>
            </w:pPr>
            <w:r>
              <w:rPr>
                <w:rFonts w:ascii="Arial" w:cs="Arial" w:eastAsia="Arial" w:hAnsi="Arial"/>
                <w:sz w:val="20"/>
                <w:szCs w:val="20"/>
                <w:color w:val="auto"/>
              </w:rPr>
              <w:t>By:</w:t>
            </w:r>
          </w:p>
        </w:tc>
        <w:tc>
          <w:tcPr>
            <w:tcW w:w="3800" w:type="dxa"/>
            <w:vAlign w:val="bottom"/>
          </w:tcPr>
          <w:p>
            <w:pPr>
              <w:ind w:left="20"/>
              <w:spacing w:after="0"/>
              <w:rPr>
                <w:sz w:val="20"/>
                <w:szCs w:val="20"/>
                <w:color w:val="auto"/>
              </w:rPr>
            </w:pPr>
            <w:r>
              <w:rPr>
                <w:rFonts w:ascii="Arial" w:cs="Arial" w:eastAsia="Arial" w:hAnsi="Arial"/>
                <w:sz w:val="20"/>
                <w:szCs w:val="20"/>
                <w:color w:val="auto"/>
              </w:rPr>
              <w:t>/s/ Timothy R. Oakes</w:t>
            </w:r>
          </w:p>
        </w:tc>
        <w:tc>
          <w:tcPr>
            <w:tcW w:w="0" w:type="dxa"/>
            <w:vAlign w:val="bottom"/>
          </w:tcPr>
          <w:p>
            <w:pPr>
              <w:spacing w:after="0"/>
              <w:rPr>
                <w:sz w:val="1"/>
                <w:szCs w:val="1"/>
                <w:color w:val="auto"/>
              </w:rPr>
            </w:pPr>
          </w:p>
        </w:tc>
      </w:tr>
      <w:tr>
        <w:trPr>
          <w:trHeight w:val="30"/>
        </w:trPr>
        <w:tc>
          <w:tcPr>
            <w:tcW w:w="4260" w:type="dxa"/>
            <w:vAlign w:val="bottom"/>
          </w:tcPr>
          <w:p>
            <w:pPr>
              <w:spacing w:after="0"/>
              <w:rPr>
                <w:sz w:val="2"/>
                <w:szCs w:val="2"/>
                <w:color w:val="auto"/>
              </w:rPr>
            </w:pPr>
          </w:p>
        </w:tc>
        <w:tc>
          <w:tcPr>
            <w:tcW w:w="3160" w:type="dxa"/>
            <w:vAlign w:val="bottom"/>
            <w:vMerge w:val="restart"/>
          </w:tcPr>
          <w:p>
            <w:pPr>
              <w:ind w:left="2220"/>
              <w:spacing w:after="0"/>
              <w:rPr>
                <w:sz w:val="20"/>
                <w:szCs w:val="20"/>
                <w:color w:val="auto"/>
              </w:rPr>
            </w:pPr>
            <w:r>
              <w:rPr>
                <w:rFonts w:ascii="Arial" w:cs="Arial" w:eastAsia="Arial" w:hAnsi="Arial"/>
                <w:sz w:val="20"/>
                <w:szCs w:val="20"/>
                <w:color w:val="auto"/>
              </w:rPr>
              <w:t>Name:</w:t>
            </w:r>
          </w:p>
        </w:tc>
        <w:tc>
          <w:tcPr>
            <w:tcW w:w="3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4260" w:type="dxa"/>
            <w:vAlign w:val="bottom"/>
          </w:tcPr>
          <w:p>
            <w:pPr>
              <w:spacing w:after="0"/>
              <w:rPr>
                <w:sz w:val="23"/>
                <w:szCs w:val="23"/>
                <w:color w:val="auto"/>
              </w:rPr>
            </w:pPr>
          </w:p>
        </w:tc>
        <w:tc>
          <w:tcPr>
            <w:tcW w:w="3160" w:type="dxa"/>
            <w:vAlign w:val="bottom"/>
            <w:vMerge w:val="continue"/>
          </w:tcPr>
          <w:p>
            <w:pPr>
              <w:spacing w:after="0"/>
              <w:rPr>
                <w:sz w:val="23"/>
                <w:szCs w:val="23"/>
                <w:color w:val="auto"/>
              </w:rPr>
            </w:pPr>
          </w:p>
        </w:tc>
        <w:tc>
          <w:tcPr>
            <w:tcW w:w="3800" w:type="dxa"/>
            <w:vAlign w:val="bottom"/>
          </w:tcPr>
          <w:p>
            <w:pPr>
              <w:ind w:left="20"/>
              <w:spacing w:after="0"/>
              <w:rPr>
                <w:sz w:val="20"/>
                <w:szCs w:val="20"/>
                <w:color w:val="auto"/>
              </w:rPr>
            </w:pPr>
            <w:r>
              <w:rPr>
                <w:rFonts w:ascii="Arial" w:cs="Arial" w:eastAsia="Arial" w:hAnsi="Arial"/>
                <w:sz w:val="20"/>
                <w:szCs w:val="20"/>
                <w:color w:val="auto"/>
              </w:rPr>
              <w:t>Timothy R. Oakes</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3160" w:type="dxa"/>
            <w:vAlign w:val="bottom"/>
          </w:tcPr>
          <w:p>
            <w:pPr>
              <w:ind w:left="2220"/>
              <w:spacing w:after="0"/>
              <w:rPr>
                <w:sz w:val="20"/>
                <w:szCs w:val="20"/>
                <w:color w:val="auto"/>
              </w:rPr>
            </w:pPr>
            <w:r>
              <w:rPr>
                <w:rFonts w:ascii="Arial" w:cs="Arial" w:eastAsia="Arial" w:hAnsi="Arial"/>
                <w:sz w:val="20"/>
                <w:szCs w:val="20"/>
                <w:color w:val="auto"/>
              </w:rPr>
              <w:t>Title:</w:t>
            </w:r>
          </w:p>
        </w:tc>
        <w:tc>
          <w:tcPr>
            <w:tcW w:w="3800" w:type="dxa"/>
            <w:vAlign w:val="bottom"/>
          </w:tcPr>
          <w:p>
            <w:pPr>
              <w:ind w:left="2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800" w:type="dxa"/>
            <w:vAlign w:val="bottom"/>
          </w:tcPr>
          <w:p>
            <w:pPr>
              <w:ind w:left="20"/>
              <w:spacing w:after="0"/>
              <w:rPr>
                <w:sz w:val="20"/>
                <w:szCs w:val="20"/>
                <w:color w:val="auto"/>
              </w:rPr>
            </w:pPr>
            <w:r>
              <w:rPr>
                <w:rFonts w:ascii="Arial" w:cs="Arial" w:eastAsia="Arial" w:hAnsi="Arial"/>
                <w:sz w:val="20"/>
                <w:szCs w:val="20"/>
                <w:color w:val="auto"/>
                <w:w w:val="98"/>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99"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771525</wp:posOffset>
            </wp:positionV>
            <wp:extent cx="1637030"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03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Baker Tilly US, LLP</w:t>
      </w:r>
    </w:p>
    <w:p>
      <w:pPr>
        <w:spacing w:after="0" w:line="28"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2000 Town Center, Ste 900</w:t>
      </w:r>
    </w:p>
    <w:p>
      <w:pPr>
        <w:spacing w:after="0" w:line="28"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Southfield, MI 48075-1142</w:t>
      </w:r>
    </w:p>
    <w:p>
      <w:pPr>
        <w:spacing w:after="0" w:line="298" w:lineRule="exact"/>
        <w:rPr>
          <w:sz w:val="20"/>
          <w:szCs w:val="20"/>
          <w:color w:val="auto"/>
        </w:rPr>
      </w:pPr>
    </w:p>
    <w:p>
      <w:pPr>
        <w:ind w:left="7820"/>
        <w:spacing w:after="0"/>
        <w:tabs>
          <w:tab w:leader="none" w:pos="8140" w:val="left"/>
        </w:tabs>
        <w:rPr>
          <w:sz w:val="20"/>
          <w:szCs w:val="20"/>
          <w:color w:val="auto"/>
        </w:rPr>
      </w:pPr>
      <w:r>
        <w:rPr>
          <w:rFonts w:ascii="Arial" w:cs="Arial" w:eastAsia="Arial" w:hAnsi="Arial"/>
          <w:sz w:val="14"/>
          <w:szCs w:val="14"/>
          <w:color w:val="auto"/>
        </w:rPr>
        <w:t>T:</w:t>
        <w:tab/>
        <w:t>+1 (248) 372 7300</w:t>
      </w:r>
    </w:p>
    <w:p>
      <w:pPr>
        <w:spacing w:after="0" w:line="28" w:lineRule="exact"/>
        <w:rPr>
          <w:sz w:val="20"/>
          <w:szCs w:val="20"/>
          <w:color w:val="auto"/>
        </w:rPr>
      </w:pPr>
    </w:p>
    <w:p>
      <w:pPr>
        <w:ind w:left="7820"/>
        <w:spacing w:after="0"/>
        <w:tabs>
          <w:tab w:leader="none" w:pos="8140" w:val="left"/>
        </w:tabs>
        <w:rPr>
          <w:sz w:val="20"/>
          <w:szCs w:val="20"/>
          <w:color w:val="auto"/>
        </w:rPr>
      </w:pPr>
      <w:r>
        <w:rPr>
          <w:rFonts w:ascii="Arial" w:cs="Arial" w:eastAsia="Arial" w:hAnsi="Arial"/>
          <w:sz w:val="14"/>
          <w:szCs w:val="14"/>
          <w:color w:val="auto"/>
        </w:rPr>
        <w:t>F:</w:t>
        <w:tab/>
        <w:t>+1 (248) 368 8950</w:t>
      </w:r>
    </w:p>
    <w:p>
      <w:pPr>
        <w:spacing w:after="0" w:line="298"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bakertilly.com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CONSENT OF INDEPENDENT AUDITOR</w:t>
      </w:r>
    </w:p>
    <w:p>
      <w:pPr>
        <w:spacing w:after="0" w:line="200" w:lineRule="exact"/>
        <w:rPr>
          <w:sz w:val="20"/>
          <w:szCs w:val="20"/>
          <w:color w:val="auto"/>
        </w:rPr>
      </w:pPr>
    </w:p>
    <w:p>
      <w:pPr>
        <w:spacing w:after="0" w:line="201" w:lineRule="exact"/>
        <w:rPr>
          <w:sz w:val="20"/>
          <w:szCs w:val="20"/>
          <w:color w:val="auto"/>
        </w:rPr>
      </w:pPr>
    </w:p>
    <w:p>
      <w:pPr>
        <w:ind w:left="140" w:right="720"/>
        <w:spacing w:after="0" w:line="227" w:lineRule="auto"/>
        <w:rPr>
          <w:sz w:val="20"/>
          <w:szCs w:val="20"/>
          <w:color w:val="auto"/>
        </w:rPr>
      </w:pPr>
      <w:r>
        <w:rPr>
          <w:rFonts w:ascii="Arial" w:cs="Arial" w:eastAsia="Arial" w:hAnsi="Arial"/>
          <w:sz w:val="18"/>
          <w:szCs w:val="18"/>
          <w:color w:val="auto"/>
        </w:rPr>
        <w:t>We hereby consent to the inclusion in this Form 8-K/A of our report dated December 8, 2021, relating to the financial statements of Cascade Sciences, LLC as of December 31, 2020.</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BAKER TILLY US, LLP</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Baker Tilly US, LLP</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Baker Tilly US, LLP, trading as Baker Tilly, is a member of the global network of Baker Tilly International Ltd., the members of which are separate and independent legal entities.</w:t>
      </w:r>
    </w:p>
    <w:p>
      <w:pPr>
        <w:sectPr>
          <w:pgSz w:w="11900" w:h="16838" w:orient="portrait"/>
          <w:cols w:equalWidth="0" w:num="1">
            <w:col w:w="11240"/>
          </w:cols>
          <w:pgMar w:left="320" w:top="121"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4759960</wp:posOffset>
            </wp:positionH>
            <wp:positionV relativeFrom="page">
              <wp:posOffset>980440</wp:posOffset>
            </wp:positionV>
            <wp:extent cx="1637030" cy="436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3703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Baker Tilly US, LLP</w:t>
      </w:r>
    </w:p>
    <w:p>
      <w:pPr>
        <w:spacing w:after="0" w:line="28"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2000 Town Center, Ste 900</w:t>
      </w:r>
    </w:p>
    <w:p>
      <w:pPr>
        <w:spacing w:after="0" w:line="28"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Southfield, MI 48075-1142</w:t>
      </w:r>
    </w:p>
    <w:p>
      <w:pPr>
        <w:spacing w:after="0" w:line="298" w:lineRule="exact"/>
        <w:rPr>
          <w:sz w:val="20"/>
          <w:szCs w:val="20"/>
          <w:color w:val="auto"/>
        </w:rPr>
      </w:pPr>
    </w:p>
    <w:p>
      <w:pPr>
        <w:ind w:left="7820"/>
        <w:spacing w:after="0"/>
        <w:tabs>
          <w:tab w:leader="none" w:pos="8140" w:val="left"/>
        </w:tabs>
        <w:rPr>
          <w:sz w:val="20"/>
          <w:szCs w:val="20"/>
          <w:color w:val="auto"/>
        </w:rPr>
      </w:pPr>
      <w:r>
        <w:rPr>
          <w:rFonts w:ascii="Arial" w:cs="Arial" w:eastAsia="Arial" w:hAnsi="Arial"/>
          <w:sz w:val="14"/>
          <w:szCs w:val="14"/>
          <w:color w:val="auto"/>
        </w:rPr>
        <w:t>T:</w:t>
        <w:tab/>
        <w:t>+1 (248) 372 7300</w:t>
      </w:r>
    </w:p>
    <w:p>
      <w:pPr>
        <w:spacing w:after="0" w:line="28" w:lineRule="exact"/>
        <w:rPr>
          <w:sz w:val="20"/>
          <w:szCs w:val="20"/>
          <w:color w:val="auto"/>
        </w:rPr>
      </w:pPr>
    </w:p>
    <w:p>
      <w:pPr>
        <w:ind w:left="7820"/>
        <w:spacing w:after="0"/>
        <w:tabs>
          <w:tab w:leader="none" w:pos="8140" w:val="left"/>
        </w:tabs>
        <w:rPr>
          <w:sz w:val="20"/>
          <w:szCs w:val="20"/>
          <w:color w:val="auto"/>
        </w:rPr>
      </w:pPr>
      <w:r>
        <w:rPr>
          <w:rFonts w:ascii="Arial" w:cs="Arial" w:eastAsia="Arial" w:hAnsi="Arial"/>
          <w:sz w:val="14"/>
          <w:szCs w:val="14"/>
          <w:color w:val="auto"/>
        </w:rPr>
        <w:t>F:</w:t>
        <w:tab/>
        <w:t>+1 (248) 368 8950</w:t>
      </w:r>
    </w:p>
    <w:p>
      <w:pPr>
        <w:spacing w:after="0" w:line="298"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bakertilly.com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AUDITOR</w:t>
      </w:r>
    </w:p>
    <w:p>
      <w:pPr>
        <w:spacing w:after="0" w:line="200" w:lineRule="exact"/>
        <w:rPr>
          <w:sz w:val="20"/>
          <w:szCs w:val="20"/>
          <w:color w:val="auto"/>
        </w:rPr>
      </w:pPr>
    </w:p>
    <w:p>
      <w:pPr>
        <w:spacing w:after="0" w:line="201" w:lineRule="exact"/>
        <w:rPr>
          <w:sz w:val="20"/>
          <w:szCs w:val="20"/>
          <w:color w:val="auto"/>
        </w:rPr>
      </w:pPr>
    </w:p>
    <w:p>
      <w:pPr>
        <w:ind w:right="860"/>
        <w:spacing w:after="0" w:line="227" w:lineRule="auto"/>
        <w:rPr>
          <w:sz w:val="20"/>
          <w:szCs w:val="20"/>
          <w:color w:val="auto"/>
        </w:rPr>
      </w:pPr>
      <w:r>
        <w:rPr>
          <w:rFonts w:ascii="Arial" w:cs="Arial" w:eastAsia="Arial" w:hAnsi="Arial"/>
          <w:sz w:val="18"/>
          <w:szCs w:val="18"/>
          <w:color w:val="auto"/>
        </w:rPr>
        <w:t>We hereby consent to the inclusion in this Form 8-K/A of our report dated December 8, 2021, relating to the consolidated financial statements of Mass2Media, LLC dba PX2 Holdings, LLC and Affiliate as of December 31, 2020.</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BAKER TILLY US,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Baker Tilly US, LLP</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Baker Tilly US, LLP, trading as Baker Tilly, is a member of the global network of Baker Tilly International Ltd., the members of which are separate and independent legal entities.</w:t>
      </w:r>
    </w:p>
    <w:p>
      <w:pPr>
        <w:sectPr>
          <w:pgSz w:w="11900" w:h="16838" w:orient="portrait"/>
          <w:cols w:equalWidth="0" w:num="1">
            <w:col w:w="11180"/>
          </w:cols>
          <w:pgMar w:left="320" w:top="1440" w:right="3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203835</wp:posOffset>
            </wp:positionV>
            <wp:extent cx="7101840" cy="3081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1840" cy="308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20"/>
        <w:spacing w:after="0"/>
        <w:rPr>
          <w:sz w:val="20"/>
          <w:szCs w:val="20"/>
          <w:color w:val="auto"/>
        </w:rPr>
      </w:pPr>
      <w:r>
        <w:rPr>
          <w:rFonts w:ascii="Arial" w:cs="Arial" w:eastAsia="Arial" w:hAnsi="Arial"/>
          <w:sz w:val="35"/>
          <w:szCs w:val="35"/>
          <w:b w:val="1"/>
          <w:bCs w:val="1"/>
          <w:color w:val="auto"/>
        </w:rPr>
        <w:t>Cascade Sciences, LLC</w:t>
      </w:r>
    </w:p>
    <w:p>
      <w:pPr>
        <w:spacing w:after="0" w:line="227" w:lineRule="exact"/>
        <w:rPr>
          <w:sz w:val="20"/>
          <w:szCs w:val="20"/>
          <w:color w:val="auto"/>
        </w:rPr>
      </w:pPr>
    </w:p>
    <w:p>
      <w:pPr>
        <w:jc w:val="center"/>
        <w:ind w:right="1120"/>
        <w:spacing w:after="0"/>
        <w:rPr>
          <w:sz w:val="20"/>
          <w:szCs w:val="20"/>
          <w:color w:val="auto"/>
        </w:rPr>
      </w:pPr>
      <w:r>
        <w:rPr>
          <w:rFonts w:ascii="Arial" w:cs="Arial" w:eastAsia="Arial" w:hAnsi="Arial"/>
          <w:sz w:val="25"/>
          <w:szCs w:val="25"/>
          <w:color w:val="auto"/>
        </w:rPr>
        <w:t>Financial Statements</w:t>
      </w:r>
    </w:p>
    <w:p>
      <w:pPr>
        <w:spacing w:after="0" w:line="172" w:lineRule="exact"/>
        <w:rPr>
          <w:sz w:val="20"/>
          <w:szCs w:val="20"/>
          <w:color w:val="auto"/>
        </w:rPr>
      </w:pPr>
    </w:p>
    <w:p>
      <w:pPr>
        <w:jc w:val="center"/>
        <w:ind w:right="1120"/>
        <w:spacing w:after="0"/>
        <w:rPr>
          <w:sz w:val="20"/>
          <w:szCs w:val="20"/>
          <w:color w:val="auto"/>
        </w:rPr>
      </w:pPr>
      <w:r>
        <w:rPr>
          <w:rFonts w:ascii="Arial" w:cs="Arial" w:eastAsia="Arial" w:hAnsi="Arial"/>
          <w:sz w:val="25"/>
          <w:szCs w:val="25"/>
          <w:color w:val="auto"/>
        </w:rPr>
        <w:t>December 31, 2020 and 2019</w:t>
      </w:r>
    </w:p>
    <w:p>
      <w:pPr>
        <w:sectPr>
          <w:pgSz w:w="11900" w:h="16838" w:orient="portrait"/>
          <w:cols w:equalWidth="0" w:num="1">
            <w:col w:w="10120"/>
          </w:cols>
          <w:pgMar w:left="1440" w:top="121"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Cascade Sciences,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5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25"/>
        </w:trPr>
        <w:tc>
          <w:tcPr>
            <w:tcW w:w="10520" w:type="dxa"/>
            <w:vAlign w:val="bottom"/>
          </w:tcPr>
          <w:p>
            <w:pPr>
              <w:spacing w:after="0"/>
              <w:rPr>
                <w:rFonts w:ascii="Arial" w:cs="Arial" w:eastAsia="Arial" w:hAnsi="Arial"/>
                <w:sz w:val="18"/>
                <w:szCs w:val="18"/>
                <w:b w:val="1"/>
                <w:bCs w:val="1"/>
                <w:color w:val="auto"/>
              </w:rPr>
            </w:pPr>
            <w:hyperlink w:anchor="page8">
              <w:r>
                <w:rPr>
                  <w:rFonts w:ascii="Arial" w:cs="Arial" w:eastAsia="Arial" w:hAnsi="Arial"/>
                  <w:sz w:val="18"/>
                  <w:szCs w:val="18"/>
                  <w:b w:val="1"/>
                  <w:bCs w:val="1"/>
                  <w:color w:val="auto"/>
                </w:rPr>
                <w:t>Independent Auditors' Report</w:t>
              </w:r>
            </w:hyperlink>
          </w:p>
        </w:tc>
        <w:tc>
          <w:tcPr>
            <w:tcW w:w="700" w:type="dxa"/>
            <w:vAlign w:val="bottom"/>
          </w:tcPr>
          <w:p>
            <w:pPr>
              <w:jc w:val="center"/>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1</w:t>
              </w:r>
            </w:hyperlink>
          </w:p>
        </w:tc>
      </w:tr>
      <w:tr>
        <w:trPr>
          <w:trHeight w:val="234"/>
        </w:trPr>
        <w:tc>
          <w:tcPr>
            <w:tcW w:w="105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700" w:type="dxa"/>
            <w:vAlign w:val="bottom"/>
          </w:tcPr>
          <w:p>
            <w:pPr>
              <w:spacing w:after="0"/>
              <w:rPr>
                <w:sz w:val="20"/>
                <w:szCs w:val="20"/>
                <w:color w:val="auto"/>
              </w:rPr>
            </w:pPr>
          </w:p>
        </w:tc>
      </w:tr>
      <w:tr>
        <w:trPr>
          <w:trHeight w:val="229"/>
        </w:trPr>
        <w:tc>
          <w:tcPr>
            <w:tcW w:w="10520" w:type="dxa"/>
            <w:vAlign w:val="bottom"/>
          </w:tcPr>
          <w:p>
            <w:pPr>
              <w:ind w:left="160"/>
              <w:spacing w:after="0"/>
              <w:rPr>
                <w:rFonts w:ascii="Arial" w:cs="Arial" w:eastAsia="Arial" w:hAnsi="Arial"/>
                <w:sz w:val="18"/>
                <w:szCs w:val="18"/>
                <w:color w:val="auto"/>
              </w:rPr>
            </w:pPr>
            <w:hyperlink w:anchor="page10">
              <w:r>
                <w:rPr>
                  <w:rFonts w:ascii="Arial" w:cs="Arial" w:eastAsia="Arial" w:hAnsi="Arial"/>
                  <w:sz w:val="18"/>
                  <w:szCs w:val="18"/>
                  <w:color w:val="auto"/>
                </w:rPr>
                <w:t>Balance Sheets</w:t>
              </w:r>
            </w:hyperlink>
          </w:p>
        </w:tc>
        <w:tc>
          <w:tcPr>
            <w:tcW w:w="700" w:type="dxa"/>
            <w:vAlign w:val="bottom"/>
          </w:tcPr>
          <w:p>
            <w:pPr>
              <w:jc w:val="center"/>
              <w:spacing w:after="0"/>
              <w:rPr>
                <w:rFonts w:ascii="Arial" w:cs="Arial" w:eastAsia="Arial" w:hAnsi="Arial"/>
                <w:sz w:val="18"/>
                <w:szCs w:val="18"/>
                <w:color w:val="auto"/>
                <w:w w:val="99"/>
              </w:rPr>
            </w:pPr>
            <w:hyperlink w:anchor="page10">
              <w:r>
                <w:rPr>
                  <w:rFonts w:ascii="Arial" w:cs="Arial" w:eastAsia="Arial" w:hAnsi="Arial"/>
                  <w:sz w:val="18"/>
                  <w:szCs w:val="18"/>
                  <w:color w:val="auto"/>
                  <w:w w:val="99"/>
                </w:rPr>
                <w:t>3</w:t>
              </w:r>
            </w:hyperlink>
          </w:p>
        </w:tc>
      </w:tr>
      <w:tr>
        <w:trPr>
          <w:trHeight w:val="230"/>
        </w:trPr>
        <w:tc>
          <w:tcPr>
            <w:tcW w:w="10520" w:type="dxa"/>
            <w:vAlign w:val="bottom"/>
          </w:tcPr>
          <w:p>
            <w:pPr>
              <w:ind w:left="160"/>
              <w:spacing w:after="0"/>
              <w:rPr>
                <w:rFonts w:ascii="Arial" w:cs="Arial" w:eastAsia="Arial" w:hAnsi="Arial"/>
                <w:sz w:val="18"/>
                <w:szCs w:val="18"/>
                <w:color w:val="auto"/>
              </w:rPr>
            </w:pPr>
            <w:hyperlink w:anchor="page11">
              <w:r>
                <w:rPr>
                  <w:rFonts w:ascii="Arial" w:cs="Arial" w:eastAsia="Arial" w:hAnsi="Arial"/>
                  <w:sz w:val="18"/>
                  <w:szCs w:val="18"/>
                  <w:color w:val="auto"/>
                </w:rPr>
                <w:t>Statements of Income</w:t>
              </w:r>
            </w:hyperlink>
          </w:p>
        </w:tc>
        <w:tc>
          <w:tcPr>
            <w:tcW w:w="700" w:type="dxa"/>
            <w:vAlign w:val="bottom"/>
          </w:tcPr>
          <w:p>
            <w:pPr>
              <w:jc w:val="center"/>
              <w:spacing w:after="0"/>
              <w:rPr>
                <w:rFonts w:ascii="Arial" w:cs="Arial" w:eastAsia="Arial" w:hAnsi="Arial"/>
                <w:sz w:val="18"/>
                <w:szCs w:val="18"/>
                <w:color w:val="auto"/>
                <w:w w:val="99"/>
              </w:rPr>
            </w:pPr>
            <w:hyperlink w:anchor="page11">
              <w:r>
                <w:rPr>
                  <w:rFonts w:ascii="Arial" w:cs="Arial" w:eastAsia="Arial" w:hAnsi="Arial"/>
                  <w:sz w:val="18"/>
                  <w:szCs w:val="18"/>
                  <w:color w:val="auto"/>
                  <w:w w:val="99"/>
                </w:rPr>
                <w:t>4</w:t>
              </w:r>
            </w:hyperlink>
          </w:p>
        </w:tc>
      </w:tr>
      <w:tr>
        <w:trPr>
          <w:trHeight w:val="229"/>
        </w:trPr>
        <w:tc>
          <w:tcPr>
            <w:tcW w:w="10520" w:type="dxa"/>
            <w:vAlign w:val="bottom"/>
          </w:tcPr>
          <w:p>
            <w:pPr>
              <w:ind w:left="160"/>
              <w:spacing w:after="0"/>
              <w:rPr>
                <w:rFonts w:ascii="Arial" w:cs="Arial" w:eastAsia="Arial" w:hAnsi="Arial"/>
                <w:sz w:val="18"/>
                <w:szCs w:val="18"/>
                <w:color w:val="auto"/>
              </w:rPr>
            </w:pPr>
            <w:hyperlink w:anchor="page12">
              <w:r>
                <w:rPr>
                  <w:rFonts w:ascii="Arial" w:cs="Arial" w:eastAsia="Arial" w:hAnsi="Arial"/>
                  <w:sz w:val="18"/>
                  <w:szCs w:val="18"/>
                  <w:color w:val="auto"/>
                </w:rPr>
                <w:t>Statements of Members' Equity</w:t>
              </w:r>
            </w:hyperlink>
          </w:p>
        </w:tc>
        <w:tc>
          <w:tcPr>
            <w:tcW w:w="700" w:type="dxa"/>
            <w:vAlign w:val="bottom"/>
          </w:tcPr>
          <w:p>
            <w:pPr>
              <w:jc w:val="center"/>
              <w:spacing w:after="0"/>
              <w:rPr>
                <w:rFonts w:ascii="Arial" w:cs="Arial" w:eastAsia="Arial" w:hAnsi="Arial"/>
                <w:sz w:val="18"/>
                <w:szCs w:val="18"/>
                <w:color w:val="auto"/>
                <w:w w:val="99"/>
              </w:rPr>
            </w:pPr>
            <w:hyperlink w:anchor="page12">
              <w:r>
                <w:rPr>
                  <w:rFonts w:ascii="Arial" w:cs="Arial" w:eastAsia="Arial" w:hAnsi="Arial"/>
                  <w:sz w:val="18"/>
                  <w:szCs w:val="18"/>
                  <w:color w:val="auto"/>
                  <w:w w:val="99"/>
                </w:rPr>
                <w:t>5</w:t>
              </w:r>
            </w:hyperlink>
          </w:p>
        </w:tc>
      </w:tr>
      <w:tr>
        <w:trPr>
          <w:trHeight w:val="229"/>
        </w:trPr>
        <w:tc>
          <w:tcPr>
            <w:tcW w:w="10520" w:type="dxa"/>
            <w:vAlign w:val="bottom"/>
          </w:tcPr>
          <w:p>
            <w:pPr>
              <w:ind w:left="160"/>
              <w:spacing w:after="0"/>
              <w:rPr>
                <w:rFonts w:ascii="Arial" w:cs="Arial" w:eastAsia="Arial" w:hAnsi="Arial"/>
                <w:sz w:val="18"/>
                <w:szCs w:val="18"/>
                <w:color w:val="auto"/>
              </w:rPr>
            </w:pPr>
            <w:hyperlink w:anchor="page13">
              <w:r>
                <w:rPr>
                  <w:rFonts w:ascii="Arial" w:cs="Arial" w:eastAsia="Arial" w:hAnsi="Arial"/>
                  <w:sz w:val="18"/>
                  <w:szCs w:val="18"/>
                  <w:color w:val="auto"/>
                </w:rPr>
                <w:t>Statements of Cash Flows</w:t>
              </w:r>
            </w:hyperlink>
          </w:p>
        </w:tc>
        <w:tc>
          <w:tcPr>
            <w:tcW w:w="700" w:type="dxa"/>
            <w:vAlign w:val="bottom"/>
          </w:tcPr>
          <w:p>
            <w:pPr>
              <w:jc w:val="center"/>
              <w:spacing w:after="0"/>
              <w:rPr>
                <w:rFonts w:ascii="Arial" w:cs="Arial" w:eastAsia="Arial" w:hAnsi="Arial"/>
                <w:sz w:val="18"/>
                <w:szCs w:val="18"/>
                <w:color w:val="auto"/>
                <w:w w:val="99"/>
              </w:rPr>
            </w:pPr>
            <w:hyperlink w:anchor="page13">
              <w:r>
                <w:rPr>
                  <w:rFonts w:ascii="Arial" w:cs="Arial" w:eastAsia="Arial" w:hAnsi="Arial"/>
                  <w:sz w:val="18"/>
                  <w:szCs w:val="18"/>
                  <w:color w:val="auto"/>
                  <w:w w:val="99"/>
                </w:rPr>
                <w:t>6</w:t>
              </w:r>
            </w:hyperlink>
          </w:p>
        </w:tc>
      </w:tr>
      <w:tr>
        <w:trPr>
          <w:trHeight w:val="230"/>
        </w:trPr>
        <w:tc>
          <w:tcPr>
            <w:tcW w:w="10520" w:type="dxa"/>
            <w:vAlign w:val="bottom"/>
          </w:tcPr>
          <w:p>
            <w:pPr>
              <w:ind w:left="160"/>
              <w:spacing w:after="0"/>
              <w:rPr>
                <w:rFonts w:ascii="Arial" w:cs="Arial" w:eastAsia="Arial" w:hAnsi="Arial"/>
                <w:sz w:val="18"/>
                <w:szCs w:val="18"/>
                <w:color w:val="auto"/>
              </w:rPr>
            </w:pPr>
            <w:hyperlink w:anchor="page14">
              <w:r>
                <w:rPr>
                  <w:rFonts w:ascii="Arial" w:cs="Arial" w:eastAsia="Arial" w:hAnsi="Arial"/>
                  <w:sz w:val="18"/>
                  <w:szCs w:val="18"/>
                  <w:color w:val="auto"/>
                </w:rPr>
                <w:t>Notes to Financial Statements</w:t>
              </w:r>
            </w:hyperlink>
          </w:p>
        </w:tc>
        <w:tc>
          <w:tcPr>
            <w:tcW w:w="700" w:type="dxa"/>
            <w:vAlign w:val="bottom"/>
          </w:tcPr>
          <w:p>
            <w:pPr>
              <w:jc w:val="center"/>
              <w:spacing w:after="0"/>
              <w:rPr>
                <w:rFonts w:ascii="Arial" w:cs="Arial" w:eastAsia="Arial" w:hAnsi="Arial"/>
                <w:sz w:val="18"/>
                <w:szCs w:val="18"/>
                <w:color w:val="auto"/>
                <w:w w:val="99"/>
              </w:rPr>
            </w:pPr>
            <w:hyperlink w:anchor="page14">
              <w:r>
                <w:rPr>
                  <w:rFonts w:ascii="Arial" w:cs="Arial" w:eastAsia="Arial" w:hAnsi="Arial"/>
                  <w:sz w:val="18"/>
                  <w:szCs w:val="18"/>
                  <w:color w:val="auto"/>
                  <w:w w:val="99"/>
                </w:rPr>
                <w:t>7</w:t>
              </w:r>
            </w:hyperlink>
          </w:p>
        </w:tc>
      </w:tr>
    </w:tbl>
    <w:p>
      <w:pPr>
        <w:sectPr>
          <w:pgSz w:w="11900" w:h="16838" w:orient="portrait"/>
          <w:cols w:equalWidth="0" w:num="1">
            <w:col w:w="11220"/>
          </w:cols>
          <w:pgMar w:left="340" w:top="175" w:right="339" w:bottom="1440" w:gutter="0" w:footer="0" w:header="0"/>
        </w:sectPr>
      </w:pPr>
    </w:p>
    <w:bookmarkStart w:id="8" w:name="page9"/>
    <w:bookmarkEnd w:id="8"/>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5600065</wp:posOffset>
            </wp:positionH>
            <wp:positionV relativeFrom="page">
              <wp:posOffset>88900</wp:posOffset>
            </wp:positionV>
            <wp:extent cx="173990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39900" cy="49720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Independent Auditors'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and Board of Managers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Cascade Sciences, LLC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17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audited the financial statements of Cascade Sciences, LLC (the Company), which comprise the balance sheets as of December 31, 2020 and 2019, and the related statements of income, members' equity and cash flows for the years then ended, and the related notes to the financial statements.</w:t>
      </w:r>
    </w:p>
    <w:p>
      <w:pPr>
        <w:spacing w:after="0" w:line="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our opinion, the accompanying financial statements present fairly, in all material respects, the financial position of the Company as of December 31, 2020 and 2019 and the results of its operations and its cash flows for the years then ended in accordance with accounting principles generally accepted in the United States of America (GAAP).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discussed in Note 9 to the financial statements, on October 1, 2021, in exchange for certain consideration, the Company was acquired by an acquiring company. Our opinion is not modified with respect to this matter.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of Management for the Financial Statements</w:t>
      </w:r>
    </w:p>
    <w:p>
      <w:pPr>
        <w:spacing w:after="0" w:line="17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Management is responsible for the preparation and fair presentation of the financial statements in accordance with GAAP, and for the design, implementation and maintenance of internal control relevant to the preparation and fair presentation of financial statements that are free from material misstatement, whether due to fraud or error.</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spacing w:after="0" w:line="200" w:lineRule="exact"/>
        <w:rPr>
          <w:sz w:val="20"/>
          <w:szCs w:val="20"/>
          <w:color w:val="auto"/>
        </w:rPr>
      </w:pPr>
    </w:p>
    <w:p>
      <w:pPr>
        <w:spacing w:after="0" w:line="375" w:lineRule="exact"/>
        <w:rPr>
          <w:sz w:val="20"/>
          <w:szCs w:val="20"/>
          <w:color w:val="auto"/>
        </w:rPr>
      </w:pPr>
    </w:p>
    <w:p>
      <w:pPr>
        <w:ind w:right="240"/>
        <w:spacing w:after="0" w:line="211" w:lineRule="auto"/>
        <w:rPr>
          <w:sz w:val="20"/>
          <w:szCs w:val="20"/>
          <w:color w:val="auto"/>
        </w:rPr>
      </w:pPr>
      <w:r>
        <w:rPr>
          <w:rFonts w:ascii="Arial" w:cs="Arial" w:eastAsia="Arial" w:hAnsi="Arial"/>
          <w:sz w:val="18"/>
          <w:szCs w:val="18"/>
          <w:color w:val="auto"/>
        </w:rPr>
        <w:t>Baker Tilly US, LLP, trading as Baker Tilly, is a member of the global network of Baker Tilly International Ltd., the members of which are separate and independent legal entities.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1440" w:right="379" w:bottom="1440" w:gutter="0" w:footer="0" w:header="0"/>
        </w:sectPr>
      </w:pPr>
    </w:p>
    <w:bookmarkStart w:id="9" w:name="page10"/>
    <w:bookmarkEnd w:id="9"/>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5600065</wp:posOffset>
            </wp:positionH>
            <wp:positionV relativeFrom="page">
              <wp:posOffset>88900</wp:posOffset>
            </wp:positionV>
            <wp:extent cx="1739900"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39900" cy="4972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Auditors' Responsibilities for the Audit of the Financial Statements</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In performing an audit in accordance with GAAS, we:</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Exercise professional judgment and maintain professional skepticism throughout the audit.</w:t>
      </w:r>
    </w:p>
    <w:p>
      <w:pPr>
        <w:spacing w:after="0" w:line="171"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29" w:lineRule="exact"/>
        <w:rPr>
          <w:rFonts w:ascii="Arial" w:cs="Arial" w:eastAsia="Arial" w:hAnsi="Arial"/>
          <w:sz w:val="18"/>
          <w:szCs w:val="18"/>
          <w:color w:val="auto"/>
        </w:rPr>
      </w:pPr>
    </w:p>
    <w:p>
      <w:pPr>
        <w:ind w:left="660" w:right="140" w:hanging="328"/>
        <w:spacing w:after="0" w:line="34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69"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Baker Tilly US, LLP</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440" w:right="379" w:bottom="1440" w:gutter="0" w:footer="0" w:header="0"/>
        </w:sectPr>
      </w:pPr>
    </w:p>
    <w:bookmarkStart w:id="10" w:name="page11"/>
    <w:bookmarkEnd w:id="10"/>
    <w:p>
      <w:pPr>
        <w:ind w:left="20"/>
        <w:spacing w:after="0"/>
        <w:rPr>
          <w:sz w:val="20"/>
          <w:szCs w:val="20"/>
          <w:color w:val="auto"/>
        </w:rPr>
      </w:pPr>
      <w:r>
        <w:rPr>
          <w:rFonts w:ascii="Arial" w:cs="Arial" w:eastAsia="Arial" w:hAnsi="Arial"/>
          <w:sz w:val="22"/>
          <w:szCs w:val="22"/>
          <w:b w:val="1"/>
          <w:bCs w:val="1"/>
          <w:color w:val="auto"/>
        </w:rPr>
        <w:t>Cascade Sciences,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 of allowance for doubtful accounts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receivables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Capitalized Website Costs, Net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Lease Right-of-Use Assets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Members' Equity</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Current portion of lease liabilities</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trade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 related parties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Deferred revenue</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liabilities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Members' Equity</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liabilities and members' equity</w:t>
            </w:r>
          </w:p>
        </w:tc>
        <w:tc>
          <w:tcPr>
            <w:tcW w:w="1000" w:type="dxa"/>
            <w:vAlign w:val="bottom"/>
            <w:tcBorders>
              <w:bottom w:val="single" w:sz="8" w:color="auto"/>
            </w:tcBorders>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80"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2"/>
          <w:szCs w:val="22"/>
          <w:b w:val="1"/>
          <w:bCs w:val="1"/>
          <w:color w:val="auto"/>
        </w:rPr>
        <w:t>Cascade Sciences,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14,650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Goods Sold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10,296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17,455</w:t>
            </w: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 expenses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r>
      <w:tr>
        <w:trPr>
          <w:trHeight w:val="229"/>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Operating income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Gain on debt extinguishment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 (expense), net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80"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2"/>
          <w:szCs w:val="22"/>
          <w:b w:val="1"/>
          <w:bCs w:val="1"/>
          <w:color w:val="auto"/>
        </w:rPr>
        <w:t>Cascade Sciences,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Statements of Members'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Contributed Capital</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Contributed Capital</w:t>
            </w:r>
          </w:p>
        </w:tc>
        <w:tc>
          <w:tcPr>
            <w:tcW w:w="12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60" w:type="dxa"/>
            <w:vAlign w:val="bottom"/>
          </w:tcPr>
          <w:p>
            <w:pPr>
              <w:spacing w:after="0"/>
              <w:rPr>
                <w:sz w:val="14"/>
                <w:szCs w:val="14"/>
                <w:color w:val="auto"/>
              </w:rPr>
            </w:pPr>
          </w:p>
        </w:tc>
        <w:tc>
          <w:tcPr>
            <w:tcW w:w="128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Total Members'</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(Preferred)</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(Common)</w:t>
            </w: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43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January 1, 2019</w:t>
            </w: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2019 net income</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Balances, December 31, 2019</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2020 net income</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Distributions</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December 31, 2020</w:t>
            </w: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80"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auto"/>
        </w:rPr>
        <w:t>Cascade Sciences,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3,993</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Adjustments to reconcile net income to net cash flows from operating activities: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 in allowance for doubtful accounts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Gain on debt extinguishment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Changes in assets and 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(1,138)</w:t>
            </w:r>
          </w:p>
        </w:tc>
      </w:tr>
      <w:tr>
        <w:trPr>
          <w:trHeight w:val="230"/>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Inventory</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r>
      <w:tr>
        <w:trPr>
          <w:trHeight w:val="229"/>
        </w:trPr>
        <w:tc>
          <w:tcPr>
            <w:tcW w:w="8020" w:type="dxa"/>
            <w:vAlign w:val="bottom"/>
          </w:tcPr>
          <w:p>
            <w:pPr>
              <w:ind w:left="460"/>
              <w:spacing w:after="0"/>
              <w:rPr>
                <w:sz w:val="20"/>
                <w:szCs w:val="20"/>
                <w:color w:val="auto"/>
              </w:rPr>
            </w:pPr>
            <w:r>
              <w:rPr>
                <w:rFonts w:ascii="Arial" w:cs="Arial" w:eastAsia="Arial" w:hAnsi="Arial"/>
                <w:sz w:val="18"/>
                <w:szCs w:val="18"/>
                <w:color w:val="auto"/>
              </w:rPr>
              <w:t>Prepaid expenses and other receivables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trade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Accounts payable - related parties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Lease liability (net)</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flows from operating activities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Capital expenditures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Proceeds from long-term debt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Distributions to stockholders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r>
      <w:tr>
        <w:trPr>
          <w:trHeight w:val="223"/>
        </w:trPr>
        <w:tc>
          <w:tcPr>
            <w:tcW w:w="8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flows used in financing activities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r>
      <w:tr>
        <w:trPr>
          <w:trHeight w:val="223"/>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change in cash and cash equivalents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Beginning</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Ending</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80"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2"/>
          <w:szCs w:val="22"/>
          <w:b w:val="1"/>
          <w:bCs w:val="1"/>
          <w:color w:val="auto"/>
        </w:rPr>
        <w:t>Cascade Sciences,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Cascade Sciences, LLC (the Company) is a distributor of vacuum ovens, distillation systems, reactor systems, and lab equipment primarily to customers operating in the cannabis oil extraction industry.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defines cash and cash equivalents as highly liquid, short-term investments with a maturity at the date of acquisition of three months or less. The Company maintains its cash in bank deposit accounts which, at times, may exceed federally insured limits. The Company's policy is to limit credit exposure on financial instruments and place its cash with a financial institution deemed as being credit worthy. The Company has not experienced any losses on such accounts. Management believes that the Company is not exposed to any significant credit risk on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of Allowance for Doubtful Accounts</w:t>
      </w:r>
    </w:p>
    <w:p>
      <w:pPr>
        <w:spacing w:after="0" w:line="171"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Accounts receivable are stated at the net invoice amounts. An allowance for doubtful accounts is established based on management's review of balances. Amounts determined uncollectable are charged against the allowance for doubtful accounts in the period the determination is made. Accounts receivable are shown net of an allowance for doubtful accounts of $25 and $15 as of December 31, 2020 and 2019,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Inventory consists predominately of finished parts and components purchased directly from external vendors, and are valued at the lower of cost or net realizable value with cost being determined on a first-in, first-out basis (FIFO). As of December 31, 2020 and 2019, no reserve for excess or obsolete inventory was deemed necessary by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Property and equipment are stated at cost. Depreciation is computed using the straight-line method for all assets. Major expenditures for property and equipment are capitalized. Maintenance, repairs and minor renewals are expensed as incurred. When assets are retired or otherwise disposed of, their costs and related accumulated depreciation are removed from the accounts and resulting gains or losses are included in income.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of the Company's property and equipment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and computer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Vehicles</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5</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Company reviews long-lived assets, including property and equipment, for impairment whenever events or changes in business circumstances indicate that the carrying amount of an asset may not be fully recoverable. An impairment loss would be recognized when the estimated future cash flows from the use of the asset are less than the carrying amount of that asset. To date, there have been no such losses.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When a customer enters into a purchase agreement with the Company, the Company generally requires a deposit of 50 percent before the order is shipped.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deposit is recorded as deferred revenue within the Company's balance sheets until earned, which generally occurs upon the order being shipped.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80"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Cascade Sciences,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w:t>
      </w:r>
    </w:p>
    <w:p>
      <w:pPr>
        <w:spacing w:after="0" w:line="17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On January 1, 2019, the Company adopted the Financial Accounting Standards Board's (FASB) Accounting Standards Update (ASU) 2014-09, Revenue from Contracts with Customers (Topic 606), and all related amendments using the modified retroactive transition method. Under the modified retroactive transition method, the Company's 2018 financial statements continue to be accounted for under the FASB's Topic 605.</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adoption of Topic 606 did not have a significant impact on the Company's financial position or results of operations. There were no adjustments made to the Company's 2019 financial statements as a result of the adoption of Topic 606.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revenues are substantially generated through the sale of vacuum ovens, distillation systems, reactor systems and lab equipment. Revenue is recognized when the Company satisfies its performance obligation(s) under the contract by transferring control of the promised product to its customer with the transfer of control generally determined based on the shipping terms of the contract. A performance obligation is a promise in a contract to transfer a distinct product to a customer. In all cases, this transfer of control occurs at a point in time, upon shipment of the product.</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periodically incurs commissions associated with equipment contracts executed with certain customers. Typically contracts do not extend over a year, as such the Company has applied the practical expedient related to these costs.</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Revenue is measured as the amount of consideration the Company expects to receive in exchange for transferring products. The nature of the Company's contracts generally do not give rise to any notable amounts of variable consideration.</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contract's transaction price is allocated to each distinct performance obligation within the contract. Substantially all of the Company's contracts have a single performance obligation.</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Sales and other taxes collected from customers and remitted to governmental authorities are accounted for on a net (excluded from revenue) basis. The Company sells its products to customers throughout the United States. The nature, amount, timing or uncertainty of revenue and cash flows associated with those sales are not determined to be impacted by any cyclicality or seasonality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Research and development costs include the costs to acquire raw materials, processing costs, skilled labor salaries, outsourcing costs, and other costs associated with the development and testing of prototype products and are expensed as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Advertising costs are charged to operations when incurred. Advertising expense was $153 and $329 for the years ended December 31, 2020 and 2019,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Shipping and handling costs charged to customers have been included in net sales. Shipping and handling costs incurred by the Company have been included in cost of goods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80" w:right="359" w:bottom="1440" w:gutter="0" w:footer="0" w:header="0"/>
        </w:sectPr>
      </w:pPr>
    </w:p>
    <w:bookmarkStart w:id="16" w:name="page17"/>
    <w:bookmarkEnd w:id="16"/>
    <w:p>
      <w:pPr>
        <w:ind w:left="20"/>
        <w:spacing w:after="0"/>
        <w:rPr>
          <w:sz w:val="20"/>
          <w:szCs w:val="20"/>
          <w:color w:val="auto"/>
        </w:rPr>
      </w:pPr>
      <w:r>
        <w:rPr>
          <w:rFonts w:ascii="Arial" w:cs="Arial" w:eastAsia="Arial" w:hAnsi="Arial"/>
          <w:sz w:val="22"/>
          <w:szCs w:val="22"/>
          <w:b w:val="1"/>
          <w:bCs w:val="1"/>
          <w:color w:val="auto"/>
        </w:rPr>
        <w:t>Cascade Sciences,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17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Effective January 1, 2020, the Company adopted FASB ASU 2016-02, Leases (Topic 842) which requires lessees to recognize most leases on the balance sheet that existed at or commenced after January 1, 2020. Adoption of this standard resulted in recognition of right-of-use (ROU) assets and lease liabilities. The Company elected the option under Topic 842 not to restate comparative periods in the transition and there was no impact to the Company's retained earnings as a result of the adoption. In addition, the Company elected the package of practical expedients permitted under the transition guidance within the new standard, which allowed it to carry forward the historical lease classification, costs, and components. Lastly, the Company accounts for short-term leases (i.e., lease term of 12 months or less) by making the short-term lease policy election and will not apply the recognition measurement requirements of ASC 842. Additional required disclosures for Topic 842 are contained in Note 6.</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Arial" w:cs="Arial" w:eastAsia="Arial" w:hAnsi="Arial"/>
                <w:sz w:val="18"/>
                <w:szCs w:val="18"/>
                <w:b w:val="1"/>
                <w:bCs w:val="1"/>
                <w:color w:val="auto"/>
              </w:rPr>
              <w:t>2.</w:t>
            </w:r>
          </w:p>
        </w:tc>
        <w:tc>
          <w:tcPr>
            <w:tcW w:w="7820" w:type="dxa"/>
            <w:vAlign w:val="bottom"/>
          </w:tcPr>
          <w:p>
            <w:pPr>
              <w:ind w:left="460"/>
              <w:spacing w:after="0"/>
              <w:rPr>
                <w:sz w:val="20"/>
                <w:szCs w:val="20"/>
                <w:color w:val="auto"/>
              </w:rPr>
            </w:pPr>
            <w:r>
              <w:rPr>
                <w:rFonts w:ascii="Arial" w:cs="Arial" w:eastAsia="Arial" w:hAnsi="Arial"/>
                <w:sz w:val="18"/>
                <w:szCs w:val="18"/>
                <w:b w:val="1"/>
                <w:bCs w:val="1"/>
                <w:color w:val="auto"/>
              </w:rPr>
              <w:t>Property and Equipment</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020" w:type="dxa"/>
            <w:vAlign w:val="bottom"/>
            <w:gridSpan w:val="2"/>
          </w:tcPr>
          <w:p>
            <w:pPr>
              <w:spacing w:after="0"/>
              <w:rPr>
                <w:sz w:val="20"/>
                <w:szCs w:val="20"/>
                <w:color w:val="auto"/>
              </w:rPr>
            </w:pPr>
            <w:r>
              <w:rPr>
                <w:rFonts w:ascii="Arial" w:cs="Arial" w:eastAsia="Arial" w:hAnsi="Arial"/>
                <w:sz w:val="18"/>
                <w:szCs w:val="18"/>
                <w:color w:val="auto"/>
              </w:rPr>
              <w:t>The major categories of property and equipment are summarized as follows at December 31:</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0" w:type="dxa"/>
            <w:vAlign w:val="bottom"/>
            <w:tcBorders>
              <w:bottom w:val="single" w:sz="8" w:color="CCEEFF"/>
            </w:tcBorders>
          </w:tcPr>
          <w:p>
            <w:pPr>
              <w:spacing w:after="0"/>
              <w:rPr>
                <w:sz w:val="24"/>
                <w:szCs w:val="24"/>
                <w:color w:val="auto"/>
              </w:rPr>
            </w:pPr>
          </w:p>
        </w:tc>
        <w:tc>
          <w:tcPr>
            <w:tcW w:w="78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 and computer equipment</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Vehicles</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200" w:type="dxa"/>
            <w:vAlign w:val="bottom"/>
            <w:shd w:val="clear" w:color="auto" w:fill="CCEEFF"/>
          </w:tcPr>
          <w:p>
            <w:pPr>
              <w:spacing w:after="0"/>
              <w:rPr>
                <w:sz w:val="19"/>
                <w:szCs w:val="19"/>
                <w:color w:val="auto"/>
              </w:rPr>
            </w:pPr>
          </w:p>
        </w:tc>
        <w:tc>
          <w:tcPr>
            <w:tcW w:w="7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property and equipment</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20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property and equipment</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6"/>
              </w:rPr>
              <w:t>Depreciation expense was $20 and $28 for the years ended December 31, 2020 and 2019, respectively.</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2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0" w:type="dxa"/>
            <w:vAlign w:val="bottom"/>
          </w:tcPr>
          <w:p>
            <w:pPr>
              <w:spacing w:after="0"/>
              <w:rPr>
                <w:sz w:val="20"/>
                <w:szCs w:val="20"/>
                <w:color w:val="auto"/>
              </w:rPr>
            </w:pPr>
            <w:r>
              <w:rPr>
                <w:rFonts w:ascii="Arial" w:cs="Arial" w:eastAsia="Arial" w:hAnsi="Arial"/>
                <w:sz w:val="18"/>
                <w:szCs w:val="18"/>
                <w:b w:val="1"/>
                <w:bCs w:val="1"/>
                <w:color w:val="auto"/>
              </w:rPr>
              <w:t>3.</w:t>
            </w:r>
          </w:p>
        </w:tc>
        <w:tc>
          <w:tcPr>
            <w:tcW w:w="7820" w:type="dxa"/>
            <w:vAlign w:val="bottom"/>
          </w:tcPr>
          <w:p>
            <w:pPr>
              <w:ind w:left="460"/>
              <w:spacing w:after="0"/>
              <w:rPr>
                <w:sz w:val="20"/>
                <w:szCs w:val="20"/>
                <w:color w:val="auto"/>
              </w:rPr>
            </w:pPr>
            <w:r>
              <w:rPr>
                <w:rFonts w:ascii="Arial" w:cs="Arial" w:eastAsia="Arial" w:hAnsi="Arial"/>
                <w:sz w:val="18"/>
                <w:szCs w:val="18"/>
                <w:b w:val="1"/>
                <w:bCs w:val="1"/>
                <w:color w:val="auto"/>
              </w:rPr>
              <w:t>Accrued Expenses</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at December 31:</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0" w:type="dxa"/>
            <w:vAlign w:val="bottom"/>
            <w:tcBorders>
              <w:bottom w:val="single" w:sz="8" w:color="CCEEFF"/>
            </w:tcBorders>
          </w:tcPr>
          <w:p>
            <w:pPr>
              <w:spacing w:after="0"/>
              <w:rPr>
                <w:sz w:val="24"/>
                <w:szCs w:val="24"/>
                <w:color w:val="auto"/>
              </w:rPr>
            </w:pPr>
          </w:p>
        </w:tc>
        <w:tc>
          <w:tcPr>
            <w:tcW w:w="78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payroll and payroll taxes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Accrued sales and withholding taxes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vacation</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Other accrued expenses</w:t>
            </w: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has a revolving line of credit agreement with a bank, which allows it to borrow up to $750. Borrowings bear interest at a rate defined as the higher of (1) the bank's prime rate plus 0.55 percent or (2) 4.00 percent (as of December 31, 2020 and 2019, the effective interest rate on outstanding borrowings was 4.00 percent). The revolving line of credit agreement expires on demand, and is collateralized by substantially all assets of the Company. As of December 31, 2020 and 2019, the Company had no borrowings outstanding under the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80"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Cascade Sciences,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Paycheck Protection Program Loan</w:t>
      </w:r>
    </w:p>
    <w:p>
      <w:pPr>
        <w:spacing w:after="0" w:line="17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On April 23, 2020, the Company received loan proceeds in the amount of $388 under the Paycheck Protection Program (PPP) which was established as part of the Coronavirus Aid, Relief and Economic Security (CARES) Act and is administered through the Small Business Administration (SBA). The PPP provides loans to qualifying businesses in amounts up to 2.5 times their average monthly payroll expenses and was designed to provide a direct financial incentive for qualifying businesses to keep their workforce employed during the Coronavirus crisis. PPP loans are uncollateralized and guaranteed by the SBA and are forgivable after a “covered period” (eight or twenty four weeks) as long as the borrower maintains its payroll levels and uses the loan proceeds for eligible expenses, including payroll, benefits, mortgage interest, rent, and utilities. The forgiveness amount will be reduced if the borrower terminates employees or reduces salaries and wages more than 25 percent during the covered period. Any unforgiven portion is payable over two years if issued at an interest rate of 1 percent with payments deferred until the SBA remits the borrower’s loan forgiveness amount to the lender. PPP loan terms provide for customary events of default, including payment defaults, breaches of representations and warranties, and insolvency events and may be accelerated upon the occurrence of one or more of these events of default. Additionally, PPP loan terms do not include prepayment penalties.</w:t>
      </w:r>
    </w:p>
    <w:p>
      <w:pPr>
        <w:spacing w:after="0" w:line="11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met the PPP’s loan forgiveness requirements, and therefore, applied for and received notice of forgiveness on December 4, 2020. Accordingly, the Company recognized $388 in 'gain on debt extinguishment' within the Company's statement of income for the year ended December 31, 2020. The SBA reserves the right to audit any PPP loan, regardless of size. These audits may occur after forgiveness has been granted. In accordance with the CARES Act, all borrowers are required to maintain their PPP loan documentation for six years after the PPP loan was forgiven or repaid in full and to provide that documentation to the SBA upon request.</w:t>
      </w:r>
    </w:p>
    <w:p>
      <w:pPr>
        <w:spacing w:after="0" w:line="13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Company has various operating lease agreements for facilities and vehicles through 2024. The leases do not include renewal options. The vehicle leases include a purchase option at the end of the lease with a guaranteed residual value that is likely not to be executed. Some leases include payment for common area maintenance associated with the property. The Company has elected the practical expedient not to separate lease and nonlease components for all four building leases. Total rent expense was $192 and $125 for the years ended December 31, 2020 and 2019, respectively.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The following table summarizes the ROU lease assets and liabilities as of December 31, 2020:</w:t>
            </w: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89"/>
        </w:trPr>
        <w:tc>
          <w:tcPr>
            <w:tcW w:w="81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operating expenses</w:t>
            </w:r>
          </w:p>
        </w:tc>
        <w:tc>
          <w:tcPr>
            <w:tcW w:w="20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178</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0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2.92</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20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r>
    </w:tbl>
    <w:p>
      <w:pPr>
        <w:spacing w:after="0" w:line="24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is a summary by year of scheduled future minimum payments on noncancelable operating leases with initial or remaining lease terms in excess of one year as of December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undiscounted lease payments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lease liabilities</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color w:val="auto"/>
              </w:rPr>
              <w:t>Long-term operating lease liabilities</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r>
      <w:tr>
        <w:trPr>
          <w:trHeight w:val="20"/>
        </w:trPr>
        <w:tc>
          <w:tcPr>
            <w:tcW w:w="9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80"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Cascade Sciences,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years ended December 31, 2020 and 2019, the Company had purchases from vendors related through common ownership of approximately</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$4,490 and $10,500, respectively. At December 31, 2020 and 2019, the Company had payables outstanding with these vendors totaling approximately $202 and $503, respectively.</w:t>
      </w:r>
    </w:p>
    <w:p>
      <w:pPr>
        <w:spacing w:after="0" w:line="12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Agreement and Membership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operating agreement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Membership Units</w:t>
      </w:r>
    </w:p>
    <w:p>
      <w:pPr>
        <w:spacing w:after="0" w:line="17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Company has two classes of membership units: Class A preferred units and Class B common units. As of December 31, 2020, 900 Class A preferred units were authorized, issued, and outstanding and 1,125 Class B common units were authorized, issued, and outstanding. Preferred unit holders maintain voting rights and preference in distributions over common unit 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No additional capital contributions are required outside of the initial capital contribution made by each member. If additional capital contributions are deemed necessary in connection with the conduct of the Company’s business, then the members will have the opportunity to participate in such additional capital contributions on a pro rata basis in accordance with their respective distributive shares.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will distribute to the members the net profit of the Company in accordance with the members distributive shares. No distribution will be declared and paid unless, after the distribution is made, the Company would be able to pay its debts as they become due in the usual course of business and the assets of the Company are in excess of the sum of the Company’s liabilities and amount would be needed to satisfy the preferential rights of other members. During the years ended December 31, 2020 and 2019, the Company made distributions of $894 and $1,490, respectfully.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Liability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members have no personal liability for liabilities or obligations of the Company except to the extent of their capital account.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Profits and Losses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Profits and losses are allocated in accordance with the operating agreement. Losses are allocated first to members with unrepaid capital contribution until reduced to zero, then in pro rata to the members in proportion to their respective distributive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membership units, both preferred and common, do not contain a mandatory redemption clause.</w:t>
      </w:r>
    </w:p>
    <w:p>
      <w:pPr>
        <w:spacing w:after="0" w:line="16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Management has evaluated the impact of all subsequent events occurring through December 8, 2021, the date the financial statements were available to be issued for events requiring recording or disclosure in the Company’s financial statements.</w:t>
      </w:r>
    </w:p>
    <w:p>
      <w:pPr>
        <w:spacing w:after="0" w:line="11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On January 25, 2021, the Company was granted a loan in the principal amount of $533 pursuant to the PPP under the CARES Act, which was enacted on March 27, 2020. The loan was evidenced by a promissory note, and bore interest at the rate of 1.00 percent per annum. After a six-month deferral period, the loan would be payable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80" w:right="35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Cascade Sciences,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200" w:lineRule="exact"/>
        <w:rPr>
          <w:sz w:val="20"/>
          <w:szCs w:val="20"/>
          <w:color w:val="auto"/>
        </w:rPr>
      </w:pPr>
    </w:p>
    <w:p>
      <w:pPr>
        <w:spacing w:after="0" w:line="227"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60 months and was scheduled to mature on July 25, 2026. Loan recipients may apply for and receive loan forgiveness for all or a portion of the loans based on meeting certain requirements related to payroll costs, employee retention, employee wage levels, rent, and utilities, as described in the CARES Act and other implementation guidance and forms issued by the U.S. Small Business Administration. During July 2021, the Company was granted full forgiveness on the loan, at which time, the Company recognized $533 in ‘gain on debt extinguishment’ within the Company’s statement of income.</w:t>
      </w:r>
    </w:p>
    <w:p>
      <w:pPr>
        <w:spacing w:after="0" w:line="10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During June 2021, the Company executed a merger with Mass2Media, LLC (Precision Extraction) which was conducted through a newly created holding company (Sinclair Scientific). Upon the closing of this merger transaction, the members of the Company exchanged their outstanding ownership units in the Company for 20,000,000 common units in Sinclair Scientific, representing 40 percent of the issued and outstanding common units of Sinclair Scientific. Occurring concurrently with this contribution and exchange transaction executed by the members of the Company, the members of Precision Extraction exchanged their outstanding ownership units in Precision Extraction, Precision Extraction Corporation, and Precision International Export, Inc. for 30,000,000 common units in Sinclair Scientific representing 60 percent of the issued and outstanding common units of Sinclair Scientific. As both Precision Extraction and the Company had outstanding PPP loan obligations as of the closing of this merger transaction, only 49 percent of the outstanding units in Precision Extraction and the Company was initially contributed to Sinclair Scientific in exchange for the aforementioned common units in Sinclair Scientific. Upon forgiveness of the outstanding PPP loan obligations being obtained, the remaining 51 percent outstanding ownership of Precision Extraction and the Company was transferred and contributed to Sinclair Scientific.</w:t>
      </w:r>
    </w:p>
    <w:p>
      <w:pPr>
        <w:spacing w:after="0" w:line="13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During August 2021, Sinclair Scientific established an employee equity incentive bonus plan (the Plan) which provides incentive compensation to certain key employees of the Sinclair Scientific. Under the terms of the Plan, Sinclair Scientific may issue up to 2,500,000 rights units which each represent one common unit. As of October 1, 2021, the date of Sinclair Scientific’s subsequent acquisition by Agrify Corporation, as further described below, 1,473,000 rights units were outstanding under the Plan, 462,000 of which were issued to the Company’s employees while the remaining 1,011,000 rights units were issued to Precision Extraction’s employees. The rights units generally vest 25 percent per year over a period of four years. As of October 1, 2021, 1,161,000 rights units were considered fully vested. Vested and unvested rights units become forfeited upon termination of employment. The vested rights units become exercisable and are automatically exercised upon the occurrence of a liquidity event, defined primarily as the sale of all or substantially all of the Company (referred to as the performance condition). Upon the occurrence of a liquidity event, all unvested rights units are forfeited and Sinclair Scientific shall be obligated to exchange the fair market value of the vested rights units for the equivalent fair market value of either cash, stock in the acquiring company, or a combination of cash and stock in the acquiring company. As these rights units had not been granted as of December 31, 2020 and 2019, no compensation expense was recorded in relation to the Plan as of both December 31, 2020 and 2019.</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September 29, 2021, Sinclair Scientific (the Company’s newly formed holding company), together with its wholly-owned subsidiaries of Precision Extraction and the Company, and the equity holders of Sinclair Scientific named therein (collectively, the Sinclair members) entered into a Plan Merger and Equity Purchase Agreement, as amended on October 1, 2021 (the purchase agreement) with Agrify Corporation (Agrify). Subject to the terms and conditions set forth in the purchase agreement, Sinclair Scientific transferred to Agrify, and Agrify purchased (the interest purchase) from Sinclair Scientific 100 percent of the equity interests of Cascade, such that immediately after the consummation of the interest purchase, Cascade became a wholly-owned subsidiary of Cascade, and Precision Extraction merged (the merger) with and into a newly-formed wholly-owned subsidiary of Agrify, Precision Extraction NewCo, LLC.</w:t>
      </w:r>
    </w:p>
    <w:p>
      <w:pPr>
        <w:spacing w:after="0" w:line="14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aggregate consideration for the interest purchase and the merger consisted of: (a) the sum of $30,000, plus consideration payable to holders of outstanding Sinclair Scientific equity awards issued under the aforementioned plan, subject to certain adjustments for working capital, cash, and indebtedness, payable in connection with the interest purchase; (b) the number of shares of Agrify’s common stock, subject to adjustment, equal to the quotient of (i) $20,000 divided by (ii) the volume-weighted average price per share of the Agrify’s common stock on The Nasdaq Capital Market for the 30 consecutive trading days ending on the Execution Date (the VWAP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80" w:right="359"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Cascade Sciences,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issuable in connection with the Merger; and (c) the True-Up Buyer Shares, if any (as defined below), issuable in connection with the merger.</w:t>
      </w:r>
    </w:p>
    <w:p>
      <w:pPr>
        <w:spacing w:after="0" w:line="18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purchase agreement includes customary post-closing adjustments, representations and warranties and covenants of the parties. The members may become entitled to additional shares of Agrify’s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 However, in no event shall the aggregate purchase price paid by the Company pursuant to the terms of the Purchase Agreement, taking into account any Aggregate True-Up Payment in favor of the members, exceed $65 million.</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the aforementioned transactions occurred subsequent to December 31, 2020, unless otherwise stated within the Notes to the Company’s financial statements, these transactions did not have any impact on the Company’s financial statements as of December 31, 2020. Both Sinclair and Agrify are currently in the process of valuing the fair value of acquired assets and liabilities assumed in relation to these transactions. It is therefore currently impractical to disclose a preliminary purchase price allocation in relation to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180" w:right="47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223520</wp:posOffset>
            </wp:positionH>
            <wp:positionV relativeFrom="page">
              <wp:posOffset>412750</wp:posOffset>
            </wp:positionV>
            <wp:extent cx="7101840" cy="3355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1840" cy="3355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35"/>
          <w:szCs w:val="35"/>
          <w:b w:val="1"/>
          <w:bCs w:val="1"/>
          <w:color w:val="auto"/>
        </w:rPr>
        <w:t>Mass2Media, LLC dba PX2 Holdings,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LLC and Affiliate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Consolidated Financial Statements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December 31, 2020 and 2019</w:t>
      </w:r>
    </w:p>
    <w:p>
      <w:pPr>
        <w:sectPr>
          <w:pgSz w:w="11900" w:h="16838" w:orient="portrait"/>
          <w:cols w:equalWidth="0" w:num="1">
            <w:col w:w="9019"/>
          </w:cols>
          <w:pgMar w:left="1440" w:top="1440" w:right="1440"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006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225"/>
        </w:trPr>
        <w:tc>
          <w:tcPr>
            <w:tcW w:w="10060" w:type="dxa"/>
            <w:vAlign w:val="bottom"/>
          </w:tcPr>
          <w:p>
            <w:pPr>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Independent Auditors' Report</w:t>
              </w:r>
            </w:hyperlink>
          </w:p>
        </w:tc>
        <w:tc>
          <w:tcPr>
            <w:tcW w:w="1160" w:type="dxa"/>
            <w:vAlign w:val="bottom"/>
          </w:tcPr>
          <w:p>
            <w:pPr>
              <w:jc w:val="center"/>
              <w:spacing w:after="0"/>
              <w:rPr>
                <w:rFonts w:ascii="Arial" w:cs="Arial" w:eastAsia="Arial" w:hAnsi="Arial"/>
                <w:sz w:val="18"/>
                <w:szCs w:val="18"/>
                <w:color w:val="auto"/>
                <w:w w:val="79"/>
              </w:rPr>
            </w:pPr>
            <w:hyperlink w:anchor="page23">
              <w:r>
                <w:rPr>
                  <w:rFonts w:ascii="Arial" w:cs="Arial" w:eastAsia="Arial" w:hAnsi="Arial"/>
                  <w:sz w:val="18"/>
                  <w:szCs w:val="18"/>
                  <w:color w:val="auto"/>
                  <w:w w:val="79"/>
                </w:rPr>
                <w:t>1</w:t>
              </w:r>
            </w:hyperlink>
          </w:p>
        </w:tc>
      </w:tr>
      <w:tr>
        <w:trPr>
          <w:trHeight w:val="233"/>
        </w:trPr>
        <w:tc>
          <w:tcPr>
            <w:tcW w:w="1006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160" w:type="dxa"/>
            <w:vAlign w:val="bottom"/>
          </w:tcPr>
          <w:p>
            <w:pPr>
              <w:spacing w:after="0"/>
              <w:rPr>
                <w:sz w:val="20"/>
                <w:szCs w:val="20"/>
                <w:color w:val="auto"/>
              </w:rPr>
            </w:pPr>
          </w:p>
        </w:tc>
      </w:tr>
      <w:tr>
        <w:trPr>
          <w:trHeight w:val="230"/>
        </w:trPr>
        <w:tc>
          <w:tcPr>
            <w:tcW w:w="10060" w:type="dxa"/>
            <w:vAlign w:val="bottom"/>
          </w:tcPr>
          <w:p>
            <w:pPr>
              <w:ind w:left="160"/>
              <w:spacing w:after="0"/>
              <w:rPr>
                <w:rFonts w:ascii="Arial" w:cs="Arial" w:eastAsia="Arial" w:hAnsi="Arial"/>
                <w:sz w:val="18"/>
                <w:szCs w:val="18"/>
                <w:color w:val="auto"/>
              </w:rPr>
            </w:pPr>
            <w:hyperlink w:anchor="page25">
              <w:r>
                <w:rPr>
                  <w:rFonts w:ascii="Arial" w:cs="Arial" w:eastAsia="Arial" w:hAnsi="Arial"/>
                  <w:sz w:val="18"/>
                  <w:szCs w:val="18"/>
                  <w:color w:val="auto"/>
                </w:rPr>
                <w:t>Consolidated Balance Sheets</w:t>
              </w:r>
            </w:hyperlink>
          </w:p>
        </w:tc>
        <w:tc>
          <w:tcPr>
            <w:tcW w:w="1160" w:type="dxa"/>
            <w:vAlign w:val="bottom"/>
          </w:tcPr>
          <w:p>
            <w:pPr>
              <w:jc w:val="center"/>
              <w:spacing w:after="0"/>
              <w:rPr>
                <w:rFonts w:ascii="Arial" w:cs="Arial" w:eastAsia="Arial" w:hAnsi="Arial"/>
                <w:sz w:val="18"/>
                <w:szCs w:val="18"/>
                <w:color w:val="auto"/>
                <w:w w:val="79"/>
              </w:rPr>
            </w:pPr>
            <w:hyperlink w:anchor="page25">
              <w:r>
                <w:rPr>
                  <w:rFonts w:ascii="Arial" w:cs="Arial" w:eastAsia="Arial" w:hAnsi="Arial"/>
                  <w:sz w:val="18"/>
                  <w:szCs w:val="18"/>
                  <w:color w:val="auto"/>
                  <w:w w:val="79"/>
                </w:rPr>
                <w:t>3</w:t>
              </w:r>
            </w:hyperlink>
          </w:p>
        </w:tc>
      </w:tr>
      <w:tr>
        <w:trPr>
          <w:trHeight w:val="229"/>
        </w:trPr>
        <w:tc>
          <w:tcPr>
            <w:tcW w:w="10060" w:type="dxa"/>
            <w:vAlign w:val="bottom"/>
          </w:tcPr>
          <w:p>
            <w:pPr>
              <w:ind w:left="160"/>
              <w:spacing w:after="0"/>
              <w:rPr>
                <w:rFonts w:ascii="Arial" w:cs="Arial" w:eastAsia="Arial" w:hAnsi="Arial"/>
                <w:sz w:val="18"/>
                <w:szCs w:val="18"/>
                <w:color w:val="auto"/>
              </w:rPr>
            </w:pPr>
            <w:hyperlink w:anchor="page26">
              <w:r>
                <w:rPr>
                  <w:rFonts w:ascii="Arial" w:cs="Arial" w:eastAsia="Arial" w:hAnsi="Arial"/>
                  <w:sz w:val="18"/>
                  <w:szCs w:val="18"/>
                  <w:color w:val="auto"/>
                </w:rPr>
                <w:t>Consolidated Statements of Net Loss</w:t>
              </w:r>
            </w:hyperlink>
          </w:p>
        </w:tc>
        <w:tc>
          <w:tcPr>
            <w:tcW w:w="1160" w:type="dxa"/>
            <w:vAlign w:val="bottom"/>
          </w:tcPr>
          <w:p>
            <w:pPr>
              <w:jc w:val="center"/>
              <w:spacing w:after="0"/>
              <w:rPr>
                <w:rFonts w:ascii="Arial" w:cs="Arial" w:eastAsia="Arial" w:hAnsi="Arial"/>
                <w:sz w:val="18"/>
                <w:szCs w:val="18"/>
                <w:color w:val="auto"/>
                <w:w w:val="79"/>
              </w:rPr>
            </w:pPr>
            <w:hyperlink w:anchor="page26">
              <w:r>
                <w:rPr>
                  <w:rFonts w:ascii="Arial" w:cs="Arial" w:eastAsia="Arial" w:hAnsi="Arial"/>
                  <w:sz w:val="18"/>
                  <w:szCs w:val="18"/>
                  <w:color w:val="auto"/>
                  <w:w w:val="79"/>
                </w:rPr>
                <w:t>4</w:t>
              </w:r>
            </w:hyperlink>
          </w:p>
        </w:tc>
      </w:tr>
      <w:tr>
        <w:trPr>
          <w:trHeight w:val="229"/>
        </w:trPr>
        <w:tc>
          <w:tcPr>
            <w:tcW w:w="10060" w:type="dxa"/>
            <w:vAlign w:val="bottom"/>
          </w:tcPr>
          <w:p>
            <w:pPr>
              <w:ind w:left="160"/>
              <w:spacing w:after="0"/>
              <w:rPr>
                <w:rFonts w:ascii="Arial" w:cs="Arial" w:eastAsia="Arial" w:hAnsi="Arial"/>
                <w:sz w:val="18"/>
                <w:szCs w:val="18"/>
                <w:color w:val="auto"/>
              </w:rPr>
            </w:pPr>
            <w:hyperlink w:anchor="page27">
              <w:r>
                <w:rPr>
                  <w:rFonts w:ascii="Arial" w:cs="Arial" w:eastAsia="Arial" w:hAnsi="Arial"/>
                  <w:sz w:val="18"/>
                  <w:szCs w:val="18"/>
                  <w:color w:val="auto"/>
                </w:rPr>
                <w:t>Consolidated Statements of Members' Equity (Deficit)</w:t>
              </w:r>
            </w:hyperlink>
          </w:p>
        </w:tc>
        <w:tc>
          <w:tcPr>
            <w:tcW w:w="1160" w:type="dxa"/>
            <w:vAlign w:val="bottom"/>
          </w:tcPr>
          <w:p>
            <w:pPr>
              <w:jc w:val="center"/>
              <w:spacing w:after="0"/>
              <w:rPr>
                <w:rFonts w:ascii="Arial" w:cs="Arial" w:eastAsia="Arial" w:hAnsi="Arial"/>
                <w:sz w:val="18"/>
                <w:szCs w:val="18"/>
                <w:color w:val="auto"/>
                <w:w w:val="79"/>
              </w:rPr>
            </w:pPr>
            <w:hyperlink w:anchor="page27">
              <w:r>
                <w:rPr>
                  <w:rFonts w:ascii="Arial" w:cs="Arial" w:eastAsia="Arial" w:hAnsi="Arial"/>
                  <w:sz w:val="18"/>
                  <w:szCs w:val="18"/>
                  <w:color w:val="auto"/>
                  <w:w w:val="79"/>
                </w:rPr>
                <w:t>5</w:t>
              </w:r>
            </w:hyperlink>
          </w:p>
        </w:tc>
      </w:tr>
      <w:tr>
        <w:trPr>
          <w:trHeight w:val="230"/>
        </w:trPr>
        <w:tc>
          <w:tcPr>
            <w:tcW w:w="10060" w:type="dxa"/>
            <w:vAlign w:val="bottom"/>
          </w:tcPr>
          <w:p>
            <w:pPr>
              <w:ind w:left="160"/>
              <w:spacing w:after="0"/>
              <w:rPr>
                <w:rFonts w:ascii="Arial" w:cs="Arial" w:eastAsia="Arial" w:hAnsi="Arial"/>
                <w:sz w:val="18"/>
                <w:szCs w:val="18"/>
                <w:color w:val="auto"/>
              </w:rPr>
            </w:pPr>
            <w:hyperlink w:anchor="page28">
              <w:r>
                <w:rPr>
                  <w:rFonts w:ascii="Arial" w:cs="Arial" w:eastAsia="Arial" w:hAnsi="Arial"/>
                  <w:sz w:val="18"/>
                  <w:szCs w:val="18"/>
                  <w:color w:val="auto"/>
                </w:rPr>
                <w:t>Consolidated Statements of Cash Flows</w:t>
              </w:r>
            </w:hyperlink>
          </w:p>
        </w:tc>
        <w:tc>
          <w:tcPr>
            <w:tcW w:w="1160" w:type="dxa"/>
            <w:vAlign w:val="bottom"/>
          </w:tcPr>
          <w:p>
            <w:pPr>
              <w:jc w:val="center"/>
              <w:spacing w:after="0"/>
              <w:rPr>
                <w:rFonts w:ascii="Arial" w:cs="Arial" w:eastAsia="Arial" w:hAnsi="Arial"/>
                <w:sz w:val="18"/>
                <w:szCs w:val="18"/>
                <w:color w:val="auto"/>
                <w:w w:val="79"/>
              </w:rPr>
            </w:pPr>
            <w:hyperlink w:anchor="page28">
              <w:r>
                <w:rPr>
                  <w:rFonts w:ascii="Arial" w:cs="Arial" w:eastAsia="Arial" w:hAnsi="Arial"/>
                  <w:sz w:val="18"/>
                  <w:szCs w:val="18"/>
                  <w:color w:val="auto"/>
                  <w:w w:val="79"/>
                </w:rPr>
                <w:t>6</w:t>
              </w:r>
            </w:hyperlink>
          </w:p>
        </w:tc>
      </w:tr>
      <w:tr>
        <w:trPr>
          <w:trHeight w:val="230"/>
        </w:trPr>
        <w:tc>
          <w:tcPr>
            <w:tcW w:w="10060" w:type="dxa"/>
            <w:vAlign w:val="bottom"/>
          </w:tcPr>
          <w:p>
            <w:pPr>
              <w:ind w:left="160"/>
              <w:spacing w:after="0"/>
              <w:rPr>
                <w:rFonts w:ascii="Arial" w:cs="Arial" w:eastAsia="Arial" w:hAnsi="Arial"/>
                <w:sz w:val="18"/>
                <w:szCs w:val="18"/>
                <w:color w:val="auto"/>
              </w:rPr>
            </w:pPr>
            <w:hyperlink w:anchor="page29">
              <w:r>
                <w:rPr>
                  <w:rFonts w:ascii="Arial" w:cs="Arial" w:eastAsia="Arial" w:hAnsi="Arial"/>
                  <w:sz w:val="18"/>
                  <w:szCs w:val="18"/>
                  <w:color w:val="auto"/>
                </w:rPr>
                <w:t>Notes to Consolidated Financial Statements</w:t>
              </w:r>
            </w:hyperlink>
          </w:p>
        </w:tc>
        <w:tc>
          <w:tcPr>
            <w:tcW w:w="1160" w:type="dxa"/>
            <w:vAlign w:val="bottom"/>
          </w:tcPr>
          <w:p>
            <w:pPr>
              <w:jc w:val="center"/>
              <w:spacing w:after="0"/>
              <w:rPr>
                <w:rFonts w:ascii="Arial" w:cs="Arial" w:eastAsia="Arial" w:hAnsi="Arial"/>
                <w:sz w:val="18"/>
                <w:szCs w:val="18"/>
                <w:color w:val="auto"/>
                <w:w w:val="79"/>
              </w:rPr>
            </w:pPr>
            <w:hyperlink w:anchor="page29">
              <w:r>
                <w:rPr>
                  <w:rFonts w:ascii="Arial" w:cs="Arial" w:eastAsia="Arial" w:hAnsi="Arial"/>
                  <w:sz w:val="18"/>
                  <w:szCs w:val="18"/>
                  <w:color w:val="auto"/>
                  <w:w w:val="79"/>
                </w:rPr>
                <w:t>7</w:t>
              </w:r>
            </w:hyperlink>
          </w:p>
        </w:tc>
      </w:tr>
    </w:tbl>
    <w:p>
      <w:pPr>
        <w:sectPr>
          <w:pgSz w:w="11900" w:h="16838" w:orient="portrait"/>
          <w:cols w:equalWidth="0" w:num="1">
            <w:col w:w="11240"/>
          </w:cols>
          <w:pgMar w:left="320" w:top="180" w:right="339" w:bottom="1440" w:gutter="0" w:footer="0" w:header="0"/>
        </w:sectPr>
      </w:pPr>
    </w:p>
    <w:bookmarkStart w:id="23" w:name="page24"/>
    <w:bookmarkEnd w:id="23"/>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5660390</wp:posOffset>
            </wp:positionH>
            <wp:positionV relativeFrom="page">
              <wp:posOffset>88900</wp:posOffset>
            </wp:positionV>
            <wp:extent cx="1680210" cy="4800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680210" cy="48006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Independent Auditors'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and Board of Managers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Mass2Media, LLC dba PX2 Holdings, LLC and Affiliate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17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We have audited the consolidated financial statements of Mass2Media, LLC dba PX2 Holdings, LLC and Affiliate (the Company), which comprise the consolidated balance sheets as of December 31, 2020 and 2019, and the related consolidated statements of net loss, members' equity (deficit), and cash flows for the years then ended, and the related notes to the consolidated financial statements.</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our opinion, the accompanying consolidated financial statements present fairly, in all material respects, the financial position of the Company as of December 31, 2020 and 2019 and the results of its operations and its cash flows for the years then ended in accordance with accounting principles generally accepted in the United States of America (GAAP).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conducted our audits in accordance with auditing standards generally accepted in the United States of America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17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As discussed in Note 11 to the consolidated financial statements, on October 1, 2021, in exchange for certain consideration, the Company was merged with a newly-formed entity which was wholly-owned by an acquiring company. Our opinion is not modified with respect to this matter.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of Management for the Consolidated Financial Statements</w:t>
      </w:r>
    </w:p>
    <w:p>
      <w:pPr>
        <w:spacing w:after="0" w:line="17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Management is responsible for the preparation and fair presentation of the consolidated financial statements in accordance with GAAP, and for the design, implementation and maintenance of internal control relevant to the preparation and fair presentation of consolidated financial statements that are free from material misstatement, whether due to fraud or error.</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preparing the consolidated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Baker Tilly US, LLP, trading as Baker Tilly, is a member of the global network of Baker Tilly International Ltd., the members of which are separate and independent legal entities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Baker Tilly US, LLP, trading as Baker Tilly, is a member of the global network of Baker Tilly International Ltd., the members of which are separate and independent legal entities.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Responsibilities for the Audit of the Consolidated Financial Statements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In performing an audit in accordance with GAAS, we:</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Exercise professional judgment and maintain professional skepticism throughout the audit.</w:t>
      </w:r>
    </w:p>
    <w:p>
      <w:pPr>
        <w:spacing w:after="0" w:line="171" w:lineRule="exact"/>
        <w:rPr>
          <w:rFonts w:ascii="Arial" w:cs="Arial" w:eastAsia="Arial" w:hAnsi="Arial"/>
          <w:sz w:val="18"/>
          <w:szCs w:val="18"/>
          <w:color w:val="auto"/>
        </w:rPr>
      </w:pPr>
    </w:p>
    <w:p>
      <w:pPr>
        <w:jc w:val="both"/>
        <w:ind w:left="660" w:right="50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spacing w:after="0" w:line="129"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69" w:lineRule="exact"/>
        <w:rPr>
          <w:rFonts w:ascii="Arial" w:cs="Arial" w:eastAsia="Arial" w:hAnsi="Arial"/>
          <w:sz w:val="16"/>
          <w:szCs w:val="16"/>
          <w:color w:val="auto"/>
        </w:rPr>
      </w:pPr>
    </w:p>
    <w:p>
      <w:pPr>
        <w:ind w:left="660" w:right="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Baker Tilly US, LLP</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40" w:right="359" w:bottom="1440" w:gutter="0" w:footer="0" w:header="0"/>
        </w:sectPr>
      </w:pPr>
    </w:p>
    <w:bookmarkStart w:id="25" w:name="page26"/>
    <w:bookmarkEnd w:id="25"/>
    <w:p>
      <w:pPr>
        <w:ind w:left="20"/>
        <w:spacing w:after="0"/>
        <w:rPr>
          <w:sz w:val="20"/>
          <w:szCs w:val="20"/>
          <w:color w:val="auto"/>
        </w:rPr>
      </w:pPr>
      <w:r>
        <w:rPr>
          <w:rFonts w:ascii="Arial" w:cs="Arial" w:eastAsia="Arial" w:hAnsi="Arial"/>
          <w:sz w:val="22"/>
          <w:szCs w:val="22"/>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30"/>
        </w:trPr>
        <w:tc>
          <w:tcPr>
            <w:tcW w:w="8040" w:type="dxa"/>
            <w:vAlign w:val="bottom"/>
          </w:tcPr>
          <w:p>
            <w:pPr>
              <w:ind w:left="100"/>
              <w:spacing w:after="0"/>
              <w:rPr>
                <w:sz w:val="20"/>
                <w:szCs w:val="20"/>
                <w:color w:val="auto"/>
              </w:rPr>
            </w:pPr>
            <w:r>
              <w:rPr>
                <w:rFonts w:ascii="Arial" w:cs="Arial" w:eastAsia="Arial" w:hAnsi="Arial"/>
                <w:sz w:val="18"/>
                <w:szCs w:val="18"/>
                <w:color w:val="auto"/>
              </w:rPr>
              <w:t>Accounts receivable, net of allowance for doubtful accounts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receivables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Taxes, Net</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Lease Right-of-Use Assets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Members' Equity (Deficit)</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4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00"/>
              <w:spacing w:after="0"/>
              <w:rPr>
                <w:sz w:val="20"/>
                <w:szCs w:val="20"/>
                <w:color w:val="auto"/>
              </w:rPr>
            </w:pPr>
            <w:r>
              <w:rPr>
                <w:rFonts w:ascii="Arial" w:cs="Arial" w:eastAsia="Arial" w:hAnsi="Arial"/>
                <w:sz w:val="18"/>
                <w:szCs w:val="18"/>
                <w:color w:val="auto"/>
              </w:rPr>
              <w:t>Current maturities of long-term debt</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lease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Deferred revenue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9,811</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16,709</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debt, net of current maturities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Operating lease liabilities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13,176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16,709</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Members' Equity (Deficit)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(4,166)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and members' equity (deficit)</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80"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2"/>
          <w:szCs w:val="22"/>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Net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25,986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39,483</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Goods Sold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20,356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32,270</w:t>
            </w:r>
          </w:p>
        </w:tc>
      </w:tr>
      <w:tr>
        <w:trPr>
          <w:trHeight w:val="223"/>
        </w:trPr>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w:t>
            </w:r>
          </w:p>
        </w:tc>
      </w:tr>
      <w:tr>
        <w:trPr>
          <w:trHeight w:val="230"/>
        </w:trPr>
        <w:tc>
          <w:tcPr>
            <w:tcW w:w="8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r>
      <w:tr>
        <w:trPr>
          <w:trHeight w:val="223"/>
        </w:trPr>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10,442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11,017</w:t>
            </w:r>
          </w:p>
        </w:tc>
      </w:tr>
      <w:tr>
        <w:trPr>
          <w:trHeight w:val="223"/>
        </w:trPr>
        <w:tc>
          <w:tcPr>
            <w:tcW w:w="80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Operating loss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(4,812)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40" w:type="dxa"/>
            <w:vAlign w:val="bottom"/>
          </w:tcPr>
          <w:p>
            <w:pPr>
              <w:ind w:left="180"/>
              <w:spacing w:after="0"/>
              <w:rPr>
                <w:sz w:val="20"/>
                <w:szCs w:val="20"/>
                <w:color w:val="auto"/>
              </w:rPr>
            </w:pPr>
            <w:r>
              <w:rPr>
                <w:rFonts w:ascii="Arial" w:cs="Arial" w:eastAsia="Arial" w:hAnsi="Arial"/>
                <w:sz w:val="18"/>
                <w:szCs w:val="18"/>
                <w:color w:val="auto"/>
              </w:rPr>
              <w:t>Interest income (expense),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0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Loss before taxes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(4,598)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Benefit (Expense)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r>
      <w:tr>
        <w:trPr>
          <w:trHeight w:val="248"/>
        </w:trPr>
        <w:tc>
          <w:tcPr>
            <w:tcW w:w="8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(5,169)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80"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2"/>
          <w:szCs w:val="22"/>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Members' Equity (Deficit)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Contributed</w:t>
            </w:r>
          </w:p>
        </w:tc>
        <w:tc>
          <w:tcPr>
            <w:tcW w:w="280" w:type="dxa"/>
            <w:vAlign w:val="bottom"/>
          </w:tcPr>
          <w:p>
            <w:pPr>
              <w:spacing w:after="0"/>
              <w:rPr>
                <w:sz w:val="14"/>
                <w:szCs w:val="14"/>
                <w:color w:val="auto"/>
              </w:rPr>
            </w:pPr>
          </w:p>
        </w:tc>
        <w:tc>
          <w:tcPr>
            <w:tcW w:w="13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Members'</w:t>
            </w:r>
          </w:p>
        </w:tc>
        <w:tc>
          <w:tcPr>
            <w:tcW w:w="200" w:type="dxa"/>
            <w:vAlign w:val="bottom"/>
          </w:tcPr>
          <w:p>
            <w:pPr>
              <w:spacing w:after="0"/>
              <w:rPr>
                <w:sz w:val="14"/>
                <w:szCs w:val="14"/>
                <w:color w:val="auto"/>
              </w:rPr>
            </w:pPr>
          </w:p>
        </w:tc>
        <w:tc>
          <w:tcPr>
            <w:tcW w:w="136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6"/>
                <w:szCs w:val="16"/>
                <w:color w:val="auto"/>
              </w:rPr>
            </w:pPr>
          </w:p>
        </w:tc>
        <w:tc>
          <w:tcPr>
            <w:tcW w:w="1360" w:type="dxa"/>
            <w:vAlign w:val="bottom"/>
          </w:tcPr>
          <w:p>
            <w:pPr>
              <w:jc w:val="center"/>
              <w:ind w:right="116"/>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December 31, 2018</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29"/>
        </w:trPr>
        <w:tc>
          <w:tcPr>
            <w:tcW w:w="6360" w:type="dxa"/>
            <w:vAlign w:val="bottom"/>
          </w:tcPr>
          <w:p>
            <w:pPr>
              <w:ind w:left="180"/>
              <w:spacing w:after="0"/>
              <w:rPr>
                <w:sz w:val="20"/>
                <w:szCs w:val="20"/>
                <w:color w:val="auto"/>
              </w:rPr>
            </w:pPr>
            <w:r>
              <w:rPr>
                <w:rFonts w:ascii="Arial" w:cs="Arial" w:eastAsia="Arial" w:hAnsi="Arial"/>
                <w:sz w:val="18"/>
                <w:szCs w:val="18"/>
                <w:color w:val="auto"/>
              </w:rPr>
              <w:t>2019 net loss</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Balances, December 31, 2019</w:t>
            </w: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net loss</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Balances, December 31, 2020</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80"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22"/>
          <w:szCs w:val="22"/>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(5,169)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(3,231)</w:t>
            </w:r>
          </w:p>
        </w:tc>
      </w:tr>
      <w:tr>
        <w:trPr>
          <w:trHeight w:val="229"/>
        </w:trPr>
        <w:tc>
          <w:tcPr>
            <w:tcW w:w="8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Bad debt expense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4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30"/>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(7,941)</w:t>
            </w:r>
          </w:p>
        </w:tc>
      </w:tr>
      <w:tr>
        <w:trPr>
          <w:trHeight w:val="229"/>
        </w:trPr>
        <w:tc>
          <w:tcPr>
            <w:tcW w:w="8040" w:type="dxa"/>
            <w:vAlign w:val="bottom"/>
          </w:tcPr>
          <w:p>
            <w:pPr>
              <w:ind w:left="440"/>
              <w:spacing w:after="0"/>
              <w:rPr>
                <w:sz w:val="20"/>
                <w:szCs w:val="20"/>
                <w:color w:val="auto"/>
              </w:rPr>
            </w:pPr>
            <w:r>
              <w:rPr>
                <w:rFonts w:ascii="Arial" w:cs="Arial" w:eastAsia="Arial" w:hAnsi="Arial"/>
                <w:sz w:val="18"/>
                <w:szCs w:val="18"/>
                <w:color w:val="auto"/>
              </w:rPr>
              <w:t>Prepaid expenses and other receivables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29"/>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r>
      <w:tr>
        <w:trPr>
          <w:trHeight w:val="230"/>
        </w:trPr>
        <w:tc>
          <w:tcPr>
            <w:tcW w:w="8040" w:type="dxa"/>
            <w:vAlign w:val="bottom"/>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29"/>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liability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Deferred revenue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(2,310)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w:t>
            </w:r>
          </w:p>
        </w:tc>
      </w:tr>
      <w:tr>
        <w:trPr>
          <w:trHeight w:val="223"/>
        </w:trPr>
        <w:tc>
          <w:tcPr>
            <w:tcW w:w="8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flows used in operating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(1,664)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r>
      <w:tr>
        <w:trPr>
          <w:trHeight w:val="20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expenditures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r>
      <w:tr>
        <w:trPr>
          <w:trHeight w:val="20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borrowings on line of credit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29"/>
        </w:trPr>
        <w:tc>
          <w:tcPr>
            <w:tcW w:w="8040" w:type="dxa"/>
            <w:vAlign w:val="bottom"/>
          </w:tcPr>
          <w:p>
            <w:pPr>
              <w:ind w:left="100"/>
              <w:spacing w:after="0"/>
              <w:rPr>
                <w:sz w:val="20"/>
                <w:szCs w:val="20"/>
                <w:color w:val="auto"/>
              </w:rPr>
            </w:pPr>
            <w:r>
              <w:rPr>
                <w:rFonts w:ascii="Arial" w:cs="Arial" w:eastAsia="Arial" w:hAnsi="Arial"/>
                <w:sz w:val="18"/>
                <w:szCs w:val="18"/>
                <w:color w:val="auto"/>
              </w:rPr>
              <w:t>Proceeds from long-term debt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8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Member contributions</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8040" w:type="dxa"/>
            <w:vAlign w:val="bottom"/>
          </w:tcPr>
          <w:p>
            <w:pPr>
              <w:ind w:left="100"/>
              <w:spacing w:after="0"/>
              <w:rPr>
                <w:sz w:val="20"/>
                <w:szCs w:val="20"/>
                <w:color w:val="auto"/>
              </w:rPr>
            </w:pPr>
            <w:r>
              <w:rPr>
                <w:rFonts w:ascii="Arial" w:cs="Arial" w:eastAsia="Arial" w:hAnsi="Arial"/>
                <w:sz w:val="18"/>
                <w:szCs w:val="18"/>
                <w:color w:val="auto"/>
              </w:rPr>
              <w:t>Distributions to members</w:t>
            </w:r>
          </w:p>
        </w:tc>
        <w:tc>
          <w:tcPr>
            <w:tcW w:w="9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3"/>
        </w:trPr>
        <w:tc>
          <w:tcPr>
            <w:tcW w:w="804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flows from financing activities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r>
      <w:tr>
        <w:trPr>
          <w:trHeight w:val="223"/>
        </w:trPr>
        <w:tc>
          <w:tcPr>
            <w:tcW w:w="8040" w:type="dxa"/>
            <w:vAlign w:val="bottom"/>
          </w:tcPr>
          <w:p>
            <w:pPr>
              <w:ind w:left="600"/>
              <w:spacing w:after="0"/>
              <w:rPr>
                <w:sz w:val="20"/>
                <w:szCs w:val="20"/>
                <w:color w:val="auto"/>
              </w:rPr>
            </w:pPr>
            <w:r>
              <w:rPr>
                <w:rFonts w:ascii="Arial" w:cs="Arial" w:eastAsia="Arial" w:hAnsi="Arial"/>
                <w:sz w:val="18"/>
                <w:szCs w:val="18"/>
                <w:color w:val="auto"/>
              </w:rPr>
              <w:t>Net change in cash and cash equivalents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Ending</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Cash Flow Disclosures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040" w:type="dxa"/>
            <w:vAlign w:val="bottom"/>
          </w:tcPr>
          <w:p>
            <w:pPr>
              <w:ind w:left="100"/>
              <w:spacing w:after="0"/>
              <w:rPr>
                <w:sz w:val="20"/>
                <w:szCs w:val="20"/>
                <w:color w:val="auto"/>
              </w:rPr>
            </w:pPr>
            <w:r>
              <w:rPr>
                <w:rFonts w:ascii="Arial" w:cs="Arial" w:eastAsia="Arial" w:hAnsi="Arial"/>
                <w:sz w:val="18"/>
                <w:szCs w:val="18"/>
                <w:color w:val="auto"/>
              </w:rPr>
              <w:t>Cash paid for interest</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80"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19"/>
          <w:szCs w:val="19"/>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19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Mass2Media, LLC dba PX2 Holdings, LLC (PX2 Holdings) operates in the cannabis oil extraction industry. PX2 Holdings specializes in manufacturing oil extraction equipment, assisting clients with lab planning and design, and performing installation and training services.</w:t>
      </w:r>
    </w:p>
    <w:p>
      <w:pPr>
        <w:spacing w:after="0" w:line="1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Precision International Export (PIE), is an Interest Charge Domestic International Sales Corporation (IC-DISC) used to promote the sale of PX2 Holdings' products outside the United States in exchange for a commission. PIE is a variable interest entity under common control with PX2 Holdings being the primary beneficiary as its sole purpose is to service the operations of PX2 Holdings. PX2 Holdings has the power to direct the activities of PIE that most significantly impact its economic performance and, as a result, PIE has been included in the consolidated financial statements as a consolidated variable interest entity.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consolidated financial statements include the accounts of PX2 Holdings and PIE (collectively, the Company). All significant intercompany balances and transactions have been eliminated in the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defines cash and cash equivalents as highly liquid, short-term investments with a maturity at the date of acquisition of three months or less. The Company maintains its cash in bank deposit accounts which, at times, may exceed federally insured limits. The Company's policy is to limit credit exposure on financial instruments and place its cash with a financial institution deemed as being credit worthy. The Company has not experienced any losses on such accounts. Management believes that the Company is not exposed to any significant credit risk on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of Allowance for Doubtful Accounts</w:t>
      </w:r>
    </w:p>
    <w:p>
      <w:pPr>
        <w:spacing w:after="0" w:line="17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Accounts receivable are stated at the net invoice amounts. An allowance for doubtful accounts is established based on management's review of balances. Amounts determined uncollectable are charged against the allowance for doubtful accounts in the period the determination is made. Accounts receivable are shown net of an allowance for doubtful accounts of $70 as of December 31, 2020 and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Inventory consists predominately of finished parts and components purchased directly from external vendors, and are valued at the lower of cost or net realizable value with cost being determined on a first-in, first-out basis (FIFO). As of December 31, 2020 and 2019, no reserve for excess or obsolete inventory was deemed necessary by management. During 2020 however, management identified certain inventory which related to a new program that had been in development however was ultimately terminated and thus the related inventory was no longer believed to be recoverable. Upon this determination being made, this inventory totaling $4,218 was expensed to research and development within the Company's consolidated statements of net loss for the year ended December 31,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Property and equipment are stated at cost. Depreciation is computed using the straight-line method for all assets. Major expenditures for property and equipment are capitalized. Maintenance, repairs and minor renewals are expensed as incurred. When assets are retired or otherwise disposed of, their costs and related accumulated depreciation are removed from the accounts and resulting gains or losses are included in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80" w:right="379" w:bottom="1440" w:gutter="0" w:footer="0" w:header="0"/>
          <w:type w:val="continuous"/>
        </w:sectPr>
      </w:pPr>
    </w:p>
    <w:bookmarkStart w:id="30" w:name="page31"/>
    <w:bookmarkEnd w:id="30"/>
    <w:p>
      <w:pPr>
        <w:ind w:left="20"/>
        <w:spacing w:after="0"/>
        <w:rPr>
          <w:sz w:val="20"/>
          <w:szCs w:val="20"/>
          <w:color w:val="auto"/>
        </w:rPr>
      </w:pPr>
      <w:r>
        <w:rPr>
          <w:rFonts w:ascii="Arial" w:cs="Arial" w:eastAsia="Arial" w:hAnsi="Arial"/>
          <w:sz w:val="22"/>
          <w:szCs w:val="22"/>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of the Company's property and equipment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Years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3-15</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Office and computer equipment</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3-10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Lab equipment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being depreciated over the shorter of their estimated useful lives or the lease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Company reviews long-lived assets, including property and equipment, for impairment whenever events or changes in business circumstances indicate that the carrying amount of an asset may not be fully recoverable. An impairment loss would be recognized when the estimated future cash flows from the use of the asset are less than the carrying amount of that asset. To date, there have been no such losses.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When a customer enters into a purchase agreement with the Company, the Company generally requires a deposit of 75 percent before it starts to source the component parts required for the production of its product. This deposit is recorded as deferred revenue within the Company's balance sheets until earned, which generally occurs upon the order being shipped.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Expense</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the year ended December 31, 2020, the Company executed two settlement agreements with opposing parties totaling approximately $908. This expense is included within general and administrative expenses within the Company’s consolidated statement of net loss for the year ended December 31, 2020. As of December 31, 2020, the Company owed these parties approximately $877, which is included within both 'accrued expenses and other current liabilities' and 'deferred revenue' within the consolidated balance sheet, as the amounts are due in full during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w:t>
      </w:r>
    </w:p>
    <w:p>
      <w:pPr>
        <w:spacing w:after="0" w:line="17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On January 1, 2020, the Company adopted the Financial Accounting Standards Board's (FASB) Accounting Standards Update (ASU) 2014-09, Revenue from Contracts with Customers (Topic 606), and all related amendments using the modified retroactive transition method. Under the modified retroactive transition method, the Company's 2019 financial statements continue to be accounted for under the FASB's Topic 605.</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adoption of Topic 606 did not have a significant impact on the Company's financial position or results of operations. There were no adjustments made to the Company's 2019 financial statements as a result of the adoption of Topic 606.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 - Prior to January 1, 2020</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recognizes revenue when it is realized or realizable and has been earned. Product revenue is recognized when persuasive evidence of an arrangement exists, the product has been delivered and legal title and all risks of ownership have been transferred, written contract and sales terms are complete, customer acceptance has occurred and payment is reasonably assured. Ownership on product sales is generally considered to have transferred upon shipment of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80"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2"/>
          <w:szCs w:val="22"/>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 - January 1, 2020 and After</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Company’s revenues are substantially generated through the sale of cannabis oil extraction industry equipment, and the related professional services such as installation of the equipment or training on use of equipment. Revenue is recognized when the Company satisfies its performance obligation(s) under the contract by transferring control of the promised product to its customer with the transfer of control generally determined based on the shipping terms of the contract. A performance obligation is a promise in a contract to transfer a distinct product to a customer. In all cases, this transfer of controls occurs at a point in time, upon shipment of the product.</w:t>
      </w:r>
    </w:p>
    <w:p>
      <w:pPr>
        <w:spacing w:after="0" w:line="13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Additionally, the Company generates revenues from providing services to customers over time, which include installation and training on equipment purchases. Revenue is recognized over time generally using the "as-invoiced" practical expedient.</w:t>
      </w:r>
    </w:p>
    <w:p>
      <w:pPr>
        <w:spacing w:after="0" w:line="1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periodically incurs commissions associated with equipment contracts executed with certain customers. Typically contracts do not extend over a year, as such the the Company has applied the practical expedient related to these costs.</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Revenue is measured as the amount of consideration the Company expects to receive in exchange for transferring products. The nature of the Company's contracts generally do not give rise to any notable amounts of variable consideration.</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contract's transaction price is allocated to each distinct performance obligation within the contract. Substantially all of the Company's contracts have a single performance obligation.</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Sales and other taxes collected from customers and remitted to governmental authorities are accounted for on a net (excluded from revenue) basis. The Company sells its products to customers throughout the United States. The nature, amount, timing or uncertainty of revenue and cash flows associated with those sales are not determined to be impacted by any cyclicality or seasonality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Research and development costs include the costs to acquire raw materials, processing costs, skilled labor salaries, outsourcing costs, and other costs associated with the development and testing of prototype products and are expensed as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17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generally offers warranties for manufacturing related claims. The Company estimates the costs that may be incurred under its basic limited warranty and records a liability in the amount of such estimated costs at the time revenue is recognized. The Company also records a liability for amounts anticipated based on the performance of an analysis of potential warranty incidents reported by customers.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warranty liability are as follows during the years ended December 31: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beginning of the year</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Warranty provision</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69</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claims paid</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Balances, end of the year</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69</w:t>
            </w:r>
          </w:p>
        </w:tc>
      </w:tr>
      <w:tr>
        <w:trPr>
          <w:trHeight w:val="20"/>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was organized in October 2011 as a limited liability company under the laws of the State of Michigan and initially elected to be treated as an S Corporation under the Internal Revenue Code instead of a partnership in order to maintain the pass through characteristics of a partnership without subjecting the owners to self-employment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80"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19"/>
          <w:szCs w:val="19"/>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197"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In February 2019, due to the Company receiving a capital investment from an organization that is owned by a foreign corporation, the Company no longer met the definition of a small business corporation, therefore resulting in the immediate termination of the Company's S corporation status effective on the date of the change in ownership. The Company is now classified as a C corporation, not a partnership, for income tax purposes, and is not eligible to make another S corporation election for a period of five years. As a result, the Company is required to record deferred income taxes effective as of the date of the revocation of its S election.</w:t>
      </w:r>
    </w:p>
    <w:p>
      <w:pPr>
        <w:spacing w:after="0" w:line="13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including tax loss and credit carryforwards,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deferred tax liabilities. Deferred tax assets are reduced by a valuation allowance when, in the opinion of management, it is more likely than not that some portion or all of the deferred tax assets will not be realized.</w:t>
      </w:r>
    </w:p>
    <w:p>
      <w:pPr>
        <w:spacing w:after="0" w:line="14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Tax effects from an uncertain tax position are recognized in the financial statements, only if the position is more likely than not to be sustained on audit, based on the technical merits of the position. For tax positions meeting the more likely than not threshold, the amount recognized in the financial statements is the largest benefit that has a greater than 50 percent likelihood of being realized, upon ultimate settlement with the relevant tax authority. The company determined that any and all of its uncertain tax positions would be sustained under examination by a relevant taxing authority. Accordingly, no liability has been recorded in the company's balance sheet. The Company's policy is to recognize interest and penalties related to income tax issues as a component of income tax expense.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advertising and promotion costs are charged to operations when incurred. Advertising and promotion expense was $250 and $288 for the years ended December 31, 2020 and 2019,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Effective January 1, 2020, the Company adopted FASB ASU 2016-02, Leases (Topic 842) which requires lessees to recognize most leases on the balance sheet that existed at or commenced after January 1, 2020. Adoption of this standard resulted in recognition of right-of-use (ROU) assets and lease liabilities. The Company elected the option under Topic 842 not to restate comparative periods in the transition and there was no impact to the Company's retained earnings as a result of the adoption. In addition, the Company elected the package of practical expedients permitted under the transition guidance within the new standard, which allowed it to carry forward the historical lease classification, costs, and components. Lastly, the Company accounts for short-term leases (i.e., lease term of 12 months or less) by making the short-term lease policy election and will not apply the recognition measurement requirements of ASC 842. Additional required disclosures for Topic 842 are contained in Note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80" w:right="359" w:bottom="1440" w:gutter="0" w:footer="0" w:header="0"/>
          <w:type w:val="continuous"/>
        </w:sectPr>
      </w:pPr>
    </w:p>
    <w:bookmarkStart w:id="33" w:name="page34"/>
    <w:bookmarkEnd w:id="33"/>
    <w:p>
      <w:pPr>
        <w:ind w:left="20"/>
        <w:spacing w:after="0"/>
        <w:rPr>
          <w:sz w:val="20"/>
          <w:szCs w:val="20"/>
          <w:color w:val="auto"/>
        </w:rPr>
      </w:pPr>
      <w:r>
        <w:rPr>
          <w:rFonts w:ascii="Arial" w:cs="Arial" w:eastAsia="Arial" w:hAnsi="Arial"/>
          <w:sz w:val="22"/>
          <w:szCs w:val="22"/>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2.</w:t>
            </w:r>
          </w:p>
        </w:tc>
        <w:tc>
          <w:tcPr>
            <w:tcW w:w="7860" w:type="dxa"/>
            <w:vAlign w:val="bottom"/>
          </w:tcPr>
          <w:p>
            <w:pPr>
              <w:ind w:left="500"/>
              <w:spacing w:after="0"/>
              <w:rPr>
                <w:sz w:val="20"/>
                <w:szCs w:val="20"/>
                <w:color w:val="auto"/>
              </w:rPr>
            </w:pPr>
            <w:r>
              <w:rPr>
                <w:rFonts w:ascii="Arial" w:cs="Arial" w:eastAsia="Arial" w:hAnsi="Arial"/>
                <w:sz w:val="18"/>
                <w:szCs w:val="18"/>
                <w:b w:val="1"/>
                <w:bCs w:val="1"/>
                <w:color w:val="auto"/>
              </w:rPr>
              <w:t>Property and Equipment, Net</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020" w:type="dxa"/>
            <w:vAlign w:val="bottom"/>
            <w:gridSpan w:val="2"/>
          </w:tcPr>
          <w:p>
            <w:pPr>
              <w:spacing w:after="0"/>
              <w:rPr>
                <w:sz w:val="20"/>
                <w:szCs w:val="20"/>
                <w:color w:val="auto"/>
              </w:rPr>
            </w:pPr>
            <w:r>
              <w:rPr>
                <w:rFonts w:ascii="Arial" w:cs="Arial" w:eastAsia="Arial" w:hAnsi="Arial"/>
                <w:sz w:val="18"/>
                <w:szCs w:val="18"/>
                <w:color w:val="auto"/>
              </w:rPr>
              <w:t>The major categories of property and equipment are summarized as follows at December 31:</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0" w:type="dxa"/>
            <w:vAlign w:val="bottom"/>
            <w:tcBorders>
              <w:bottom w:val="single" w:sz="8" w:color="CCEEFF"/>
            </w:tcBorders>
          </w:tcPr>
          <w:p>
            <w:pPr>
              <w:spacing w:after="0"/>
              <w:rPr>
                <w:sz w:val="24"/>
                <w:szCs w:val="24"/>
                <w:color w:val="auto"/>
              </w:rPr>
            </w:pPr>
          </w:p>
        </w:tc>
        <w:tc>
          <w:tcPr>
            <w:tcW w:w="78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Office and computer equipment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Lab equipment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Construction in progress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160" w:type="dxa"/>
            <w:vAlign w:val="bottom"/>
            <w:shd w:val="clear" w:color="auto" w:fill="CCEEFF"/>
          </w:tcPr>
          <w:p>
            <w:pPr>
              <w:spacing w:after="0"/>
              <w:rPr>
                <w:sz w:val="19"/>
                <w:szCs w:val="19"/>
                <w:color w:val="auto"/>
              </w:rPr>
            </w:pP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8"/>
        </w:trPr>
        <w:tc>
          <w:tcPr>
            <w:tcW w:w="16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property and equipment</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4"/>
              </w:rPr>
              <w:t>Depreciation expense was $216 and $206 for the years ended December 31, 2020 and 2019, respectively.</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02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3.</w:t>
            </w:r>
          </w:p>
        </w:tc>
        <w:tc>
          <w:tcPr>
            <w:tcW w:w="7860" w:type="dxa"/>
            <w:vAlign w:val="bottom"/>
          </w:tcPr>
          <w:p>
            <w:pPr>
              <w:ind w:left="500"/>
              <w:spacing w:after="0"/>
              <w:rPr>
                <w:sz w:val="20"/>
                <w:szCs w:val="20"/>
                <w:color w:val="auto"/>
              </w:rPr>
            </w:pPr>
            <w:r>
              <w:rPr>
                <w:rFonts w:ascii="Arial" w:cs="Arial" w:eastAsia="Arial" w:hAnsi="Arial"/>
                <w:sz w:val="18"/>
                <w:szCs w:val="18"/>
                <w:b w:val="1"/>
                <w:bCs w:val="1"/>
                <w:color w:val="auto"/>
              </w:rPr>
              <w:t>Accrued Expenses</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at December 31:</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0" w:type="dxa"/>
            <w:vAlign w:val="bottom"/>
            <w:tcBorders>
              <w:bottom w:val="single" w:sz="8" w:color="CCEEFF"/>
            </w:tcBorders>
          </w:tcPr>
          <w:p>
            <w:pPr>
              <w:spacing w:after="0"/>
              <w:rPr>
                <w:sz w:val="24"/>
                <w:szCs w:val="24"/>
                <w:color w:val="auto"/>
              </w:rPr>
            </w:pPr>
          </w:p>
        </w:tc>
        <w:tc>
          <w:tcPr>
            <w:tcW w:w="78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commissions</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Accrued interest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payroll and payroll taxes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Accrued rent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sales and withholding taxes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Accrued warranty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expense</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is the guarantor to a line of credit arrangement made available to the Company through a member of the Company. The line of credit allows for maximum borrowings which are subject to a borrowing base formula and an overall financial review of the Company. Borrowings, which accrue interest at a rate of 2.25 percent, did not exceed $750 during both the years ended December 31, 2020 and 2019. Amounts owed under the line of credit arrangement are due within 90 days of draw. As of December 31, 2020 and 2019, the amount outstanding under the line of credit to which the Company remained liable for as a result of their guaranty was $225 and $625, respectively, and is included within current maturities of long-term debt within the Company's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5.</w:t>
            </w:r>
          </w:p>
        </w:tc>
        <w:tc>
          <w:tcPr>
            <w:tcW w:w="7760" w:type="dxa"/>
            <w:vAlign w:val="bottom"/>
          </w:tcPr>
          <w:p>
            <w:pPr>
              <w:ind w:left="440"/>
              <w:spacing w:after="0"/>
              <w:rPr>
                <w:sz w:val="20"/>
                <w:szCs w:val="20"/>
                <w:color w:val="auto"/>
              </w:rPr>
            </w:pPr>
            <w:r>
              <w:rPr>
                <w:rFonts w:ascii="Arial" w:cs="Arial" w:eastAsia="Arial" w:hAnsi="Arial"/>
                <w:sz w:val="18"/>
                <w:szCs w:val="18"/>
                <w:b w:val="1"/>
                <w:bCs w:val="1"/>
                <w:color w:val="auto"/>
              </w:rPr>
              <w:t>Long-Term Debt</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798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 for the years ended December 31:</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76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r>
      <w:tr>
        <w:trPr>
          <w:trHeight w:val="229"/>
        </w:trPr>
        <w:tc>
          <w:tcPr>
            <w:tcW w:w="40" w:type="dxa"/>
            <w:vAlign w:val="bottom"/>
          </w:tcPr>
          <w:p>
            <w:pPr>
              <w:spacing w:after="0"/>
              <w:rPr>
                <w:sz w:val="19"/>
                <w:szCs w:val="19"/>
                <w:color w:val="auto"/>
              </w:rPr>
            </w:pPr>
          </w:p>
        </w:tc>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Paycheck Protection Program (PPP) loan payable</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U.S. Small Business Administration (SBA) loan payable</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4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portion of long-term debt</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4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Long-term portion</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80" w:right="339" w:bottom="1440" w:gutter="0" w:footer="0" w:header="0"/>
          <w:type w:val="continuous"/>
        </w:sectPr>
      </w:pPr>
    </w:p>
    <w:bookmarkStart w:id="34" w:name="page35"/>
    <w:bookmarkEnd w:id="34"/>
    <w:p>
      <w:pPr>
        <w:ind w:left="20"/>
        <w:spacing w:after="0"/>
        <w:rPr>
          <w:sz w:val="20"/>
          <w:szCs w:val="20"/>
          <w:color w:val="auto"/>
        </w:rPr>
      </w:pPr>
      <w:r>
        <w:rPr>
          <w:rFonts w:ascii="Arial" w:cs="Arial" w:eastAsia="Arial" w:hAnsi="Arial"/>
          <w:sz w:val="22"/>
          <w:szCs w:val="22"/>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Maturities of long-term debt are as follows for the years ending December 31, 2020:</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96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PPP loan forgiveness (2021)</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 Payable</w:t>
      </w:r>
    </w:p>
    <w:p>
      <w:pPr>
        <w:spacing w:after="0" w:line="17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On April 17, 2020, the Company received loan proceeds in the amount of $799 under the Paycheck Protection Program (PPP) which was established as part of the Coronavirus Aid, Relief and Economic Security (CARES) Act and is administered through the Small Business Administration (SBA). The PPP provides loans to qualifying businesses in amounts up to 2.5 times their average monthly payroll expenses and was designed to provide a direct financial incentive for qualifying businesses to keep their workforce employed during the Coronavirus crisis. PPP loans are uncollateralized and guaranteed by the SBA and are forgivable after a “covered period” (eight or twenty-four weeks) as long as the borrower maintains its payroll levels and uses the loan proceeds for eligible expenses, including payroll, benefits, mortgage interest, rent, and utilities. The forgiveness amount will be reduced if the borrower terminates employees or reduces salaries and wages more than 25 percent during the covered period. Any unforgiven portion is payable over two years if issued at an interest rate of 1 percent with payments deferred until the SBA remits the borrower’s loan forgiveness amount to the lender. PPP loan terms provide for customary events of default, including payment defaults, breaches of representations and warranties, and insolvency events and may be accelerated upon the occurrence of one or more of these events of default. Additionally, PPP loan terms do not include prepayment penalties.</w:t>
      </w:r>
    </w:p>
    <w:p>
      <w:pPr>
        <w:spacing w:after="0" w:line="11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met the PPP’s loan forgiveness requirements, and therefore, applied for forgiveness during January of 2021. When legal release is received, the Company will record the amount forgiven as forgiveness income within the other income section of its statement of operations. If any portion of the Company’s PPP loan is not forgiven, the Company will be required to repay that portion, plus interest, over 2 years in monthly installments with the repayment term beginning at the time that the SBA remits the amount forgiven to the Company’s lender.</w:t>
      </w:r>
    </w:p>
    <w:p>
      <w:pPr>
        <w:spacing w:after="0" w:line="11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SBA reserves the right to audit any PPP loan, regardless of size. These audits may occur after forgiveness has been granted. In accordance with the CARES Act, all borrowers are required to maintain their PPP loan documentation for six years after the PPP loan was forgiven or repaid in full and to provide that documentation to the SBA upon request. During August 2021, the Company was granted full forgiveness on the loan, at which time, the Company recognized $799 in 'gain on debt extinguishment' within the Company's consolidated statement of net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Small Business Administration (SBA) Loan Payable</w:t>
      </w:r>
    </w:p>
    <w:p>
      <w:pPr>
        <w:spacing w:after="0" w:line="17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July 1, 2020, the Company received loan proceeds in the amount of $160 from the SBA for alleviation of economic injury caused by the Coronavirus pandemic. The loan is collateralized by substantially all assets of the Company, and matures on July 1, 2050. Monthly payments of approximately $1, including interest at a rate of 3.75 percent annually, are required commencing on July 1, 2021 through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80"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22"/>
          <w:szCs w:val="22"/>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193"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conducts its operations from facilities leased under operating lease agreements through 2023. The facilities do not include renewal options.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rent expense was $194 and $191 for the years ended December 31, 2020 and 2019,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The following table summarizes the ROU lease assets and liabilities as of December 31, 2020:</w:t>
            </w: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89"/>
        </w:trPr>
        <w:tc>
          <w:tcPr>
            <w:tcW w:w="81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operating expenses</w:t>
            </w:r>
          </w:p>
        </w:tc>
        <w:tc>
          <w:tcPr>
            <w:tcW w:w="20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0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2.03</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20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r>
    </w:tbl>
    <w:p>
      <w:pPr>
        <w:spacing w:after="0" w:line="24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is a summary by year of scheduled future minimum payments on non-cancelable operating leases with initial or remaining lease terms in excess of one year as of December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color w:val="auto"/>
              </w:rPr>
              <w:t>Total undiscounted lease payments</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80"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9"/>
          <w:szCs w:val="19"/>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19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Agreement and Membership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operating agreement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Membership Units</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has one class of membership units, with 60,000,000 amount of these units authorized for issuance. As of both December 31, 2020 and 2019, 34,500,000 of these units were issued between the members and another 1,500,000 units were reserved for issuance under an employee equity appreciation rights plan, as further described within Note 8.</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During 2019, in conjunction with the issuance of 4,500,000 of units, certain warrants were issued which entitled the holder of these warrants to purchase an additional 3,375,000 units at a purchase price of $5,000. These warrants, which were issued on February 15, 2019, expired unexercised upon their six month anniversary on August 15, 2019. Upon issuance, the equity contribution associated with the issuance of the aforementioned units and warrants was allocated between these equity instruments based on their respective fair values and was collectively presented as contributed capital within the Company's consolidated statement of members' equity (deficit) for the year ended December 31,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No additional capital contributions are required outside of the initial capital contribution made by each member. If additional capital contributions are deemed necessary in connection with the conduct of the Company’s business, then the members will have the opportunity to participate in such additional capital contributions on a pro rata basis in accordance with their respective distributive shares.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will distribute to the members the net profit of the Company in accordance with the members distributive shares. No distribution will be declared and paid unless, after the distribution is made, the Company would be able to pay its debts as they become due in the usual course of business and the assets of the Company are in excess of the sum of the Company’s liabilities and amount would be needed to satisfy the preferential rights of other members. During both the years ended December 31, 2020 and 2019, no distributions were made..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Liability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members have no personal liability for liabilities or obligations of the Company except to the extent of their capital account.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Profits and Losses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Profits and losses are allocated in accordance with the operating agreement. Losses are allocated first to members with unrepaid capital contribution until reduced to zero, then in pro rata to the members in proportion to their respective distributive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4,500,000 units issued during 2019 contain a mandatory redemption clause which, upon occurrence of an event of default, provides the holder of these units the option to require the Company to redeem all of the units held by that holder at their redemption price upon date of exercise of this redemption clause. The redemption price, as defined within the related agreement, effectively represents the fair value of the Company divided by the total number of units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80" w:right="359" w:bottom="1440" w:gutter="0" w:footer="0" w:header="0"/>
          <w:type w:val="continuous"/>
        </w:sectPr>
      </w:pPr>
    </w:p>
    <w:bookmarkStart w:id="37" w:name="page38"/>
    <w:bookmarkEnd w:id="37"/>
    <w:p>
      <w:pPr>
        <w:ind w:left="20"/>
        <w:spacing w:after="0"/>
        <w:rPr>
          <w:sz w:val="20"/>
          <w:szCs w:val="20"/>
          <w:color w:val="auto"/>
        </w:rPr>
      </w:pPr>
      <w:r>
        <w:rPr>
          <w:rFonts w:ascii="Arial" w:cs="Arial" w:eastAsia="Arial" w:hAnsi="Arial"/>
          <w:sz w:val="22"/>
          <w:szCs w:val="22"/>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19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Equity Appreciation Rights Plan</w:t>
      </w:r>
    </w:p>
    <w:p>
      <w:pPr>
        <w:spacing w:after="0" w:line="17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has an Equity Appreciation Rights Plan (the Plan) which provides incentive compensation to certain key employees of the Company. Under the terms of the Plan, the Company may issue up to 15,000,000 equity appreciation rights which each represent 1/10th of a membership unit. As of December 31, 2020 and 2019, 1,000,000 and 2,455,000 membership units, respectively, were outstanding under the Plan. The equity appreciation rights generally vest 25 percent per year over a period of four years. As of December 31, 2020 and 2019, approximately 623,000 and 498,000 membership units, respectively, were vested under the Plan. Vested and unvested equity appreciation rights become forfeited upon termination of employment. The equity appreciation rights become exercisable and are automatically exercised upon the occurrence of a liquidity event, defined primarily as the sale of all or substantially all of the Company, or upon a public offering (collectively referred to as the performance conditions). Upon the occurrence of a liquidity event, all unvested equity appreciation rights are forfeited and the Company will be obligated to pay participants of the Plan, in cash, an amount equal to the appreciation of the issued rights for all vested rights. Upon the occurrence of a public offering, the Company shall be obligated to issue to participants of the Plan a number of newly issued ownership interests in the publicly traded entity equal to the appreciation of the issued rights for all vested rights. These equity appreciation rights are not transferable and may require cash settlement. As of both December 31, 2020 and 2019, neither a liquidity event nor a public offering were deemed probable to occur and thus the equity appreciation rights are being treated as an equity instrument. As the performance conditions are not probable however, no compensation expense was recorded in relation to the outstanding vested rights as of both December 31, 2020 and 2019.</w:t>
      </w:r>
    </w:p>
    <w:p>
      <w:pPr>
        <w:spacing w:after="0" w:line="126"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income tax provision included in the consolidated statements of loss are detailed as follows for the year ended December 31: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deferred income tax benefit (expense)</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r>
      <w:tr>
        <w:trPr>
          <w:trHeight w:val="20"/>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Deferred income taxes result from temporary differences between the reporting of amounts for financial statement purposes and income tax purposes. The components of deferred tax assets and liabilities as reflected on the consolidated balance sheets consist of the following at December 31: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Net operating losses, federal</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losses, state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warranty expense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Inventory reserve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481 adjustment</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deferred income tax assets</w:t>
            </w: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Net deferred income tax assets</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80"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19"/>
          <w:szCs w:val="19"/>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December 31, 2020, the Company had approximately $4,043 of net operating loss carryforwards for federal income tax purposes and approximately $1,123 of net operating loss carryforwards for state income tax purposes, which are available indefinitely. A valuation allowance indicates that it has been estimated to be more likely than not that the Company will not fully realize the benefit of net operating losses and other tax carryforwards. As of December 31, 2019, no valuation allowance was deemed necessary for deferred tax assets. Due to the continued losses experienced by the Company during 2020 however, and as a result of the subsequent acquisition of the Company by Agrify Corporation (refer to Note 11) which limits the Company's ability to realize the benefit of these net operating losses, a valuation allowance of approximately $2,073 was recorded as of December 31, 2020 against deferred income tax assets that are not more likely than not to be realized in future periods.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penalties or interest recognized or accrued at year-end. The Company files a federal and various state income tax returns.</w:t>
      </w:r>
    </w:p>
    <w:p>
      <w:pPr>
        <w:spacing w:after="0" w:line="167"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Plans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contemplate the continuation of the Company as a going concern. The consolidated financial statements do not include any adjustments relating to any of the foregoing uncertainties. The Company sustained net losses of approximately $5,200 and $3,200 for the years ended December 31, 2020 and December 31, 2019, respectively. Additionally, the Company has negative cash flow from operations of approximately $1,700 and $2,800 for the respective years ending.</w:t>
      </w:r>
    </w:p>
    <w:p>
      <w:pPr>
        <w:spacing w:after="0" w:line="13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2020, the Company experienced a decline in sales due to conditions stemming from the Coronavirus pandemic. During the first two of months of 2020, the Company experienced positive sales growth, however, once the pandemic was underway, mid-March 2020, extraction labs experienced substantial delays in permit approval due to local and state government shutdowns. These shutdowns resulted in the permit approval process elongating from several weeks to months, causing a direct delay to the Company’s sales cycle. Despite sustained demand for the Company’s products, customers were not able to order at historical cadences due to the regulatory disruptions caused by the pandemic.</w:t>
      </w:r>
    </w:p>
    <w:p>
      <w:pPr>
        <w:spacing w:after="0" w:line="1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Additionally, the industrial hemp and cannabis markets experienced a substantial downward shift in price at the end of 2019 and beginning of 2020, due to domestic oversupply and international products entering the market. The Company’s sales were affected in the short-term until the oversupply of product was corrected. These pricing factors, as well as uncertainties relating to the Company’s ongoing operations in light of the Coronavirus pandemic create uncertainty about the Company’s ability to continue as a going concern. Management of the Company has evaluated these conditions and implemented the following plans.</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in the process of implementing a strategic sales and cost saving plan (the Plan) in order to achieve their 2021 projections for the year ended December 31, 2021. The Plan includes a significant decrease in spending on research and development activities, as well as a formal Company restructuring that lead to a decrease in employee headcount to only the necessary staff to carry out daily operations. By implementing the Plan, the Company is estimating to generate an excess of $6,800 in cash flows, which will be utilized to fund the Company’s short term debt obligations coming due within the next year of approximately $5,300.</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during January 2021, the Company was able to secure a revenue-based financing loan from a financial institution with maximum borrowings of $3,000, as well as secured a second PPP loan in the amount of $799; refer to note 11. These new debt obligations will provide additional liquidity during 2021 to fund the Company’s short-term obligations.</w:t>
      </w:r>
    </w:p>
    <w:p>
      <w:pPr>
        <w:spacing w:after="0" w:line="13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Finally, Agrify Corporation, the ultimate parent to the Company subsequent to the acquisition further described in Note 11, has pledged support to provide the Company with the ability to meet its financial obligation through December 8, 2022. Without the continued support of Agrify Corporation, the Company may not be 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180" w:right="379" w:bottom="1440" w:gutter="0" w:footer="0" w:header="0"/>
          <w:type w:val="continuous"/>
        </w:sectPr>
      </w:pPr>
    </w:p>
    <w:bookmarkStart w:id="39" w:name="page40"/>
    <w:bookmarkEnd w:id="39"/>
    <w:p>
      <w:pPr>
        <w:ind w:left="20"/>
        <w:spacing w:after="0"/>
        <w:rPr>
          <w:sz w:val="20"/>
          <w:szCs w:val="20"/>
          <w:color w:val="auto"/>
        </w:rPr>
      </w:pPr>
      <w:r>
        <w:rPr>
          <w:rFonts w:ascii="Arial" w:cs="Arial" w:eastAsia="Arial" w:hAnsi="Arial"/>
          <w:sz w:val="19"/>
          <w:szCs w:val="19"/>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193"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Management has evaluated the impact of all subsequent events occurring through December 8, 2021, the date the consolidated financial statements were available to be issued for events requiring recording or disclosure in the Company’s consolidated financial statements.</w:t>
      </w:r>
    </w:p>
    <w:p>
      <w:pPr>
        <w:spacing w:after="0" w:line="11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January 14, 2021, the Company was granted a loan in the principal amount of $1,500 from a financial institution, with maximum borrowings of $3,000. The loan is evidenced by a promissory note, and bears interest at a variable rate specified within the agreement. Monthly payments are required based on the amount advanced and a percentage of monthly revenues. The loan is scheduled to mature on October 14, 2025.</w:t>
      </w:r>
    </w:p>
    <w:p>
      <w:pPr>
        <w:spacing w:after="0" w:line="1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January 17, 2021, the Company was granted a loan in the principal amount of $799 pursuant to the PPP under the CARES Act. The loan is evidenced by a promissory note, and bears interest at the rate of 1.00 percent per annum. After a ten-month deferral period, the loan is payable over the life of the loan which matures on January 17, 2026. Loan recipients may apply for and receive loan forgiveness for all or a portion of the loans based on meeting certain requirements related to payroll costs, employee retention, employee wage levels, rent, and utilities, as described in the CARES Act and other implementation guidance and forms issued by the U.S. Small Business Administration. During August 2021, the Company was granted full forgiveness on the loan, at which time, the Company recognized $799 in 'gain on debt extinguishment' within the Company's consolidated statement of net loss.</w:t>
      </w:r>
    </w:p>
    <w:p>
      <w:pPr>
        <w:spacing w:after="0" w:line="1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During June 2021, the Company executed a merger with Cascade Sciences, LLC (Cascade) which was conducted through a newly created holding company (Sinclair Scientific). Upon the closing of this merger transaction, the members of Cascade exchanged their outstanding ownership units in Cascade for 20,000,000 common units in Sinclair Scientific, representing 40 percent of the issued and outstanding common units of Sinclair Scientific. Occurring concurrently with this contribution and exchange transaction executed by the members of Cascade, the members of the Company exchanged their outstanding ownership units in the Company for 30,000,000 common units in Sinclair Scientific representing 60 percent of the issued and outstanding common units of Sinclair Scientific. As both the Company and Cascade had outstanding PPP loan obligations as of the closing of this merger transaction, only 49 percent of the outstanding units in the Company and Cascade was initially contributed to Sinclair Scientific in exchange for the aforementioned common units in Sinclair Scientific. Upon forgiveness of the outstanding PPP loan obligations being obtained, the remaining 51 percent outstanding ownership of the Company and Cascade was transferred and contributed to Sinclair Scientific.</w:t>
      </w:r>
    </w:p>
    <w:p>
      <w:pPr>
        <w:spacing w:after="0" w:line="1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August 2021, Sinclair Scientific established an employee equity incentive bonus plan (the incentive plan) which provides incentive compensation to certain key employees of Sinclair Scientific and replaced the previously existing equity appreciation rights plan further described within Note 8. Under the terms of the incentive plan, Sinclair Scientific may issue up to 2,500,000 rights units which each represent one common unit. As of October 1, 2021, the date of Sinclair Scientific’s subsequent acquisition by Agrify Corporation, as further described below, 1,473,000 rights units were outstanding under the Plan, 1,011,000 of which were issued to the Company’s employees while the remaining 462,000 rights units were issued to Cascade’s employees. The rights units generally vest 25 percent per year over a period of four years. As of October 1, 2021, 1,161,000 rights units were considered fully vested. Vested and unvested rights units become forfeited upon termination of employment. The vested rights units become exercisable and are automatically exercised upon the occurrence of a liquidity event, defined primarily as the sale of all or substantially all of the Company (referred to as the performance condition). Upon the occurrence of a liquidity event, all unvested rights units are forfeited and Sinclair Scientific shall be obligated to exchange the fair market value of the vested rights units for the equivalent fair market value of either cash, stock in the acquiring company, or a combination of cash and stock in the acquiring company. As these rights units had not been granted as of December 31, 2020 and 2019, no compensation expense was recorded in relation to the Plan as of both December 31, 2020 and 2019.</w:t>
      </w:r>
    </w:p>
    <w:p>
      <w:pPr>
        <w:spacing w:after="0" w:line="1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September 29, 2021, Sinclair Scientific (the Company's newly formed holding company), together with its wholly-owned subsidiaries of the Company and Cascade, and the equity holders of Sinclair Scientific named therein (collectively, the Sinclair Members) entered into a Plan Merger and Equity Purchase Agreement, as amended on October 1, 2021 (the purchase agreement) with Agrify Corporation (Agrify). Subject to the terms and conditions set forth in the purchase agreement, Sinclair transferred to Agrify, and Agrify purchased (the interest purchase)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80" w:right="339" w:bottom="1440" w:gutter="0" w:footer="0" w:header="0"/>
          <w:type w:val="continuous"/>
        </w:sectPr>
      </w:pPr>
    </w:p>
    <w:bookmarkStart w:id="40" w:name="page41"/>
    <w:bookmarkEnd w:id="40"/>
    <w:p>
      <w:pPr>
        <w:ind w:left="20"/>
        <w:spacing w:after="0"/>
        <w:rPr>
          <w:sz w:val="20"/>
          <w:szCs w:val="20"/>
          <w:color w:val="auto"/>
        </w:rPr>
      </w:pPr>
      <w:r>
        <w:rPr>
          <w:rFonts w:ascii="Arial" w:cs="Arial" w:eastAsia="Arial" w:hAnsi="Arial"/>
          <w:sz w:val="19"/>
          <w:szCs w:val="19"/>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unit amounts)</w:t>
      </w:r>
    </w:p>
    <w:p>
      <w:pPr>
        <w:spacing w:after="0" w:line="19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Sinclair 100 percent of the equity interests of Cascade, such that immediately after the consummation of the interest purchase, Cascade became a wholly-owned subsidiary of Agrify, and the Company merged (the merger) with and into a newly-formed wholly-owned subsidiary of Agrify, Precision Extraction NewCo, LLC.</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aggregate consideration for the interest purchase and the merger consisted of: (a) the sum of $30,000, plus consideration payable to holders of outstanding Sinclair Scientific equity awards issued under the aforementioned incentive plan, subject to certain adjustments for working capital, cash, and indebtedness, payable in connection with the interest purchase; (b) the number of shares of Agrify’s common stock, subject to adjustment, equal to the quotient of (i) $20,000 divided by (ii) the volume-weighted average price per share of the Agrify’s common stock on The Nasdaq Capital Market for the 30 consecutive trading days ending on the Execution Date (the VWAP Price), issuable in connection with the Merger; and (c) the True-Up Buyer Shares, if any (as defined below), issuable in connection with the merger.</w:t>
      </w:r>
    </w:p>
    <w:p>
      <w:pPr>
        <w:spacing w:after="0" w:line="13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purchase agreement includes customary post-closing adjustments, representations and warranties and covenants of the parties. The Sinclair members may become entitled to additional shares of Agrify’s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 However, in no event shall the aggregate purchase price paid by the Company pursuant to the terms of the Purchase Agreement, taking into account any Aggregate True-Up Payment in favor of the members, exceed $65,000.</w:t>
      </w:r>
    </w:p>
    <w:p>
      <w:pPr>
        <w:spacing w:after="0" w:line="10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Because the aforementioned transactions occurred subsequent to December 31, 2020, unless otherwise stated within the Notes to the Company’s consolidated financial statements, these transactions did not have any impact on the Company’s consolidated financial statements as of December 31, 2020. Both Sinclair Scientific and Agrify are currently in the process of valuing the fair value of acquired assets and liabilities assumed in relation to these transactions. It is therefore currently impractical to disclose a preliminary purchase price allocation in relation to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80" w:right="35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20"/>
        <w:spacing w:after="0"/>
        <w:rPr>
          <w:sz w:val="20"/>
          <w:szCs w:val="20"/>
          <w:color w:val="auto"/>
        </w:rPr>
      </w:pPr>
      <w:r>
        <w:rPr>
          <w:rFonts w:ascii="Arial" w:cs="Arial" w:eastAsia="Arial" w:hAnsi="Arial"/>
          <w:sz w:val="31"/>
          <w:szCs w:val="31"/>
          <w:b w:val="1"/>
          <w:bCs w:val="1"/>
          <w:color w:val="auto"/>
        </w:rPr>
        <w:t>Cascade Sciences, LLC</w:t>
      </w:r>
    </w:p>
    <w:p>
      <w:pPr>
        <w:spacing w:after="0" w:line="246" w:lineRule="exact"/>
        <w:rPr>
          <w:sz w:val="20"/>
          <w:szCs w:val="20"/>
          <w:color w:val="auto"/>
        </w:rPr>
      </w:pPr>
    </w:p>
    <w:p>
      <w:pPr>
        <w:jc w:val="center"/>
        <w:ind w:right="1120"/>
        <w:spacing w:after="0"/>
        <w:rPr>
          <w:sz w:val="20"/>
          <w:szCs w:val="20"/>
          <w:color w:val="auto"/>
        </w:rPr>
      </w:pPr>
      <w:r>
        <w:rPr>
          <w:rFonts w:ascii="Arial" w:cs="Arial" w:eastAsia="Arial" w:hAnsi="Arial"/>
          <w:sz w:val="25"/>
          <w:szCs w:val="25"/>
          <w:color w:val="auto"/>
        </w:rPr>
        <w:t>Unaudited Financial Statements</w:t>
      </w:r>
    </w:p>
    <w:p>
      <w:pPr>
        <w:spacing w:after="0" w:line="172" w:lineRule="exact"/>
        <w:rPr>
          <w:sz w:val="20"/>
          <w:szCs w:val="20"/>
          <w:color w:val="auto"/>
        </w:rPr>
      </w:pPr>
    </w:p>
    <w:p>
      <w:pPr>
        <w:jc w:val="center"/>
        <w:ind w:right="1120"/>
        <w:spacing w:after="0"/>
        <w:rPr>
          <w:sz w:val="20"/>
          <w:szCs w:val="20"/>
          <w:color w:val="auto"/>
        </w:rPr>
      </w:pPr>
      <w:r>
        <w:rPr>
          <w:rFonts w:ascii="Arial" w:cs="Arial" w:eastAsia="Arial" w:hAnsi="Arial"/>
          <w:sz w:val="25"/>
          <w:szCs w:val="25"/>
          <w:color w:val="auto"/>
        </w:rPr>
        <w:t>As of September 30, 2021</w:t>
      </w:r>
    </w:p>
    <w:p>
      <w:pPr>
        <w:sectPr>
          <w:pgSz w:w="11900" w:h="16838" w:orient="portrait"/>
          <w:cols w:equalWidth="0" w:num="1">
            <w:col w:w="10120"/>
          </w:cols>
          <w:pgMar w:left="1440" w:top="108"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22"/>
          <w:szCs w:val="22"/>
          <w:b w:val="1"/>
          <w:bCs w:val="1"/>
          <w:color w:val="auto"/>
        </w:rPr>
        <w:t>Cascade Sciences,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060" w:type="dxa"/>
            <w:vAlign w:val="bottom"/>
            <w:vMerge w:val="restart"/>
          </w:tcPr>
          <w:p>
            <w:pPr>
              <w:spacing w:after="0"/>
              <w:rPr>
                <w:sz w:val="20"/>
                <w:szCs w:val="20"/>
                <w:color w:val="auto"/>
              </w:rPr>
            </w:pPr>
            <w:r>
              <w:rPr>
                <w:rFonts w:ascii="Arial" w:cs="Arial" w:eastAsia="Arial" w:hAnsi="Arial"/>
                <w:sz w:val="18"/>
                <w:szCs w:val="18"/>
                <w:b w:val="1"/>
                <w:bCs w:val="1"/>
                <w:color w:val="auto"/>
              </w:rPr>
              <w:t>Financial Statements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09"/>
        </w:trPr>
        <w:tc>
          <w:tcPr>
            <w:tcW w:w="100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60" w:type="dxa"/>
            <w:vAlign w:val="bottom"/>
          </w:tcPr>
          <w:p>
            <w:pPr>
              <w:ind w:left="160"/>
              <w:spacing w:after="0"/>
              <w:rPr>
                <w:rFonts w:ascii="Arial" w:cs="Arial" w:eastAsia="Arial" w:hAnsi="Arial"/>
                <w:sz w:val="18"/>
                <w:szCs w:val="18"/>
                <w:color w:val="auto"/>
              </w:rPr>
            </w:pPr>
            <w:hyperlink w:anchor="page43">
              <w:r>
                <w:rPr>
                  <w:rFonts w:ascii="Arial" w:cs="Arial" w:eastAsia="Arial" w:hAnsi="Arial"/>
                  <w:sz w:val="18"/>
                  <w:szCs w:val="18"/>
                  <w:color w:val="auto"/>
                </w:rPr>
                <w:t>Balance Sheets</w:t>
              </w:r>
            </w:hyperlink>
          </w:p>
        </w:tc>
        <w:tc>
          <w:tcPr>
            <w:tcW w:w="1160" w:type="dxa"/>
            <w:vAlign w:val="bottom"/>
          </w:tcPr>
          <w:p>
            <w:pPr>
              <w:jc w:val="center"/>
              <w:spacing w:after="0"/>
              <w:rPr>
                <w:rFonts w:ascii="Arial" w:cs="Arial" w:eastAsia="Arial" w:hAnsi="Arial"/>
                <w:sz w:val="18"/>
                <w:szCs w:val="18"/>
                <w:color w:val="auto"/>
                <w:w w:val="79"/>
              </w:rPr>
            </w:pPr>
            <w:hyperlink w:anchor="page43">
              <w:r>
                <w:rPr>
                  <w:rFonts w:ascii="Arial" w:cs="Arial" w:eastAsia="Arial" w:hAnsi="Arial"/>
                  <w:sz w:val="18"/>
                  <w:szCs w:val="18"/>
                  <w:color w:val="auto"/>
                  <w:w w:val="79"/>
                </w:rPr>
                <w:t>1</w:t>
              </w:r>
            </w:hyperlink>
          </w:p>
        </w:tc>
        <w:tc>
          <w:tcPr>
            <w:tcW w:w="0" w:type="dxa"/>
            <w:vAlign w:val="bottom"/>
          </w:tcPr>
          <w:p>
            <w:pPr>
              <w:spacing w:after="0"/>
              <w:rPr>
                <w:sz w:val="1"/>
                <w:szCs w:val="1"/>
                <w:color w:val="auto"/>
              </w:rPr>
            </w:pPr>
          </w:p>
        </w:tc>
      </w:tr>
      <w:tr>
        <w:trPr>
          <w:trHeight w:val="229"/>
        </w:trPr>
        <w:tc>
          <w:tcPr>
            <w:tcW w:w="10060" w:type="dxa"/>
            <w:vAlign w:val="bottom"/>
          </w:tcPr>
          <w:p>
            <w:pPr>
              <w:ind w:left="160"/>
              <w:spacing w:after="0"/>
              <w:rPr>
                <w:rFonts w:ascii="Arial" w:cs="Arial" w:eastAsia="Arial" w:hAnsi="Arial"/>
                <w:sz w:val="18"/>
                <w:szCs w:val="18"/>
                <w:color w:val="auto"/>
              </w:rPr>
            </w:pPr>
            <w:hyperlink w:anchor="page44">
              <w:r>
                <w:rPr>
                  <w:rFonts w:ascii="Arial" w:cs="Arial" w:eastAsia="Arial" w:hAnsi="Arial"/>
                  <w:sz w:val="18"/>
                  <w:szCs w:val="18"/>
                  <w:color w:val="auto"/>
                </w:rPr>
                <w:t>Statements of (Loss) Income and Members’ Equity</w:t>
              </w:r>
            </w:hyperlink>
          </w:p>
        </w:tc>
        <w:tc>
          <w:tcPr>
            <w:tcW w:w="1160" w:type="dxa"/>
            <w:vAlign w:val="bottom"/>
          </w:tcPr>
          <w:p>
            <w:pPr>
              <w:jc w:val="center"/>
              <w:spacing w:after="0"/>
              <w:rPr>
                <w:rFonts w:ascii="Arial" w:cs="Arial" w:eastAsia="Arial" w:hAnsi="Arial"/>
                <w:sz w:val="18"/>
                <w:szCs w:val="18"/>
                <w:color w:val="auto"/>
                <w:w w:val="79"/>
              </w:rPr>
            </w:pPr>
            <w:hyperlink w:anchor="page44">
              <w:r>
                <w:rPr>
                  <w:rFonts w:ascii="Arial" w:cs="Arial" w:eastAsia="Arial" w:hAnsi="Arial"/>
                  <w:sz w:val="18"/>
                  <w:szCs w:val="18"/>
                  <w:color w:val="auto"/>
                  <w:w w:val="79"/>
                </w:rPr>
                <w:t>2</w:t>
              </w:r>
            </w:hyperlink>
          </w:p>
        </w:tc>
        <w:tc>
          <w:tcPr>
            <w:tcW w:w="0" w:type="dxa"/>
            <w:vAlign w:val="bottom"/>
          </w:tcPr>
          <w:p>
            <w:pPr>
              <w:spacing w:after="0"/>
              <w:rPr>
                <w:sz w:val="1"/>
                <w:szCs w:val="1"/>
                <w:color w:val="auto"/>
              </w:rPr>
            </w:pPr>
          </w:p>
        </w:tc>
      </w:tr>
      <w:tr>
        <w:trPr>
          <w:trHeight w:val="229"/>
        </w:trPr>
        <w:tc>
          <w:tcPr>
            <w:tcW w:w="10060" w:type="dxa"/>
            <w:vAlign w:val="bottom"/>
          </w:tcPr>
          <w:p>
            <w:pPr>
              <w:ind w:left="160"/>
              <w:spacing w:after="0"/>
              <w:rPr>
                <w:rFonts w:ascii="Arial" w:cs="Arial" w:eastAsia="Arial" w:hAnsi="Arial"/>
                <w:sz w:val="18"/>
                <w:szCs w:val="18"/>
                <w:color w:val="auto"/>
              </w:rPr>
            </w:pPr>
            <w:hyperlink w:anchor="page45">
              <w:r>
                <w:rPr>
                  <w:rFonts w:ascii="Arial" w:cs="Arial" w:eastAsia="Arial" w:hAnsi="Arial"/>
                  <w:sz w:val="18"/>
                  <w:szCs w:val="18"/>
                  <w:color w:val="auto"/>
                </w:rPr>
                <w:t>Statements of Cash Flows</w:t>
              </w:r>
            </w:hyperlink>
          </w:p>
        </w:tc>
        <w:tc>
          <w:tcPr>
            <w:tcW w:w="1160" w:type="dxa"/>
            <w:vAlign w:val="bottom"/>
          </w:tcPr>
          <w:p>
            <w:pPr>
              <w:jc w:val="center"/>
              <w:spacing w:after="0"/>
              <w:rPr>
                <w:rFonts w:ascii="Arial" w:cs="Arial" w:eastAsia="Arial" w:hAnsi="Arial"/>
                <w:sz w:val="18"/>
                <w:szCs w:val="18"/>
                <w:color w:val="auto"/>
                <w:w w:val="79"/>
              </w:rPr>
            </w:pPr>
            <w:hyperlink w:anchor="page45">
              <w:r>
                <w:rPr>
                  <w:rFonts w:ascii="Arial" w:cs="Arial" w:eastAsia="Arial" w:hAnsi="Arial"/>
                  <w:sz w:val="18"/>
                  <w:szCs w:val="18"/>
                  <w:color w:val="auto"/>
                  <w:w w:val="79"/>
                </w:rPr>
                <w:t>3</w:t>
              </w:r>
            </w:hyperlink>
          </w:p>
        </w:tc>
        <w:tc>
          <w:tcPr>
            <w:tcW w:w="0" w:type="dxa"/>
            <w:vAlign w:val="bottom"/>
          </w:tcPr>
          <w:p>
            <w:pPr>
              <w:spacing w:after="0"/>
              <w:rPr>
                <w:sz w:val="1"/>
                <w:szCs w:val="1"/>
                <w:color w:val="auto"/>
              </w:rPr>
            </w:pPr>
          </w:p>
        </w:tc>
      </w:tr>
      <w:tr>
        <w:trPr>
          <w:trHeight w:val="230"/>
        </w:trPr>
        <w:tc>
          <w:tcPr>
            <w:tcW w:w="10060" w:type="dxa"/>
            <w:vAlign w:val="bottom"/>
          </w:tcPr>
          <w:p>
            <w:pPr>
              <w:ind w:left="160"/>
              <w:spacing w:after="0"/>
              <w:rPr>
                <w:rFonts w:ascii="Arial" w:cs="Arial" w:eastAsia="Arial" w:hAnsi="Arial"/>
                <w:sz w:val="18"/>
                <w:szCs w:val="18"/>
                <w:color w:val="auto"/>
              </w:rPr>
            </w:pPr>
            <w:hyperlink w:anchor="page46">
              <w:r>
                <w:rPr>
                  <w:rFonts w:ascii="Arial" w:cs="Arial" w:eastAsia="Arial" w:hAnsi="Arial"/>
                  <w:sz w:val="18"/>
                  <w:szCs w:val="18"/>
                  <w:color w:val="auto"/>
                </w:rPr>
                <w:t>Notes to Financial Statements</w:t>
              </w:r>
            </w:hyperlink>
          </w:p>
        </w:tc>
        <w:tc>
          <w:tcPr>
            <w:tcW w:w="1160" w:type="dxa"/>
            <w:vAlign w:val="bottom"/>
          </w:tcPr>
          <w:p>
            <w:pPr>
              <w:jc w:val="center"/>
              <w:spacing w:after="0"/>
              <w:rPr>
                <w:rFonts w:ascii="Arial" w:cs="Arial" w:eastAsia="Arial" w:hAnsi="Arial"/>
                <w:sz w:val="18"/>
                <w:szCs w:val="18"/>
                <w:color w:val="auto"/>
                <w:w w:val="79"/>
              </w:rPr>
            </w:pPr>
            <w:hyperlink w:anchor="page46">
              <w:r>
                <w:rPr>
                  <w:rFonts w:ascii="Arial" w:cs="Arial" w:eastAsia="Arial" w:hAnsi="Arial"/>
                  <w:sz w:val="18"/>
                  <w:szCs w:val="18"/>
                  <w:color w:val="auto"/>
                  <w:w w:val="79"/>
                </w:rPr>
                <w:t>4</w:t>
              </w:r>
            </w:hyperlink>
          </w:p>
        </w:tc>
        <w:tc>
          <w:tcPr>
            <w:tcW w:w="0" w:type="dxa"/>
            <w:vAlign w:val="bottom"/>
          </w:tcPr>
          <w:p>
            <w:pPr>
              <w:spacing w:after="0"/>
              <w:rPr>
                <w:sz w:val="1"/>
                <w:szCs w:val="1"/>
                <w:color w:val="auto"/>
              </w:rPr>
            </w:pPr>
          </w:p>
        </w:tc>
      </w:tr>
    </w:tbl>
    <w:p>
      <w:pPr>
        <w:sectPr>
          <w:pgSz w:w="11900" w:h="16838" w:orient="portrait"/>
          <w:cols w:equalWidth="0" w:num="1">
            <w:col w:w="11240"/>
          </w:cols>
          <w:pgMar w:left="320" w:top="180" w:right="339" w:bottom="1440" w:gutter="0" w:footer="0" w:header="0"/>
        </w:sectPr>
      </w:pPr>
    </w:p>
    <w:bookmarkStart w:id="43" w:name="page44"/>
    <w:bookmarkEnd w:id="43"/>
    <w:p>
      <w:pPr>
        <w:ind w:left="20"/>
        <w:spacing w:after="0"/>
        <w:rPr>
          <w:sz w:val="20"/>
          <w:szCs w:val="20"/>
          <w:color w:val="auto"/>
        </w:rPr>
      </w:pPr>
      <w:r>
        <w:rPr>
          <w:rFonts w:ascii="Arial" w:cs="Arial" w:eastAsia="Arial" w:hAnsi="Arial"/>
          <w:sz w:val="22"/>
          <w:szCs w:val="22"/>
          <w:b w:val="1"/>
          <w:bCs w:val="1"/>
          <w:color w:val="auto"/>
        </w:rPr>
        <w:t>Cascade Sciences,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3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2"/>
              <w:spacing w:after="0" w:line="135"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6"/>
                <w:szCs w:val="16"/>
                <w:color w:val="auto"/>
              </w:rPr>
            </w:pPr>
          </w:p>
        </w:tc>
        <w:tc>
          <w:tcPr>
            <w:tcW w:w="134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 of allowance for doubtful accounts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receivables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Loan Receivable, Related Party</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Capitalized Website Costs,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Right-of-Use Assets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Members' Equity</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portion of lease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 trade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related parties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Long-Term-Liabilities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Members' Equity</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80"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22"/>
          <w:szCs w:val="22"/>
          <w:b w:val="1"/>
          <w:bCs w:val="1"/>
          <w:color w:val="auto"/>
        </w:rPr>
        <w:t>Cascade Sciences,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Statements of (Loss) Income and Members’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and in thousands)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11,182</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3,762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09"/>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Operating (loss) income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rPr>
              <w:t>Gain on debt extinguishment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(expense), net</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 income</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Members’ equity, beginning of period</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1000" w:type="dxa"/>
            <w:vAlign w:val="bottom"/>
          </w:tcPr>
          <w:p>
            <w:pPr>
              <w:jc w:val="right"/>
              <w:ind w:right="796"/>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3,432</w:t>
            </w:r>
          </w:p>
        </w:tc>
        <w:tc>
          <w:tcPr>
            <w:tcW w:w="100" w:type="dxa"/>
            <w:vAlign w:val="bottom"/>
          </w:tcPr>
          <w:p>
            <w:pPr>
              <w:spacing w:after="0"/>
              <w:rPr>
                <w:sz w:val="17"/>
                <w:szCs w:val="17"/>
                <w:color w:val="auto"/>
              </w:rPr>
            </w:pPr>
          </w:p>
        </w:tc>
        <w:tc>
          <w:tcPr>
            <w:tcW w:w="1080" w:type="dxa"/>
            <w:vAlign w:val="bottom"/>
          </w:tcPr>
          <w:p>
            <w:pPr>
              <w:jc w:val="right"/>
              <w:ind w:right="894"/>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w w:val="84"/>
              </w:rPr>
              <w:t>4,077</w:t>
            </w:r>
          </w:p>
        </w:tc>
        <w:tc>
          <w:tcPr>
            <w:tcW w:w="100" w:type="dxa"/>
            <w:vAlign w:val="bottom"/>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4,644</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members</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Members’ equity, end of period</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3,528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80" w:right="339" w:bottom="1440" w:gutter="0" w:footer="0" w:header="0"/>
        </w:sectPr>
      </w:pPr>
    </w:p>
    <w:bookmarkStart w:id="45" w:name="page46"/>
    <w:bookmarkEnd w:id="45"/>
    <w:p>
      <w:pPr>
        <w:ind w:left="20"/>
        <w:spacing w:after="0"/>
        <w:rPr>
          <w:sz w:val="20"/>
          <w:szCs w:val="20"/>
          <w:color w:val="auto"/>
        </w:rPr>
      </w:pPr>
      <w:r>
        <w:rPr>
          <w:rFonts w:ascii="Arial" w:cs="Arial" w:eastAsia="Arial" w:hAnsi="Arial"/>
          <w:sz w:val="22"/>
          <w:szCs w:val="22"/>
          <w:b w:val="1"/>
          <w:bCs w:val="1"/>
          <w:color w:val="auto"/>
        </w:rPr>
        <w:t>Cascade Sciences,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and in thousands)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220" w:type="dxa"/>
            <w:vAlign w:val="bottom"/>
            <w:tcBorders>
              <w:bottom w:val="single" w:sz="8" w:color="auto"/>
            </w:tcBorders>
            <w:gridSpan w:val="5"/>
          </w:tcPr>
          <w:p>
            <w:pPr>
              <w:jc w:val="right"/>
              <w:ind w:right="211"/>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7"/>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flows from operating activities: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allowance for doubtful accounts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Gain on debt extinguishment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8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Inventory</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29"/>
        </w:trPr>
        <w:tc>
          <w:tcPr>
            <w:tcW w:w="8020" w:type="dxa"/>
            <w:vAlign w:val="bottom"/>
          </w:tcPr>
          <w:p>
            <w:pPr>
              <w:ind w:left="520"/>
              <w:spacing w:after="0"/>
              <w:rPr>
                <w:sz w:val="20"/>
                <w:szCs w:val="20"/>
                <w:color w:val="auto"/>
              </w:rPr>
            </w:pPr>
            <w:r>
              <w:rPr>
                <w:rFonts w:ascii="Arial" w:cs="Arial" w:eastAsia="Arial" w:hAnsi="Arial"/>
                <w:sz w:val="18"/>
                <w:szCs w:val="18"/>
                <w:color w:val="auto"/>
              </w:rPr>
              <w:t>Prepaid expenses and other receivables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8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trade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30"/>
        </w:trPr>
        <w:tc>
          <w:tcPr>
            <w:tcW w:w="8020" w:type="dxa"/>
            <w:vAlign w:val="bottom"/>
          </w:tcPr>
          <w:p>
            <w:pPr>
              <w:ind w:left="520"/>
              <w:spacing w:after="0"/>
              <w:rPr>
                <w:sz w:val="20"/>
                <w:szCs w:val="20"/>
                <w:color w:val="auto"/>
              </w:rPr>
            </w:pPr>
            <w:r>
              <w:rPr>
                <w:rFonts w:ascii="Arial" w:cs="Arial" w:eastAsia="Arial" w:hAnsi="Arial"/>
                <w:sz w:val="18"/>
                <w:szCs w:val="18"/>
                <w:color w:val="auto"/>
              </w:rPr>
              <w:t>Accounts payable - related parties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8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020" w:type="dxa"/>
            <w:vAlign w:val="bottom"/>
          </w:tcPr>
          <w:p>
            <w:pPr>
              <w:ind w:left="52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8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Lease liability (net)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flows from operating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223"/>
        </w:trPr>
        <w:tc>
          <w:tcPr>
            <w:tcW w:w="80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Issuance of loan receivable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520"/>
              <w:spacing w:after="0"/>
              <w:rPr>
                <w:sz w:val="20"/>
                <w:szCs w:val="20"/>
                <w:color w:val="auto"/>
              </w:rPr>
            </w:pPr>
            <w:r>
              <w:rPr>
                <w:rFonts w:ascii="Arial" w:cs="Arial" w:eastAsia="Arial" w:hAnsi="Arial"/>
                <w:sz w:val="18"/>
                <w:szCs w:val="18"/>
                <w:color w:val="auto"/>
              </w:rPr>
              <w:t>Proceeds from long-term debt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8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Distributions to stockholders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23"/>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flows used in financing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r>
      <w:tr>
        <w:trPr>
          <w:trHeight w:val="22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cash and cash equivalents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Beginning</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Ending</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80" w:right="339" w:bottom="1440" w:gutter="0" w:footer="0" w:header="0"/>
        </w:sectPr>
      </w:pPr>
    </w:p>
    <w:bookmarkStart w:id="46" w:name="page47"/>
    <w:bookmarkEnd w:id="46"/>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17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(“GAAP”) for interim financial information. Accordingly, they do not include all the information and footnotes required by GAAP for complete financial statements. In the opinion of management, the accompanying unaudited financial statements contain all adjustments necessary to state fairly the financial position, results of operations, and cash flows of the Company at the dates and for the periods indicated. Interim results are not necessarily indicative of results for the full fiscal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Cascade Sciences, LLC (the Company) is a distributor of vacuum ovens, distillation systems, reactor systems, and lab equipment primarily to customers operating in the cannabis oil extraction industry.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defines cash and cash equivalents as highly liquid, short-term investments with a maturity at the date of acquisition of three months or less. The Company maintains its cash in bank deposit accounts which, at times, may exceed federally insured limits. The Company's policy is to limit credit exposure on financial instruments and place its cash with a financial institution deemed as being credit worthy. The Company has not experienced any losses on such accounts. Management believes that the Company is not exposed to any significant credit risk on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of Allowance for Doubtful Accounts</w:t>
      </w:r>
    </w:p>
    <w:p>
      <w:pPr>
        <w:spacing w:after="0" w:line="171"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Accounts receivable are stated at the net invoice amounts. An allowance for doubtful accounts is established based on management's review of balances. Amounts determined uncollectable are charged against the allowance for doubtful accounts in the period the determination is made. Accounts receivable are shown net of an allowance for doubtful accounts of $25 as of September 30, 2021 and December 31,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Inventory consists predominately of finished parts and components purchased directly from external vendors, and are valued at the lower of cost or net realizable value with cost being determined on a first-in, first-out basis (FIFO). As of September 30, 2021 and 2020, no reserve for excess or obsolete inventory was deemed necessary by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Property and equipment are stated at cost. Depreciation is computed using the straight-line method for all assets. Major expenditures for property and equipment are capitalized. Maintenance, repairs and minor renewals are expensed as incurred. When assets are retired or otherwise disposed of, their costs and related accumulated depreciation are removed from the accounts and resulting gains or losses are included in income.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of the Company's property and equipment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and computer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Vehicles</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47" w:name="page48"/>
    <w:bookmarkEnd w:id="47"/>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Company reviews long-lived assets, including property and equipment, for impairment whenever events or changes in business circumstances indicate that the carrying amount of an asset may not be fully recoverable. An impairment loss would be recognized when the estimated future cash flows from the use of the asset are less than the carrying amount of that asset. To date, there have been no such losses.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When a customer enters into a purchase agreement with the Company, the Company generally requires a deposit of 50 percent before the order is shipped.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deposit is recorded as deferred revenue within the Company's balance sheets until earned, which generally occurs upon the order being shipped.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revenues are substantially generated through the sale of vacuum ovens, distillation systems, reactor systems and lab equipment. Revenue is recognized when the Company satisfies its performance obligation(s) under the contract by transferring control of the promised product to its customer with the transfer of control generally determined based on the shipping terms of the contract. A performance obligation is a promise in a contract to transfer a distinct product to a customer. In all cases, this transfer of control occurs at a point in time, upon shipment of the product.</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periodically incurs commissions associated with equipment contracts executed with certain customers. Typically contracts do not extend over a year, as such the Company has applied the practical expedient related to these costs.</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Revenue is measured as the amount of consideration the Company expects to receive in exchange for transferring products. The nature of the Company's contracts generally do not give rise to any notable amounts of variable consideration.</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contract's transaction price is allocated to each distinct performance obligation within the contract. Substantially all of the Company's contracts have a single performance obligation.</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Sales and other taxes collected from customers and remitted to governmental authorities are accounted for on a net (excluded from revenue) basis. The Company sells its products to customers throughout the United States. The nature, amount, timing or uncertainty of revenue and cash flows associated with those sales are not determined to be impacted by any cyclicality or seasonality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Research and development costs include the costs to acquire raw materials, processing costs, skilled labor salaries, outsourcing costs, and other costs associated with the development and testing of prototype products and are expensed as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charged to operations when incurred. The following table summarizes advertising costs for the indicated periods:</w:t>
      </w:r>
    </w:p>
    <w:p>
      <w:pPr>
        <w:spacing w:after="0" w:line="203" w:lineRule="exact"/>
        <w:rPr>
          <w:sz w:val="20"/>
          <w:szCs w:val="20"/>
          <w:color w:val="auto"/>
        </w:rPr>
      </w:pPr>
    </w:p>
    <w:tbl>
      <w:tblPr>
        <w:tblLayout w:type="fixed"/>
        <w:tblInd w:w="182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344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3740" w:type="dxa"/>
            <w:vAlign w:val="bottom"/>
            <w:gridSpan w:val="3"/>
            <w:vMerge w:val="restart"/>
          </w:tcPr>
          <w:p>
            <w:pPr>
              <w:jc w:val="right"/>
              <w:ind w:right="71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60"/>
        </w:trPr>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740" w:type="dxa"/>
            <w:vAlign w:val="bottom"/>
            <w:tcBorders>
              <w:bottom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40" w:right="359" w:bottom="1440" w:gutter="0" w:footer="0" w:header="0"/>
        </w:sectPr>
      </w:pPr>
    </w:p>
    <w:bookmarkStart w:id="48" w:name="page49"/>
    <w:bookmarkEnd w:id="48"/>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Shipping and handling costs charged to customers have been included in net sales. Shipping and handling costs incurred by the Company have been included in cost of goods sold.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17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Effective January 1, 2020, the Company adopted FASB ASU 2016-02, Leases (Topic 842) which requires lessees to recognize most leases on the balance sheet that existed at or commenced after January 1, 2020. Adoption of this standard resulted in recognition of right-of-use (ROU) assets and lease liabilities. The Company elected the option under Topic 842 not to restate comparative periods in the transition and there was no impact to the Company's retained earnings as a result of the adoption. In addition, the Company elected the package of practical expedients permitted under the transition guidance within the new standard, which allowed it to carry forward the historical lease classification, costs, and components. Lastly, the Company accounts for short-term leases (i.e., lease term of 12 months or less) by making the short-term lease policy election and will not apply the recognition measurement requirements of ASC 842.</w:t>
      </w:r>
    </w:p>
    <w:p>
      <w:pPr>
        <w:spacing w:after="0" w:line="137"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major categories of property and equipment are summarized as follows for the periods ended: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25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8"/>
              </w:rPr>
              <w:t>Office and computer equipment</w:t>
            </w:r>
          </w:p>
        </w:tc>
        <w:tc>
          <w:tcPr>
            <w:tcW w:w="1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88"/>
              </w:rPr>
              <w:t>Vehicles</w:t>
            </w:r>
          </w:p>
        </w:tc>
        <w:tc>
          <w:tcPr>
            <w:tcW w:w="1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25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w w:val="99"/>
              </w:rPr>
              <w:t>Less accumulated depreciation</w:t>
            </w: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2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property and equipment</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gridSpan w:val="8"/>
            <w:vMerge w:val="restart"/>
          </w:tcPr>
          <w:p>
            <w:pPr>
              <w:spacing w:after="0"/>
              <w:rPr>
                <w:sz w:val="20"/>
                <w:szCs w:val="20"/>
                <w:color w:val="auto"/>
              </w:rPr>
            </w:pPr>
            <w:r>
              <w:rPr>
                <w:rFonts w:ascii="Arial" w:cs="Arial" w:eastAsia="Arial" w:hAnsi="Arial"/>
                <w:sz w:val="18"/>
                <w:szCs w:val="18"/>
                <w:color w:val="auto"/>
              </w:rPr>
              <w:t>The following table summarizes depreciation expense for the:</w:t>
            </w:r>
          </w:p>
        </w:tc>
        <w:tc>
          <w:tcPr>
            <w:tcW w:w="1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680" w:type="dxa"/>
            <w:vAlign w:val="bottom"/>
            <w:gridSpan w:val="8"/>
            <w:vMerge w:val="continue"/>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4000" w:type="dxa"/>
            <w:vAlign w:val="bottom"/>
            <w:gridSpan w:val="8"/>
            <w:vMerge w:val="restart"/>
          </w:tcPr>
          <w:p>
            <w:pPr>
              <w:ind w:left="80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0" w:type="dxa"/>
            <w:vAlign w:val="bottom"/>
            <w:gridSpan w:val="8"/>
            <w:vMerge w:val="continue"/>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jc w:val="right"/>
              <w:ind w:right="69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30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69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6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2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40" w:type="dxa"/>
            <w:vAlign w:val="bottom"/>
          </w:tcPr>
          <w:p>
            <w:pPr>
              <w:spacing w:after="0"/>
              <w:rPr>
                <w:sz w:val="20"/>
                <w:szCs w:val="20"/>
                <w:color w:val="auto"/>
              </w:rPr>
            </w:pPr>
            <w:r>
              <w:rPr>
                <w:rFonts w:ascii="Arial" w:cs="Arial" w:eastAsia="Arial" w:hAnsi="Arial"/>
                <w:sz w:val="18"/>
                <w:szCs w:val="18"/>
                <w:b w:val="1"/>
                <w:bCs w:val="1"/>
                <w:color w:val="auto"/>
              </w:rPr>
              <w:t>3.</w:t>
            </w:r>
          </w:p>
        </w:tc>
        <w:tc>
          <w:tcPr>
            <w:tcW w:w="18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86"/>
              </w:rPr>
              <w:t>Accrued Expenses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60" w:type="dxa"/>
            <w:vAlign w:val="bottom"/>
            <w:gridSpan w:val="6"/>
          </w:tcPr>
          <w:p>
            <w:pPr>
              <w:spacing w:after="0"/>
              <w:rPr>
                <w:sz w:val="20"/>
                <w:szCs w:val="20"/>
                <w:color w:val="auto"/>
              </w:rPr>
            </w:pPr>
            <w:r>
              <w:rPr>
                <w:rFonts w:ascii="Arial" w:cs="Arial" w:eastAsia="Arial" w:hAnsi="Arial"/>
                <w:sz w:val="18"/>
                <w:szCs w:val="18"/>
                <w:color w:val="auto"/>
                <w:w w:val="93"/>
              </w:rPr>
              <w:t>Accrued expenses are as follows for the indicated periods: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25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3"/>
              </w:rPr>
              <w:t>Accrued payroll and payroll taxes</w:t>
            </w:r>
          </w:p>
        </w:tc>
        <w:tc>
          <w:tcPr>
            <w:tcW w:w="1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740" w:type="dxa"/>
            <w:vAlign w:val="bottom"/>
            <w:gridSpan w:val="5"/>
          </w:tcPr>
          <w:p>
            <w:pPr>
              <w:ind w:left="20"/>
              <w:spacing w:after="0"/>
              <w:rPr>
                <w:sz w:val="20"/>
                <w:szCs w:val="20"/>
                <w:color w:val="auto"/>
              </w:rPr>
            </w:pPr>
            <w:r>
              <w:rPr>
                <w:rFonts w:ascii="Arial" w:cs="Arial" w:eastAsia="Arial" w:hAnsi="Arial"/>
                <w:sz w:val="18"/>
                <w:szCs w:val="18"/>
                <w:color w:val="auto"/>
              </w:rPr>
              <w:t>Accrued sales and withholding taxes</w:t>
            </w: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vacation</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520" w:type="dxa"/>
            <w:vAlign w:val="bottom"/>
            <w:gridSpan w:val="3"/>
          </w:tcPr>
          <w:p>
            <w:pPr>
              <w:ind w:left="20"/>
              <w:spacing w:after="0"/>
              <w:rPr>
                <w:sz w:val="20"/>
                <w:szCs w:val="20"/>
                <w:color w:val="auto"/>
              </w:rPr>
            </w:pPr>
            <w:r>
              <w:rPr>
                <w:rFonts w:ascii="Arial" w:cs="Arial" w:eastAsia="Arial" w:hAnsi="Arial"/>
                <w:sz w:val="18"/>
                <w:szCs w:val="18"/>
                <w:color w:val="auto"/>
              </w:rPr>
              <w:t>Total accrued expenses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49" w:name="page50"/>
    <w:bookmarkEnd w:id="49"/>
    <w:p>
      <w:pPr>
        <w:spacing w:after="0" w:line="30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has a revolving line of credit agreement with a bank, which allows it to borrow up to $750. Borrowings bear interest at a rate defined as the higher of (1) the bank's prime rate plus 0.55 percent or (2) 4.00 percent (as of September 30, 2021 and 2020, the effective interest rate on outstanding borrowings was 4.00 percent). The revolving line of credit agreement expires on demand, and is collateralized by substantially all assets of the Company. As of September 30, 2021 and 2020, the Company had no borrowings outstanding under the line of credit.</w:t>
      </w:r>
    </w:p>
    <w:p>
      <w:pPr>
        <w:spacing w:after="0" w:line="113"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Paycheck Protection Program Loan</w:t>
      </w:r>
    </w:p>
    <w:p>
      <w:pPr>
        <w:spacing w:after="0" w:line="17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April 23, 2020, the Company received loan proceeds in the amount of $388 under the Paycheck Protection Program (PPP) which was established as part of the Coronavirus Aid, Relief and Economic Security (CARES) Act and is administered through the Small Business Administration (SBA). The PPP provides loans to qualifying businesses in amounts up to 2.5 times their average monthly payroll expenses and was designed to provide a direct financial incentive for qualifying businesses to keep their workforce employed during the Coronavirus crisis. PPP loans are uncollateralized and guaranteed by the SBA and are forgivable after a “covered period” (eight or twenty four weeks) as long as the borrower maintains its payroll levels and uses the loan proceeds for eligible expenses, including payroll, benefits, mortgage interest, rent, and utilities. The forgiveness amount will be reduced if the borrower terminates employees or reduces salaries and wages more than 25 percent during the covered period. Any unforgiven portion is payable over two years if issued at an interest rate of 1 percent with payments deferred until the SBA remits the borrower’s loan forgiveness amount to the lender. PPP loan terms provide for customary events of default, including payment defaults, breaches of representations and warranties, and insolvency events and may be accelerated upon the occurrence of one or more of these events of default. Additionally, PPP loan terms do not include prepayment penalties.</w:t>
      </w:r>
    </w:p>
    <w:p>
      <w:pPr>
        <w:spacing w:after="0" w:line="1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met the PPP’s loan forgiveness requirements, and therefore, applied for and received notice of forgiveness on December 4, 2020. Accordingly, the Company recognized $388 in 'gain on debt extinguishment' within the Company's statement of income for the year ended December 31, 2020. The SBA reserves the right to audit any PPP loan, regardless of size. These audits may occur after forgiveness has been granted. In accordance with the CARES Act, all borrowers are required to maintain their PPP loan documentation for six years after the PPP loan was forgiven or repaid in full and to provide that documentation to the SBA upon request.</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25, 2021, the Company was granted a loan in the principal amount of $533 pursuant to the PPP under the CARES Act, which was enacted on March 27, 2020. The loan was evidenced by a promissory note, and bore interest at the rate of 1.00 percent per annum. After a six-month deferral period, the loan would be payable over 60 months and was scheduled to mature on July 25, 2026. Loan recipients may apply for and receive loan forgiveness for all or a portion of the loans based on meeting certain requirements related to payroll costs, employee retention, employee wage levels, rent, and utilities, as described in the CARES Act and other implementation guidance and forms issued by the U.S. Small Business Administration. During July 2021, the Company was granted full forgiveness on the loan, at which time, the Company recognized $533 in ‘gain on debt extinguishment’ within the Company’s statement of income.</w:t>
      </w:r>
    </w:p>
    <w:p>
      <w:pPr>
        <w:spacing w:after="0" w:line="13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various operating lease agreements for facilities and vehicles through 2024. The leases do not include renewal options. The vehicle leases include a purchase option at the end of the lease with a guaranteed residual value that is likely not to be executed. Some leases include payment for common area maintenance associated with the property. The Company has elected the practical expedient not to separate lease and non-lease components for all four building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320" w:top="1440" w:right="419" w:bottom="1440" w:gutter="0" w:footer="0" w:header="0"/>
        </w:sectPr>
      </w:pPr>
    </w:p>
    <w:bookmarkStart w:id="50" w:name="page51"/>
    <w:bookmarkEnd w:id="50"/>
    <w:p>
      <w:pPr>
        <w:spacing w:after="0" w:line="30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is a summary by year of scheduled future minimum payments on noncancelable operating leases with initial or remaining lease terms in excess of one year as of September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3 months)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9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undiscounted lease payments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lease liabilities</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Long term operating lease liabilities</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1"/>
        </w:trPr>
        <w:tc>
          <w:tcPr>
            <w:tcW w:w="9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Management has evaluated the impact of all subsequent events occurring through December 10, 2021, the date the financial statements were available to be issued for events requiring recording or disclosure in the Company’s financial statements.</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September 29, 2021, Sinclair Scientific (the Company’s newly formed holding company), together with its wholly-owned subsidiaries of Precision Extraction and the Company, and the equity holders of Sinclair Scientific named therein (collectively, the Sinclair members) entered into a Plan Merger and Equity Purchase Agreement, as amended on October 1, 2021 (the purchase agreement) with Agrify Corporation (Agrify). Subject to the terms and conditions set forth in the purchase agreement, Sinclair Scientific transferred to Agrify, and Agrify purchased (the interest purchase) from Sinclair Scientific 100 percent of the equity interests of Cascade, such that immediately after the consummation of the interest purchase, Cascade became a wholly-owned subsidiary of Cascade, and Precision Extraction merged (the merger) with and into a newly-formed wholly-owned subsidiary of Agrify, Precision Extraction NewCo, LLC.</w:t>
      </w:r>
    </w:p>
    <w:p>
      <w:pPr>
        <w:spacing w:after="0" w:line="14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aggregate consideration for the interest purchase and the merger consisted of: (a) the sum of $30,000, plus consideration payable to holders of outstanding Sinclair Scientific equity awards issued under the aforementioned plan, subject to certain adjustments for working capital, cash, and indebtedness, payable in connection with the interest purchase; (b) the number of shares of Agrify’s common stock, subject to adjustment, equal to the quotient of (i) $20,000 divided by (ii) the volume-weighted average price per share of the Agrify’s common stock on The Nasdaq Capital Market for the 30 consecutive trading days ending on the Execution Date (the VWAP Price), issuable in connection with the Merger; and (c) the True-Up Buyer Shares, if any (as defined below), issuable in connection with the merger.</w:t>
      </w:r>
    </w:p>
    <w:p>
      <w:pPr>
        <w:spacing w:after="0" w:line="13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purchase agreement includes customary post-closing adjustments, representations and warranties and covenants of the parties. The members may become entitled to additional shares of Agrify’s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 However, in no event shall the aggregate purchase price paid by the Company pursuant to the terms of the Purchase Agreement, taking into account any Aggregate True-Up Payment in favor of the members, exceed $65 million.</w:t>
      </w:r>
    </w:p>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Because the aforementioned transactions occurred subsequent to December 31, 2020, unless otherwise stated within the Notes to the Company’s financial statements, these transactions did not have any impact on the Company’s financial statements as of December 31, 2020. Both Sinclair and Agrify are currently in the process of valuing the fair value of acquired assets and liabilities assumed in relation to these transactions. It is therefore currently impractical to disclose a preliminary purchase price allocation in relation to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rPr>
        <w:t>Mass2Media, LLC dba PX2 Holdings, LLC and Affiliate</w:t>
      </w:r>
    </w:p>
    <w:p>
      <w:pPr>
        <w:sectPr>
          <w:pgSz w:w="11900" w:h="16838" w:orient="portrait"/>
          <w:cols w:equalWidth="0" w:num="1">
            <w:col w:w="9019"/>
          </w:cols>
          <w:pgMar w:left="1440" w:top="1440" w:right="1440"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Unaudited Consolidated Financial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019"/>
          </w:cols>
          <w:pgMar w:left="1440" w:top="1440" w:right="1440" w:bottom="1440" w:gutter="0" w:footer="0" w:header="0"/>
          <w:type w:val="continuous"/>
        </w:sectPr>
      </w:pPr>
    </w:p>
    <w:bookmarkStart w:id="52" w:name="page53"/>
    <w:bookmarkEnd w:id="52"/>
    <w:p>
      <w:pPr>
        <w:ind w:left="20"/>
        <w:spacing w:after="0"/>
        <w:rPr>
          <w:sz w:val="20"/>
          <w:szCs w:val="20"/>
          <w:color w:val="auto"/>
        </w:rPr>
      </w:pPr>
      <w:r>
        <w:rPr>
          <w:rFonts w:ascii="Arial" w:cs="Arial" w:eastAsia="Arial" w:hAnsi="Arial"/>
          <w:sz w:val="22"/>
          <w:szCs w:val="22"/>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006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215"/>
        </w:trPr>
        <w:tc>
          <w:tcPr>
            <w:tcW w:w="1006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160" w:type="dxa"/>
            <w:vAlign w:val="bottom"/>
          </w:tcPr>
          <w:p>
            <w:pPr>
              <w:spacing w:after="0"/>
              <w:rPr>
                <w:sz w:val="18"/>
                <w:szCs w:val="18"/>
                <w:color w:val="auto"/>
              </w:rPr>
            </w:pPr>
          </w:p>
        </w:tc>
      </w:tr>
      <w:tr>
        <w:trPr>
          <w:trHeight w:val="229"/>
        </w:trPr>
        <w:tc>
          <w:tcPr>
            <w:tcW w:w="10060" w:type="dxa"/>
            <w:vAlign w:val="bottom"/>
          </w:tcPr>
          <w:p>
            <w:pPr>
              <w:ind w:left="160"/>
              <w:spacing w:after="0"/>
              <w:rPr>
                <w:rFonts w:ascii="Arial" w:cs="Arial" w:eastAsia="Arial" w:hAnsi="Arial"/>
                <w:sz w:val="18"/>
                <w:szCs w:val="18"/>
                <w:color w:val="auto"/>
              </w:rPr>
            </w:pPr>
            <w:hyperlink w:anchor="page53">
              <w:r>
                <w:rPr>
                  <w:rFonts w:ascii="Arial" w:cs="Arial" w:eastAsia="Arial" w:hAnsi="Arial"/>
                  <w:sz w:val="18"/>
                  <w:szCs w:val="18"/>
                  <w:color w:val="auto"/>
                </w:rPr>
                <w:t>Consolidated Balance Sheets</w:t>
              </w:r>
            </w:hyperlink>
          </w:p>
        </w:tc>
        <w:tc>
          <w:tcPr>
            <w:tcW w:w="1160" w:type="dxa"/>
            <w:vAlign w:val="bottom"/>
          </w:tcPr>
          <w:p>
            <w:pPr>
              <w:jc w:val="center"/>
              <w:spacing w:after="0"/>
              <w:rPr>
                <w:rFonts w:ascii="Arial" w:cs="Arial" w:eastAsia="Arial" w:hAnsi="Arial"/>
                <w:sz w:val="18"/>
                <w:szCs w:val="18"/>
                <w:color w:val="auto"/>
                <w:w w:val="79"/>
              </w:rPr>
            </w:pPr>
            <w:hyperlink w:anchor="page53">
              <w:r>
                <w:rPr>
                  <w:rFonts w:ascii="Arial" w:cs="Arial" w:eastAsia="Arial" w:hAnsi="Arial"/>
                  <w:sz w:val="18"/>
                  <w:szCs w:val="18"/>
                  <w:color w:val="auto"/>
                  <w:w w:val="79"/>
                </w:rPr>
                <w:t>1</w:t>
              </w:r>
            </w:hyperlink>
          </w:p>
        </w:tc>
      </w:tr>
      <w:tr>
        <w:trPr>
          <w:trHeight w:val="230"/>
        </w:trPr>
        <w:tc>
          <w:tcPr>
            <w:tcW w:w="10060" w:type="dxa"/>
            <w:vAlign w:val="bottom"/>
          </w:tcPr>
          <w:p>
            <w:pPr>
              <w:ind w:left="160"/>
              <w:spacing w:after="0"/>
              <w:rPr>
                <w:rFonts w:ascii="Arial" w:cs="Arial" w:eastAsia="Arial" w:hAnsi="Arial"/>
                <w:sz w:val="18"/>
                <w:szCs w:val="18"/>
                <w:color w:val="auto"/>
              </w:rPr>
            </w:pPr>
            <w:hyperlink w:anchor="page54">
              <w:r>
                <w:rPr>
                  <w:rFonts w:ascii="Arial" w:cs="Arial" w:eastAsia="Arial" w:hAnsi="Arial"/>
                  <w:sz w:val="18"/>
                  <w:szCs w:val="18"/>
                  <w:color w:val="auto"/>
                </w:rPr>
                <w:t>Consolidated Statements of Income and Members’ Equity (Deficit)</w:t>
              </w:r>
            </w:hyperlink>
          </w:p>
        </w:tc>
        <w:tc>
          <w:tcPr>
            <w:tcW w:w="1160" w:type="dxa"/>
            <w:vAlign w:val="bottom"/>
          </w:tcPr>
          <w:p>
            <w:pPr>
              <w:jc w:val="center"/>
              <w:spacing w:after="0"/>
              <w:rPr>
                <w:rFonts w:ascii="Arial" w:cs="Arial" w:eastAsia="Arial" w:hAnsi="Arial"/>
                <w:sz w:val="18"/>
                <w:szCs w:val="18"/>
                <w:color w:val="auto"/>
                <w:w w:val="79"/>
              </w:rPr>
            </w:pPr>
            <w:hyperlink w:anchor="page54">
              <w:r>
                <w:rPr>
                  <w:rFonts w:ascii="Arial" w:cs="Arial" w:eastAsia="Arial" w:hAnsi="Arial"/>
                  <w:sz w:val="18"/>
                  <w:szCs w:val="18"/>
                  <w:color w:val="auto"/>
                  <w:w w:val="79"/>
                </w:rPr>
                <w:t>2</w:t>
              </w:r>
            </w:hyperlink>
          </w:p>
        </w:tc>
      </w:tr>
      <w:tr>
        <w:trPr>
          <w:trHeight w:val="229"/>
        </w:trPr>
        <w:tc>
          <w:tcPr>
            <w:tcW w:w="10060" w:type="dxa"/>
            <w:vAlign w:val="bottom"/>
          </w:tcPr>
          <w:p>
            <w:pPr>
              <w:ind w:left="160"/>
              <w:spacing w:after="0"/>
              <w:rPr>
                <w:rFonts w:ascii="Arial" w:cs="Arial" w:eastAsia="Arial" w:hAnsi="Arial"/>
                <w:sz w:val="18"/>
                <w:szCs w:val="18"/>
                <w:color w:val="auto"/>
              </w:rPr>
            </w:pPr>
            <w:hyperlink w:anchor="page45">
              <w:r>
                <w:rPr>
                  <w:rFonts w:ascii="Arial" w:cs="Arial" w:eastAsia="Arial" w:hAnsi="Arial"/>
                  <w:sz w:val="18"/>
                  <w:szCs w:val="18"/>
                  <w:color w:val="auto"/>
                </w:rPr>
                <w:t>Consolidated Statements of Cash Flows</w:t>
              </w:r>
            </w:hyperlink>
          </w:p>
        </w:tc>
        <w:tc>
          <w:tcPr>
            <w:tcW w:w="1160" w:type="dxa"/>
            <w:vAlign w:val="bottom"/>
          </w:tcPr>
          <w:p>
            <w:pPr>
              <w:jc w:val="center"/>
              <w:spacing w:after="0"/>
              <w:rPr>
                <w:rFonts w:ascii="Arial" w:cs="Arial" w:eastAsia="Arial" w:hAnsi="Arial"/>
                <w:sz w:val="18"/>
                <w:szCs w:val="18"/>
                <w:color w:val="auto"/>
                <w:w w:val="79"/>
              </w:rPr>
            </w:pPr>
            <w:hyperlink w:anchor="page55">
              <w:r>
                <w:rPr>
                  <w:rFonts w:ascii="Arial" w:cs="Arial" w:eastAsia="Arial" w:hAnsi="Arial"/>
                  <w:sz w:val="18"/>
                  <w:szCs w:val="18"/>
                  <w:color w:val="auto"/>
                  <w:w w:val="79"/>
                </w:rPr>
                <w:t>3</w:t>
              </w:r>
            </w:hyperlink>
          </w:p>
        </w:tc>
      </w:tr>
      <w:tr>
        <w:trPr>
          <w:trHeight w:val="230"/>
        </w:trPr>
        <w:tc>
          <w:tcPr>
            <w:tcW w:w="10060" w:type="dxa"/>
            <w:vAlign w:val="bottom"/>
          </w:tcPr>
          <w:p>
            <w:pPr>
              <w:ind w:left="160"/>
              <w:spacing w:after="0"/>
              <w:rPr>
                <w:rFonts w:ascii="Arial" w:cs="Arial" w:eastAsia="Arial" w:hAnsi="Arial"/>
                <w:sz w:val="18"/>
                <w:szCs w:val="18"/>
                <w:color w:val="auto"/>
              </w:rPr>
            </w:pPr>
            <w:hyperlink w:anchor="page56">
              <w:r>
                <w:rPr>
                  <w:rFonts w:ascii="Arial" w:cs="Arial" w:eastAsia="Arial" w:hAnsi="Arial"/>
                  <w:sz w:val="18"/>
                  <w:szCs w:val="18"/>
                  <w:color w:val="auto"/>
                </w:rPr>
                <w:t>Notes to Consolidated Financial Statements</w:t>
              </w:r>
            </w:hyperlink>
          </w:p>
        </w:tc>
        <w:tc>
          <w:tcPr>
            <w:tcW w:w="1160" w:type="dxa"/>
            <w:vAlign w:val="bottom"/>
          </w:tcPr>
          <w:p>
            <w:pPr>
              <w:jc w:val="center"/>
              <w:spacing w:after="0"/>
              <w:rPr>
                <w:rFonts w:ascii="Arial" w:cs="Arial" w:eastAsia="Arial" w:hAnsi="Arial"/>
                <w:sz w:val="18"/>
                <w:szCs w:val="18"/>
                <w:color w:val="auto"/>
                <w:w w:val="79"/>
              </w:rPr>
            </w:pPr>
            <w:hyperlink w:anchor="page56">
              <w:r>
                <w:rPr>
                  <w:rFonts w:ascii="Arial" w:cs="Arial" w:eastAsia="Arial" w:hAnsi="Arial"/>
                  <w:sz w:val="18"/>
                  <w:szCs w:val="18"/>
                  <w:color w:val="auto"/>
                  <w:w w:val="79"/>
                </w:rPr>
                <w:t>4</w:t>
              </w:r>
            </w:hyperlink>
          </w:p>
        </w:tc>
      </w:tr>
    </w:tbl>
    <w:p>
      <w:pPr>
        <w:sectPr>
          <w:pgSz w:w="11900" w:h="16838" w:orient="portrait"/>
          <w:cols w:equalWidth="0" w:num="1">
            <w:col w:w="11240"/>
          </w:cols>
          <w:pgMar w:left="320" w:top="180" w:right="339" w:bottom="1440" w:gutter="0" w:footer="0" w:header="0"/>
        </w:sectPr>
      </w:pPr>
    </w:p>
    <w:bookmarkStart w:id="53" w:name="page54"/>
    <w:bookmarkEnd w:id="53"/>
    <w:p>
      <w:pPr>
        <w:ind w:left="20"/>
        <w:spacing w:after="0"/>
        <w:rPr>
          <w:sz w:val="20"/>
          <w:szCs w:val="20"/>
          <w:color w:val="auto"/>
        </w:rPr>
      </w:pPr>
      <w:r>
        <w:rPr>
          <w:rFonts w:ascii="Arial" w:cs="Arial" w:eastAsia="Arial" w:hAnsi="Arial"/>
          <w:sz w:val="22"/>
          <w:szCs w:val="22"/>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2021</w:t>
            </w:r>
          </w:p>
        </w:tc>
        <w:tc>
          <w:tcPr>
            <w:tcW w:w="140" w:type="dxa"/>
            <w:vAlign w:val="bottom"/>
          </w:tcPr>
          <w:p>
            <w:pPr>
              <w:spacing w:after="0"/>
              <w:rPr>
                <w:sz w:val="14"/>
                <w:szCs w:val="14"/>
                <w:color w:val="auto"/>
              </w:rPr>
            </w:pPr>
          </w:p>
        </w:tc>
        <w:tc>
          <w:tcPr>
            <w:tcW w:w="14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 of allowance for doubtful accounts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receivables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Right-of-Use Assets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Members' Deficit</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Current portion of lease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trade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12,065</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Loan payable, related party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debt, net of current maturities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Members' Deficit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members'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80" w:right="339" w:bottom="1440" w:gutter="0" w:footer="0" w:header="0"/>
        </w:sectPr>
      </w:pPr>
    </w:p>
    <w:bookmarkStart w:id="54" w:name="page55"/>
    <w:bookmarkEnd w:id="54"/>
    <w:p>
      <w:pPr>
        <w:ind w:left="20"/>
        <w:spacing w:after="0"/>
        <w:rPr>
          <w:sz w:val="20"/>
          <w:szCs w:val="20"/>
          <w:color w:val="auto"/>
        </w:rPr>
      </w:pPr>
      <w:r>
        <w:rPr>
          <w:rFonts w:ascii="Arial" w:cs="Arial" w:eastAsia="Arial" w:hAnsi="Arial"/>
          <w:sz w:val="19"/>
          <w:szCs w:val="19"/>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320" w:top="180" w:right="109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Net Income and Members’ Equity (Deficit)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and 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78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vMerge w:val="restart"/>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60"/>
        </w:trPr>
        <w:tc>
          <w:tcPr>
            <w:tcW w:w="3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19,086</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13,055</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10"/>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0" w:type="dxa"/>
            <w:vAlign w:val="bottom"/>
          </w:tcPr>
          <w:p>
            <w:pPr>
              <w:spacing w:after="0"/>
              <w:rPr>
                <w:sz w:val="1"/>
                <w:szCs w:val="1"/>
                <w:color w:val="auto"/>
              </w:rPr>
            </w:pPr>
          </w:p>
        </w:tc>
      </w:tr>
      <w:tr>
        <w:trPr>
          <w:trHeight w:val="223"/>
        </w:trPr>
        <w:tc>
          <w:tcPr>
            <w:tcW w:w="398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180"/>
              <w:spacing w:after="0"/>
              <w:rPr>
                <w:sz w:val="20"/>
                <w:szCs w:val="20"/>
                <w:color w:val="auto"/>
              </w:rPr>
            </w:pPr>
            <w:r>
              <w:rPr>
                <w:rFonts w:ascii="Arial" w:cs="Arial" w:eastAsia="Arial" w:hAnsi="Arial"/>
                <w:sz w:val="18"/>
                <w:szCs w:val="18"/>
                <w:color w:val="auto"/>
              </w:rPr>
              <w:t>Gain on debt extinguishment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Members’ equity (deficit), beginning of period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vMerge w:val="continue"/>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(4,104)</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(154)</w:t>
            </w:r>
          </w:p>
        </w:tc>
        <w:tc>
          <w:tcPr>
            <w:tcW w:w="8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(4,166)</w:t>
            </w:r>
          </w:p>
        </w:tc>
        <w:tc>
          <w:tcPr>
            <w:tcW w:w="8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Members’ equity (deficit),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5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1"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80"/>
          </w:cols>
          <w:pgMar w:left="320" w:top="180" w:right="1099" w:bottom="1440" w:gutter="0" w:footer="0" w:header="0"/>
          <w:type w:val="continuous"/>
        </w:sectPr>
      </w:pPr>
    </w:p>
    <w:bookmarkStart w:id="55" w:name="page56"/>
    <w:bookmarkEnd w:id="55"/>
    <w:p>
      <w:pPr>
        <w:ind w:left="20"/>
        <w:spacing w:after="0"/>
        <w:rPr>
          <w:sz w:val="20"/>
          <w:szCs w:val="20"/>
          <w:color w:val="auto"/>
        </w:rPr>
      </w:pPr>
      <w:r>
        <w:rPr>
          <w:rFonts w:ascii="Arial" w:cs="Arial" w:eastAsia="Arial" w:hAnsi="Arial"/>
          <w:sz w:val="22"/>
          <w:szCs w:val="22"/>
          <w:b w:val="1"/>
          <w:bCs w:val="1"/>
          <w:color w:val="auto"/>
        </w:rPr>
        <w:t>Mass2Media, LLC dba PX2 Holdings, LLC and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and 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200" w:type="dxa"/>
            <w:vAlign w:val="bottom"/>
            <w:tcBorders>
              <w:bottom w:val="single" w:sz="8" w:color="auto"/>
            </w:tcBorders>
            <w:gridSpan w:val="5"/>
          </w:tcPr>
          <w:p>
            <w:pPr>
              <w:jc w:val="right"/>
              <w:ind w:right="191"/>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7"/>
        </w:trPr>
        <w:tc>
          <w:tcPr>
            <w:tcW w:w="8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flows from operating activities: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Bad debt expense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Gain on debt extinguishment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Prepaid expenses and other receivables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(2,275)</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trade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Lease liability (net)</w:t>
            </w:r>
          </w:p>
        </w:tc>
        <w:tc>
          <w:tcPr>
            <w:tcW w:w="9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flows from (used in) operating activities</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(2,734)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r>
      <w:tr>
        <w:trPr>
          <w:trHeight w:val="21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23"/>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borrowings on line of credit</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Proceeds from related party note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long-term debt</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23"/>
        </w:trPr>
        <w:tc>
          <w:tcPr>
            <w:tcW w:w="8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flows used in financing activities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r>
      <w:tr>
        <w:trPr>
          <w:trHeight w:val="223"/>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cash and cash equivalents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Beginning</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ash and Cash Equivalents, Ending</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80" w:right="339" w:bottom="1440" w:gutter="0" w:footer="0" w:header="0"/>
        </w:sectPr>
      </w:pPr>
    </w:p>
    <w:bookmarkStart w:id="56" w:name="page57"/>
    <w:bookmarkEnd w:id="56"/>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w:t>
      </w:r>
    </w:p>
    <w:p>
      <w:pPr>
        <w:spacing w:after="0" w:line="171"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for interim financial information. Accordingly, they do not include all the information and footnotes required by GAAP for complete financial statements. In the opinion of management, the accompanying unaudited financial statements contain all adjustments necessary to state fairly the financial position, results of operations, and cash flows of the Company at the dates and for the periods indicated. Interim results are not necessarily indicative of results for the full fiscal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Mass2Media, LLC dba PX2 Holdings, LLC (PX2 Holdings) operates in the cannabis oil extraction industry. PX2 Holdings specializes in manufacturing oil extraction equipment, assisting clients with lab planning and design, and performing installation and training services.</w:t>
      </w:r>
    </w:p>
    <w:p>
      <w:pPr>
        <w:spacing w:after="0" w:line="1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Precision International Export (PIE), is an Interest Charge Domestic International Sales Corporation (IC-DISC) used to promote the sale of PX2 Holdings' products outside the United States in exchange for a commission. PIE is a variable interest entity under common control with PX2 Holdings being the primary beneficiary as its sole purpose is to service the operations of PX2 Holdings. PX2 Holdings has the power to direct the activities of PIE that most significantly impact its economic performance and, as a result, PIE has been included in the consolidated financial statements as a consolidated variable interest entity.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consolidated financial statements include the accounts of PX2 Holdings and PIE (collectively, the Company). All significant intercompany balances and transactions have been eliminated in the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defines cash and cash equivalents as highly liquid, short-term investments with a maturity at the date of acquisition of three months or less. The Company maintains its cash in bank deposit accounts which, at times, may exceed federally insured limits. The Company's policy is to limit credit exposure on financial instruments and place its cash with a financial institution deemed as being credit worthy. The Company has not experienced any losses on such accounts. Management believes that the Company is not exposed to any significant credit risk on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of Allowance for Doubtful Accounts</w:t>
      </w:r>
    </w:p>
    <w:p>
      <w:pPr>
        <w:spacing w:after="0" w:line="171"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Accounts receivable are stated at the net invoice amounts. An allowance for doubtful accounts is established based on management's review of balances. Amounts determined uncollectable are charged against the allowance for doubtful accounts in the period the determination is made. Accounts receivable are shown net of an allowance for doubtful accounts of $70 and $62 as of September 30, 2021 and December 31, 2020,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Inventory consists predominately of finished parts and components purchased directly from external vendors, and are valued at the lower of cost or net realizable value with cost being determined on a first-in, first-out basis (FIFO). As of September 30, 2021 and December 31, 2020, no reserve for excess or obsolete inventory was deemed necessary by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Property and equipment are stated at cost. Depreciation is computed using the straight-line method for all assets. Major expenditures for property and equipment are capitalized. Maintenance, repairs and minor renewals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440" w:right="379" w:bottom="1440" w:gutter="0" w:footer="0" w:header="0"/>
        </w:sectPr>
      </w:pPr>
    </w:p>
    <w:bookmarkStart w:id="57" w:name="page58"/>
    <w:bookmarkEnd w:id="57"/>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expensed as incurred. When assets are retired or otherwise disposed of, their costs and related accumulated depreciation are removed from the accounts and resulting gains or losses are included in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of the Company's property and equipment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Years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3-15</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Office and computer equipment</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3-10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Lab equipment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being depreciated over the shorter of their estimated useful lives or the lease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Company reviews long-lived assets, including property and equipment, for impairment whenever events or changes in business circumstances indicate that the carrying amount of an asset may not be fully recoverable. An impairment loss would be recognized when the estimated future cash flows from the use of the asset are less than the carrying amount of that asset. To date, there have been no such losses.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When a customer enters into a purchase agreement with the Company, the Company generally requires a deposit of 75 percent before it starts to source the component parts required for the production of its product. This deposit is recorded as deferred revenue within the Company's balance sheets until earned, which generally occurs upon the order being shipped.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Company’s revenues are substantially generated through the sale of cannabis oil extraction industry equipment, and the related professional services such as installation of the equipment or training on use of equipment. Revenue is recognized when the Company satisfies its performance obligation(s) under the contract by transferring control of the promised product to its customer with the transfer of control generally determined based on the shipping terms of the contract. A performance obligation is a promise in a contract to transfer a distinct product to a customer. In all cases, this transfer of controls occurs at a point in time, upon shipment of the product.</w:t>
      </w:r>
    </w:p>
    <w:p>
      <w:pPr>
        <w:spacing w:after="0" w:line="13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Additionally, the Company generates revenues from providing services to customers over time, which include installation and training on equipment purchases. Revenue is recognized over time generally using the "as-invoiced" practical expedient.</w:t>
      </w:r>
    </w:p>
    <w:p>
      <w:pPr>
        <w:spacing w:after="0" w:line="1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periodically incurs commissions associated with equipment contracts executed with certain customers. Typically contracts do not extend over a year, as such the the Company has applied the practical expedient related to these costs.</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Revenue is measured as the amount of consideration the Company expects to receive in exchange for transferring products. The nature of the Company's contracts generally do not give rise to any notable amounts of variable consideration.</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contract's transaction price is allocated to each distinct performance obligation within the contract. Substantially all of the Company's contracts have a single performance obligation.</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Sales and other taxes collected from customers and remitted to governmental authorities are accounted for on a net (excluded from revenue) basis. The Company sells its products to customers throughout the United States. The nature, amount, timing or uncertainty of revenue and cash flows associated with those sales are not determined to be impacted by any cyclicality or seasonality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Research and development costs include the costs to acquire raw materials, processing costs, skilled labor salaries, outsourcing costs, and other costs associated with the development and testing of prototype products and are expensed as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17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generally offers warranties for manufacturing related claims. The Company estimates the costs that may be incurred under its basic limited warranty and records a liability in the amount of such estimated costs at the time revenue is recognized. The Company also records a liability for amounts anticipated based on the performance of an analysis of potential warranty incidents reported by customers.</w:t>
      </w:r>
    </w:p>
    <w:p>
      <w:pPr>
        <w:spacing w:after="0" w:line="1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Changes in the Company's warranty liability are as follows during the nine month period ended September 30, 2021 and the year ended December 31,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beginning of the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Warranty provision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claims paid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Balances, end of the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243</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charged to operations when incurred. The following table summarizes advertising costs for the indicated periods:</w:t>
      </w:r>
    </w:p>
    <w:p>
      <w:pPr>
        <w:spacing w:after="0" w:line="203" w:lineRule="exact"/>
        <w:rPr>
          <w:sz w:val="20"/>
          <w:szCs w:val="20"/>
          <w:color w:val="auto"/>
        </w:rPr>
      </w:pPr>
    </w:p>
    <w:tbl>
      <w:tblPr>
        <w:tblLayout w:type="fixed"/>
        <w:tblInd w:w="224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80" w:type="dxa"/>
            <w:vAlign w:val="bottom"/>
            <w:gridSpan w:val="4"/>
            <w:vMerge w:val="restart"/>
          </w:tcPr>
          <w:p>
            <w:pPr>
              <w:jc w:val="right"/>
              <w:ind w:right="51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60"/>
        </w:trPr>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Shipping and handling costs charged to customers have been included in net sales. Shipping and handling costs incurred by the Company have been included in cost of goods sold.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17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Effective January 1, 2020, the Company adopted FASB ASU 2016-02, Leases (Topic 842) which requires lessees to recognize most leases on the balance sheet that existed at or commenced after January 1, 2020. Adoption of this standard resulted in recognition of right-of-use (ROU) assets and lease liabilities. The Company elected the option under Topic 842 not to restate comparative periods in the transition and there was no impact to the Company's retained earnings as a result of the adoption. In addition, the Company elected the package of practical expedients permitted under the transition guidance within the new standard, which allowed it to carry forward the historical lease classification, costs, and components. Lastly, the Company accounts for short-term leases (i.e., lease term of 12 months or less) by making the short-term lease policy election and will not apply the recognition measurement requirements of ASC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2.</w:t>
            </w: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78"/>
        </w:trPr>
        <w:tc>
          <w:tcPr>
            <w:tcW w:w="8020" w:type="dxa"/>
            <w:vAlign w:val="bottom"/>
            <w:gridSpan w:val="2"/>
          </w:tcPr>
          <w:p>
            <w:pPr>
              <w:spacing w:after="0"/>
              <w:rPr>
                <w:sz w:val="20"/>
                <w:szCs w:val="20"/>
                <w:color w:val="auto"/>
              </w:rPr>
            </w:pPr>
            <w:r>
              <w:rPr>
                <w:rFonts w:ascii="Arial" w:cs="Arial" w:eastAsia="Arial" w:hAnsi="Arial"/>
                <w:sz w:val="18"/>
                <w:szCs w:val="18"/>
                <w:color w:val="auto"/>
              </w:rPr>
              <w:t>The major categories of property and equipment are summarized as follows for the periods ended:</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2"/>
        </w:trPr>
        <w:tc>
          <w:tcPr>
            <w:tcW w:w="6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24"/>
                <w:szCs w:val="24"/>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Office and computer equipment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Lab equipment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30"/>
        </w:trPr>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Vehicles</w:t>
            </w:r>
          </w:p>
        </w:tc>
        <w:tc>
          <w:tcPr>
            <w:tcW w:w="7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property and equipment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depreciation expense for the:</w:t>
      </w:r>
    </w:p>
    <w:p>
      <w:pPr>
        <w:sectPr>
          <w:pgSz w:w="11900" w:h="16838" w:orient="portrait"/>
          <w:cols w:equalWidth="0" w:num="1">
            <w:col w:w="11240"/>
          </w:cols>
          <w:pgMar w:left="320" w:top="1440" w:right="339" w:bottom="1440" w:gutter="0" w:footer="0" w:header="0"/>
        </w:sectPr>
      </w:pPr>
    </w:p>
    <w:p>
      <w:pPr>
        <w:spacing w:after="0" w:line="203" w:lineRule="exact"/>
        <w:rPr>
          <w:sz w:val="20"/>
          <w:szCs w:val="20"/>
          <w:color w:val="auto"/>
        </w:rPr>
      </w:pPr>
    </w:p>
    <w:p>
      <w:pPr>
        <w:jc w:val="center"/>
        <w:ind w:left="228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65405</wp:posOffset>
            </wp:positionV>
            <wp:extent cx="2108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87" w:lineRule="exact"/>
        <w:rPr>
          <w:sz w:val="20"/>
          <w:szCs w:val="20"/>
          <w:color w:val="auto"/>
        </w:rPr>
      </w:pPr>
    </w:p>
    <w:p>
      <w:pPr>
        <w:ind w:left="2900"/>
        <w:spacing w:after="0"/>
        <w:tabs>
          <w:tab w:leader="none" w:pos="46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28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31115</wp:posOffset>
            </wp:positionV>
            <wp:extent cx="21170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74"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45" w:lineRule="exact"/>
        <w:rPr>
          <w:sz w:val="20"/>
          <w:szCs w:val="20"/>
          <w:color w:val="auto"/>
        </w:rPr>
      </w:pPr>
    </w:p>
    <w:p>
      <w:pPr>
        <w:sectPr>
          <w:pgSz w:w="11900" w:h="16838" w:orient="portrait"/>
          <w:cols w:equalWidth="0" w:num="2">
            <w:col w:w="5540" w:space="720"/>
            <w:col w:w="49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5"/>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8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459"/>
        </w:trPr>
        <w:tc>
          <w:tcPr>
            <w:tcW w:w="400" w:type="dxa"/>
            <w:vAlign w:val="bottom"/>
          </w:tcPr>
          <w:p>
            <w:pPr>
              <w:spacing w:after="0"/>
              <w:rPr>
                <w:sz w:val="20"/>
                <w:szCs w:val="20"/>
                <w:color w:val="auto"/>
              </w:rPr>
            </w:pPr>
            <w:r>
              <w:rPr>
                <w:rFonts w:ascii="Arial" w:cs="Arial" w:eastAsia="Arial" w:hAnsi="Arial"/>
                <w:sz w:val="18"/>
                <w:szCs w:val="18"/>
                <w:b w:val="1"/>
                <w:bCs w:val="1"/>
                <w:color w:val="auto"/>
              </w:rPr>
              <w:t>3.</w:t>
            </w:r>
          </w:p>
        </w:tc>
        <w:tc>
          <w:tcPr>
            <w:tcW w:w="278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Accrued Expenses</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8"/>
        </w:trPr>
        <w:tc>
          <w:tcPr>
            <w:tcW w:w="4760" w:type="dxa"/>
            <w:vAlign w:val="bottom"/>
            <w:gridSpan w:val="5"/>
          </w:tcPr>
          <w:p>
            <w:pPr>
              <w:spacing w:after="0"/>
              <w:rPr>
                <w:sz w:val="20"/>
                <w:szCs w:val="20"/>
                <w:color w:val="auto"/>
              </w:rPr>
            </w:pPr>
            <w:r>
              <w:rPr>
                <w:rFonts w:ascii="Arial" w:cs="Arial" w:eastAsia="Arial" w:hAnsi="Arial"/>
                <w:sz w:val="18"/>
                <w:szCs w:val="18"/>
                <w:color w:val="auto"/>
              </w:rPr>
              <w:t>Accrued expenses are as follows for the indicated periods: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2"/>
        </w:trPr>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24"/>
                <w:szCs w:val="24"/>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31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Accrued commissions</w:t>
            </w:r>
          </w:p>
        </w:tc>
        <w:tc>
          <w:tcPr>
            <w:tcW w:w="7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3180" w:type="dxa"/>
            <w:vAlign w:val="bottom"/>
            <w:gridSpan w:val="3"/>
          </w:tcPr>
          <w:p>
            <w:pPr>
              <w:ind w:left="20"/>
              <w:spacing w:after="0"/>
              <w:rPr>
                <w:sz w:val="20"/>
                <w:szCs w:val="20"/>
                <w:color w:val="auto"/>
              </w:rPr>
            </w:pPr>
            <w:r>
              <w:rPr>
                <w:rFonts w:ascii="Arial" w:cs="Arial" w:eastAsia="Arial" w:hAnsi="Arial"/>
                <w:sz w:val="18"/>
                <w:szCs w:val="18"/>
                <w:color w:val="auto"/>
              </w:rPr>
              <w:t>Accrued interest</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payroll and payroll taxes</w:t>
            </w:r>
          </w:p>
        </w:tc>
        <w:tc>
          <w:tcPr>
            <w:tcW w:w="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3180" w:type="dxa"/>
            <w:vAlign w:val="bottom"/>
            <w:gridSpan w:val="3"/>
          </w:tcPr>
          <w:p>
            <w:pPr>
              <w:ind w:left="20"/>
              <w:spacing w:after="0"/>
              <w:rPr>
                <w:sz w:val="20"/>
                <w:szCs w:val="20"/>
                <w:color w:val="auto"/>
              </w:rPr>
            </w:pPr>
            <w:r>
              <w:rPr>
                <w:rFonts w:ascii="Arial" w:cs="Arial" w:eastAsia="Arial" w:hAnsi="Arial"/>
                <w:sz w:val="18"/>
                <w:szCs w:val="18"/>
                <w:color w:val="auto"/>
              </w:rPr>
              <w:t>Accrued rent expense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sales and withholding taxes</w:t>
            </w:r>
          </w:p>
        </w:tc>
        <w:tc>
          <w:tcPr>
            <w:tcW w:w="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180" w:type="dxa"/>
            <w:vAlign w:val="bottom"/>
            <w:gridSpan w:val="3"/>
          </w:tcPr>
          <w:p>
            <w:pPr>
              <w:ind w:left="20"/>
              <w:spacing w:after="0"/>
              <w:rPr>
                <w:sz w:val="20"/>
                <w:szCs w:val="20"/>
                <w:color w:val="auto"/>
              </w:rPr>
            </w:pPr>
            <w:r>
              <w:rPr>
                <w:rFonts w:ascii="Arial" w:cs="Arial" w:eastAsia="Arial" w:hAnsi="Arial"/>
                <w:sz w:val="18"/>
                <w:szCs w:val="18"/>
                <w:color w:val="auto"/>
              </w:rPr>
              <w:t>Accrued warranty expense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3180" w:type="dxa"/>
            <w:vAlign w:val="bottom"/>
            <w:gridSpan w:val="3"/>
          </w:tcPr>
          <w:p>
            <w:pPr>
              <w:ind w:left="20"/>
              <w:spacing w:after="0"/>
              <w:rPr>
                <w:sz w:val="20"/>
                <w:szCs w:val="20"/>
                <w:color w:val="auto"/>
              </w:rPr>
            </w:pPr>
            <w:r>
              <w:rPr>
                <w:rFonts w:ascii="Arial" w:cs="Arial" w:eastAsia="Arial" w:hAnsi="Arial"/>
                <w:sz w:val="18"/>
                <w:szCs w:val="18"/>
                <w:color w:val="auto"/>
              </w:rPr>
              <w:t>Total accrued expenses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r>
    </w:tbl>
    <w:p>
      <w:pPr>
        <w:spacing w:after="0" w:line="238"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is the guarantor to a line of credit arrangement made available to the Company through a member of the Company. The line of credit allows for maximum borrowings which are subject to a borrowing base formula and an overall financial review of the Company. Borrowings, which accrue interest at a rate of 2.25 percent, did not exceed $750 during both the years ended September 30, 2021 and December 31, 2020. Amounts owed under the line of credit arrangement are due within 90 days of draw. As of September 30, 2021 and December 31, 2020, the amount outstanding under the line of credit to which the Company remained liable for as a result of their guaranty was $72 and $225, respectively, and is included within current maturities of long-term debt within the Company's balance sheets.</w:t>
      </w:r>
    </w:p>
    <w:p>
      <w:pPr>
        <w:spacing w:after="0" w:line="134"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Paycheck Protection Program Loan</w:t>
      </w:r>
    </w:p>
    <w:p>
      <w:pPr>
        <w:spacing w:after="0" w:line="17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On April 17, 2020, the Company received loan proceeds in the amount of $799 under the Paycheck Protection Program (PPP) which was established as part of the Coronavirus Aid, Relief and Economic Security (CARES) Act and is administered through the Small Business Administration (SBA). The PPP provides loans to qualifying businesses in amounts up to 2.5 times their average monthly payroll expenses and was designed to provide a direct</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440" w:right="339" w:bottom="1440" w:gutter="0" w:footer="0" w:header="0"/>
          <w:type w:val="continuous"/>
        </w:sectPr>
      </w:pPr>
    </w:p>
    <w:bookmarkStart w:id="60" w:name="page61"/>
    <w:bookmarkEnd w:id="60"/>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financial incentive for qualifying businesses to keep their workforce employed during the Coronavirus crisis. PPP loans are uncollateralized and guaranteed by the SBA and are forgivable after a “covered period” (eight or twenty-four weeks) as long as the borrower maintains its payroll levels and uses the loan proceeds for eligible expenses, including payroll, benefits, mortgage interest, rent, and utilities. The forgiveness amount will be reduced if the borrower terminates employees or reduces salaries and wages more than 25 percent during the covered period. Any unforgiven portion is payable over two years if issued at an interest rate of 1 percent with payments deferred until the SBA remits the borrower’s loan forgiveness amount to the lender. PPP loan terms provide for customary events of default, including payment defaults, breaches of representations and warranties, and insolvency events and may be accelerated upon the occurrence of one or more of these events of default. Additionally, PPP loan terms do not include prepayment penalties.</w:t>
      </w:r>
    </w:p>
    <w:p>
      <w:pPr>
        <w:spacing w:after="0" w:line="11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met the PPP’s loan forgiveness requirements, and therefore, applied for forgiveness during January of 2021. When legal release is received, the Company will record the amount forgiven as forgiveness income within the other income section of its statement of operations. If any portion of the Company’s PPP loan is not forgiven, the Company will be required to repay that portion, plus interest, over 2 years in monthly installments with the repayment term beginning at the time that the SBA remits the amount forgiven to the Company’s lender.</w:t>
      </w:r>
    </w:p>
    <w:p>
      <w:pPr>
        <w:spacing w:after="0" w:line="11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SBA reserves the right to audit any PPP loan, regardless of size. These audits may occur after forgiveness has been granted. In accordance with the CARES Act, all borrowers are required to maintain their PPP loan documentation for six years after the PPP loan was forgiven or repaid in full and to provide that documentation to the SBA upon request. During August 2021, the Company was granted full forgiveness on the loan, at which time, the Company recognized $799 in 'gain on debt extinguishment' within the Company's consolidated statement of net loss.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January 17, 2021, the Company was granted a loan in the principal amount of $799 pursuant to the PPP under the CARES Act. The loan is evidenced by a promissory note, and bears interest at the rate of 1.00 percent per annum. After a ten-month deferral period, the loan is payable over the life of the loan which matures on January 17, 2026. Loan recipients may apply for and receive loan forgiveness for all or a portion of the loans based on meeting certain requirements related to payroll costs, employee retention, employee wage levels, rent, and utilities, as described in the CARES Act and other implementation guidance and forms issued by the U.S. Small Business Administration. During August 2021, the Company was granted full forgiveness on the loan, at which time, the Company recognized $799 in 'gain on debt extinguishment' within the Company's consolidated statement of net loss.</w:t>
      </w:r>
    </w:p>
    <w:p>
      <w:pPr>
        <w:spacing w:after="0" w:line="106"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U.S. Small Business Administration (SBA) Loan Payable</w:t>
      </w:r>
    </w:p>
    <w:p>
      <w:pPr>
        <w:spacing w:after="0" w:line="17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July 1, 2020, the Company received loan proceeds in the amount of $160 from the SBA for alleviation of economic injury caused by the Coronavirus pandemic. The loan is collateralized by substantially all assets of the Company, and matures on July 1, 2050. Monthly payments of approximately $1, including interest at a rate of 3.75 percent annually, are required commencing on July 1, 2021 through the maturity date.</w:t>
      </w:r>
    </w:p>
    <w:p>
      <w:pPr>
        <w:spacing w:after="0" w:line="107"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conducts its operations from facilities leased under operating lease agreements through 2023. The facilities do not include renewal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is a summary by year of scheduled future minimum payments on non-cancelable operating leases with initial or remaining lease terms in excess of one year as of September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(remaining 3 months)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9680" w:type="dxa"/>
            <w:vAlign w:val="bottom"/>
          </w:tcPr>
          <w:p>
            <w:pPr>
              <w:ind w:left="360"/>
              <w:spacing w:after="0"/>
              <w:rPr>
                <w:sz w:val="20"/>
                <w:szCs w:val="20"/>
                <w:color w:val="auto"/>
              </w:rPr>
            </w:pPr>
            <w:r>
              <w:rPr>
                <w:rFonts w:ascii="Arial" w:cs="Arial" w:eastAsia="Arial" w:hAnsi="Arial"/>
                <w:sz w:val="18"/>
                <w:szCs w:val="18"/>
                <w:color w:val="auto"/>
              </w:rPr>
              <w:t>Total undiscounted lease payments</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48"/>
        </w:trPr>
        <w:tc>
          <w:tcPr>
            <w:tcW w:w="9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Management has evaluated the impact of all subsequent events occurring through December 10, 2021, the date the financial statements were available to be issued for events requiring recording or disclosure in the Company’s financial statements.</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September 29, 2021, Sinclair Scientific (the Company's newly formed holding company), together with its wholly-owned subsidiaries of the Company and Cascade, and the equity holders of Sinclair Scientific named therein (collectively, the Sinclair Members) entered into a Plan Merger and Equity Purchase Agreement, as amended on October 1, 2021 (the purchase agreement) with Agrify Corporation (Agrify). Subject to the terms and conditions set forth in the purchase agreement, Sinclair transferred to Agrify, and Agrify purchased (the interest purchase) from Sinclair 100 percent of the equity interests of Cascade, such that immediately after the consummation of the interest purchase, Cascade became a wholly-owned subsidiary of Agrify, and the Company merged (the merger) with and into a newly-formed wholly-owned subsidiary of Agrify, Precision Extraction NewCo, LLC.</w:t>
      </w:r>
    </w:p>
    <w:p>
      <w:pPr>
        <w:spacing w:after="0" w:line="1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aggregate consideration for the interest purchase and the merger consisted of: (a) the sum of $30,000, plus consideration payable to holders of outstanding Sinclair Scientific equity awards issued under the aforementioned incentive plan, subject to certain adjustments for working capital, cash, and indebtedness, payable in connection with the interest purchase; (b) the number of shares of Agrify’s common stock, subject to adjustment, equal to the quotient of (i) $20,000 divided by (ii) the volume-weighted average price per share of the Agrify’s common stock on The Nasdaq Capital Market for the 30 consecutive trading days ending on the Execution Date (the VWAP Price), issuable in connection with the Merger; and (c) the True-Up Buyer Shares, if any (as defined below), issuable in connection with the merger.</w:t>
      </w:r>
    </w:p>
    <w:p>
      <w:pPr>
        <w:spacing w:after="0" w:line="13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purchase agreement includes customary post-closing adjustments, representations and warranties and covenants of the parties. The Sinclair members may become entitled to additional shares of Agrify’s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 However, in no event shall the aggregate purchase price paid by the Company pursuant to the terms of the Purchase Agreement, taking into account any Aggregate True-Up Payment in favor of the members, exceed $65,000.</w:t>
      </w:r>
    </w:p>
    <w:p>
      <w:pPr>
        <w:spacing w:after="0" w:line="10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Because the aforementioned transactions occurred subsequent to December 31, 2020, unless otherwise stated within the Notes to the Company’s consolidated financial statements, these transactions did not have any impact on the Company’s consolidated financial statements as of December 31, 2020. Both Sinclair Scientific and Agrify are currently in the process of valuing the fair value of acquired assets and liabilities assumed in relation to these transactions. It is therefore currently impractical to disclose a preliminary purchase price allocation in relation to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PRO FORMA CONDENSED COMBINED FINANCIAL INFORMATION</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29, 2021 (the “Execution Date”), Agrify Corporation (“Agrify” or the “Company”) entered into a Plan of Merger and Equity Purchase Agreement, as amended by an amendment dated as of October 1, 2021 (as amended, the “Purchase Agreement”), with Sinclair Scientific, LLC, a Delaware limited liability company (“Sinclair”); Mass2Media, LLC, d/b/a PX2 Holdings, LLC, d/b/a Precision Extraction Solutions, a Michigan limited liability company (“Precision”); and each of the equity holders of Sinclair named therein (collectively, the “Members”). On October 1, 2021 (the “Closing Date”), Agrify consummated the transactions contemplated by the Purchase Agreement. Terms used herein as defined terms and not otherwise defined herein shall have the meanings ascribed to them in the Purchase Agreement.</w:t>
      </w:r>
    </w:p>
    <w:p>
      <w:pPr>
        <w:spacing w:after="0" w:line="13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Subject to the terms and conditions set forth in the Purchase Agreement, (1) Sinclair sold, transferred, conveyed, assigned and delivered to Agrify, and Agrify purchased (the “Interest Purchase”) from Sinclair, 100% of the equity interests (the “Purchased Interests”) of Cascade Sciences, LLC, a Delaware limited liability company (“Cascade”), such that immediately after the consummation of such Interest Purchase, Cascade became a wholly-owned subsidiary of Agrify, and (2) in accordance with the Michigan Limited Liability Company Act, as amended, (i) Precision merged (the “Merger” and, together with the Interest Purchase, the “Acquisition”) with and into a newly-formed wholly-owned subsidiary of Agrify organized as a Michigan limited liability company (“Merger Sub”), and (ii) the separate limited liability company existence of Precision ceased, and Merger Sub continued its limited liability company existence under the Michigan LLC Act as the surviving limited liability company in the Merger.</w:t>
      </w:r>
    </w:p>
    <w:p>
      <w:pPr>
        <w:spacing w:after="0" w:line="12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aggregate consideration for the Interest Purchase and the Merger consisted of: (a) the sum of Thirty Million Dollars ($30,000,000), plus consideration payable to holders of outstanding Sinclair equity awards, subject to certain adjustments for working capital, cash and indebtedness (the “Closing Cash Amount”), payable in connection with the Interest Purchase; (b) the number of shares of Agrify common stock, subject to adjustment (the “Closing Buyer Shares”), equal to the quotient of (i) Twenty Million Dollars ($20,000,000) divided by (ii) the volume-weighted average price per share of Agrify common stock on The Nasdaq Capital Market for the thirty (30) consecutive trading days ending on the Execution Date (the “VWAP Price”), issuable in connection with the Merger; and (c) the True-Up Buyer Shares, if any (as defined below), issuable in connection with the Merger.</w:t>
      </w:r>
    </w:p>
    <w:p>
      <w:pPr>
        <w:spacing w:after="0" w:line="1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Agrify withheld 15% of the Closing Buyer Shares (the “Holdback Buyer Shares”) for the purpose of securing any post-closing adjustment owed to Agrify and any claim for indemnification or payment of damages to which Agrify may be entitled under the Purchase Agreement. The Holdback Buyer Shares shall be released following the eighteen (18) month anniversary of the Closing Date in accordance with and subject to the conditions of the Purchase Agreement.</w:t>
      </w:r>
    </w:p>
    <w:p>
      <w:pPr>
        <w:spacing w:after="0" w:line="133"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Purchase Agreement includes customary post-closing adjustments, representations and warranties and covenants of the parties. The Members may become entitled to additional shares of Agrify common stock (the “True-Up Buyer Shares”) and cash (collectively, the “Aggregate True-Up Payment) based on the eligible net revenues (as defined in the Purchase Agreement) achieved by the Cascade and Precision businesses during the fiscal year ending December 31, 2021. However, in no event shall the aggregate purchase price paid by Agrify pursuant to the terms of the Purchase Agreement, taking into account any Aggregate True-Up Payment in favor of the Members, exceed Sixty-Five Million Dollars ($65,000,000).</w:t>
      </w:r>
    </w:p>
    <w:p>
      <w:pPr>
        <w:spacing w:after="0" w:line="1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terms of the Acquisition were determined on the basis of arm’s-length negotiations. The upfront cash consideration paid by was funded from Agrify’s working capital.</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unaudited pro forma condensed combined financial information was derived from the historical consolidated financial statements of Agrify, Precision and Cascade. The following unaudited pro forma condensed combined balance sheet as of September 30, 2021, is presented as if the Acquisition had occurred on September 30, 2021. The unaudited pro forma combined condensed statement of operations for the nine months ended September 30, 2021 and the year ended December 31, 2020 are presented as if the Acquisition had occurred on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63" w:name="page64"/>
    <w:bookmarkEnd w:id="63"/>
    <w:p>
      <w:pPr>
        <w:ind w:right="220"/>
        <w:spacing w:after="0" w:line="296" w:lineRule="auto"/>
        <w:rPr>
          <w:sz w:val="20"/>
          <w:szCs w:val="20"/>
          <w:color w:val="auto"/>
        </w:rPr>
      </w:pPr>
      <w:r>
        <w:rPr>
          <w:rFonts w:ascii="Arial" w:cs="Arial" w:eastAsia="Arial" w:hAnsi="Arial"/>
          <w:sz w:val="16"/>
          <w:szCs w:val="16"/>
          <w:color w:val="auto"/>
        </w:rPr>
        <w:t>The unaudited pro forma condensed combined financial statements reflect pro forma adjustments that are based upon available information and certain assumptions that management believes are reasonable. The unaudited pro forma condensed combined financial statements do not reflect any operating efficiencies and/or cost savings that Agrify may achieve, or any additional expenses that it may incur, with respect to the combined companies. The unaudited pro forma condensed combined financial statements do not purport to represent Agrify’s results of operations or financial position that would have resulted had the transactions, to which pro forma effects are given, been consummated as of the date or for the periods indicated.</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Acquisition has been accounted for in accordance with ASC Topic 805, “Business Combinations” (“ASC Topic 805”). Accordingly, the total purchase price has been allocated on a preliminary basis to assets acquired, liabilities assumed, identified intangible assets and goodwill based upon their estimated fair values as of the date of the Acquisition. These allocations reflect various preliminary estimates that were available at the time of the preparation of this Amendment No. 1 to Current Report on Form 8-K/A, and are subject to change during the measurement period, as valuations are finalized.</w:t>
      </w:r>
    </w:p>
    <w:p>
      <w:pPr>
        <w:spacing w:after="0" w:line="10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There were no material differences between the accounting policies of Agrify, Precision and Cascade. No adjustments were necessary to eliminate intercompany transactions and balances in the unaudited pro forma condensed combined financial statements, as there were no transactions or balances between Agrify, Precision and Cascade.</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unaudited pro forma condensed combined financial statements and accompanying notes should be read in conjunction with the historical audited financial statements of Agrify contained in its Annual Report on Form 10-K for the fiscal year ended December 31, 2020, as filed with the Securities and Exchange Commission (“SEC”) on April 2, 2021, its Quarterly Report on Form 10-Q for the fiscal quarter ended September 30, 2021, as filed with the SEC on November 12, 2021, and the historical financial statements of Precision and Cascade filed with this Amendment No. 1 to Current Report on Form 8-K/A.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320" w:top="1421" w:right="41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Agrify</w:t>
            </w:r>
          </w:p>
        </w:tc>
        <w:tc>
          <w:tcPr>
            <w:tcW w:w="220" w:type="dxa"/>
            <w:vAlign w:val="bottom"/>
          </w:tcPr>
          <w:p>
            <w:pPr>
              <w:spacing w:after="0"/>
              <w:rPr>
                <w:sz w:val="14"/>
                <w:szCs w:val="14"/>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Precision</w:t>
            </w:r>
          </w:p>
        </w:tc>
        <w:tc>
          <w:tcPr>
            <w:tcW w:w="22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Cascade</w:t>
            </w:r>
          </w:p>
        </w:tc>
        <w:tc>
          <w:tcPr>
            <w:tcW w:w="160" w:type="dxa"/>
            <w:vAlign w:val="bottom"/>
          </w:tcPr>
          <w:p>
            <w:pPr>
              <w:spacing w:after="0"/>
              <w:rPr>
                <w:sz w:val="14"/>
                <w:szCs w:val="14"/>
                <w:color w:val="auto"/>
              </w:rPr>
            </w:pPr>
          </w:p>
        </w:tc>
        <w:tc>
          <w:tcPr>
            <w:tcW w:w="1080" w:type="dxa"/>
            <w:vAlign w:val="bottom"/>
          </w:tcPr>
          <w:p>
            <w:pPr>
              <w:jc w:val="right"/>
              <w:ind w:right="191"/>
              <w:spacing w:after="0"/>
              <w:rPr>
                <w:sz w:val="20"/>
                <w:szCs w:val="20"/>
                <w:color w:val="auto"/>
              </w:rPr>
            </w:pPr>
            <w:r>
              <w:rPr>
                <w:rFonts w:ascii="Arial" w:cs="Arial" w:eastAsia="Arial" w:hAnsi="Arial"/>
                <w:sz w:val="14"/>
                <w:szCs w:val="14"/>
                <w:b w:val="1"/>
                <w:bCs w:val="1"/>
                <w:color w:val="auto"/>
              </w:rPr>
              <w:t>Pro Forma</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91"/>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b w:val="1"/>
                <w:bCs w:val="1"/>
                <w:color w:val="auto"/>
                <w:w w:val="99"/>
              </w:rPr>
              <w:t>Adjustments</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1"/>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44,746</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(36,535) (B,C,G)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9,499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62,261</w:t>
            </w:r>
          </w:p>
        </w:tc>
        <w:tc>
          <w:tcPr>
            <w:tcW w:w="0" w:type="dxa"/>
            <w:vAlign w:val="bottom"/>
          </w:tcPr>
          <w:p>
            <w:pPr>
              <w:spacing w:after="0"/>
              <w:rPr>
                <w:sz w:val="1"/>
                <w:szCs w:val="1"/>
                <w:color w:val="auto"/>
              </w:rPr>
            </w:pPr>
          </w:p>
        </w:tc>
      </w:tr>
      <w:tr>
        <w:trPr>
          <w:trHeight w:val="176"/>
        </w:trPr>
        <w:tc>
          <w:tcPr>
            <w:tcW w:w="4080" w:type="dxa"/>
            <w:vAlign w:val="bottom"/>
          </w:tcPr>
          <w:p>
            <w:pPr>
              <w:ind w:left="20"/>
              <w:spacing w:after="0" w:line="176" w:lineRule="exact"/>
              <w:rPr>
                <w:sz w:val="20"/>
                <w:szCs w:val="20"/>
                <w:color w:val="auto"/>
              </w:rPr>
            </w:pPr>
            <w:r>
              <w:rPr>
                <w:rFonts w:ascii="Arial" w:cs="Arial" w:eastAsia="Arial" w:hAnsi="Arial"/>
                <w:sz w:val="18"/>
                <w:szCs w:val="18"/>
                <w:color w:val="auto"/>
              </w:rPr>
              <w:t>Accounts receivable, net of allowance for doubtful</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11,873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12,791</w:t>
            </w: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Arial" w:cs="Arial" w:eastAsia="Arial" w:hAnsi="Arial"/>
                <w:sz w:val="18"/>
                <w:szCs w:val="18"/>
                <w:color w:val="auto"/>
              </w:rPr>
              <w:t>accounts</w:t>
            </w: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18,055</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(36,535)</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108,334</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marketable securities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Loan receivable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330"/>
              <w:spacing w:after="0"/>
              <w:rPr>
                <w:sz w:val="20"/>
                <w:szCs w:val="20"/>
                <w:color w:val="auto"/>
              </w:rPr>
            </w:pPr>
            <w:r>
              <w:rPr>
                <w:rFonts w:ascii="Arial" w:cs="Arial" w:eastAsia="Arial" w:hAnsi="Arial"/>
                <w:sz w:val="18"/>
                <w:szCs w:val="18"/>
                <w:color w:val="auto"/>
              </w:rPr>
              <w:t>(350) (A)</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13,092</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44,557</w:t>
            </w:r>
          </w:p>
        </w:tc>
        <w:tc>
          <w:tcPr>
            <w:tcW w:w="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5"/>
              </w:rPr>
              <w:t>(C)</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45,189</w:t>
            </w:r>
          </w:p>
        </w:tc>
        <w:tc>
          <w:tcPr>
            <w:tcW w:w="0" w:type="dxa"/>
            <w:vAlign w:val="bottom"/>
          </w:tcPr>
          <w:p>
            <w:pPr>
              <w:spacing w:after="0"/>
              <w:rPr>
                <w:sz w:val="1"/>
                <w:szCs w:val="1"/>
                <w:color w:val="auto"/>
              </w:rPr>
            </w:pPr>
          </w:p>
        </w:tc>
      </w:tr>
      <w:tr>
        <w:trPr>
          <w:trHeight w:val="175"/>
        </w:trPr>
        <w:tc>
          <w:tcPr>
            <w:tcW w:w="4080" w:type="dxa"/>
            <w:vAlign w:val="bottom"/>
          </w:tcPr>
          <w:p>
            <w:pPr>
              <w:ind w:left="20"/>
              <w:spacing w:after="0" w:line="176" w:lineRule="exact"/>
              <w:rPr>
                <w:sz w:val="20"/>
                <w:szCs w:val="20"/>
                <w:color w:val="auto"/>
              </w:rPr>
            </w:pPr>
            <w:r>
              <w:rPr>
                <w:rFonts w:ascii="Arial" w:cs="Arial" w:eastAsia="Arial" w:hAnsi="Arial"/>
                <w:sz w:val="18"/>
                <w:szCs w:val="18"/>
                <w:color w:val="auto"/>
              </w:rPr>
              <w:t>Intangible assets acquired through business</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1,463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9,642</w:t>
            </w:r>
          </w:p>
        </w:tc>
        <w:tc>
          <w:tcPr>
            <w:tcW w:w="700" w:type="dxa"/>
            <w:vAlign w:val="bottom"/>
            <w:vMerge w:val="restart"/>
          </w:tcPr>
          <w:p>
            <w:pPr>
              <w:ind w:left="20"/>
              <w:spacing w:after="0"/>
              <w:rPr>
                <w:sz w:val="20"/>
                <w:szCs w:val="20"/>
                <w:color w:val="auto"/>
              </w:rPr>
            </w:pPr>
            <w:r>
              <w:rPr>
                <w:rFonts w:ascii="Arial" w:cs="Arial" w:eastAsia="Arial" w:hAnsi="Arial"/>
                <w:sz w:val="18"/>
                <w:szCs w:val="18"/>
                <w:color w:val="auto"/>
              </w:rPr>
              <w:t>(C,E)</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11,105</w:t>
            </w: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Arial" w:cs="Arial" w:eastAsia="Arial" w:hAnsi="Arial"/>
                <w:sz w:val="18"/>
                <w:szCs w:val="18"/>
                <w:color w:val="auto"/>
              </w:rPr>
              <w:t>combination, net</w:t>
            </w: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website costs,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Total long term assets</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26,433</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53,849</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83,254</w:t>
            </w: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159,298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17,314</w:t>
            </w:r>
          </w:p>
        </w:tc>
        <w:tc>
          <w:tcPr>
            <w:tcW w:w="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191,588</w:t>
            </w: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8,742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12,480</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 related parties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(527) (B)</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5,171</w:t>
            </w:r>
          </w:p>
        </w:tc>
        <w:tc>
          <w:tcPr>
            <w:tcW w:w="700" w:type="dxa"/>
            <w:vAlign w:val="bottom"/>
          </w:tcPr>
          <w:p>
            <w:pPr>
              <w:ind w:left="20"/>
              <w:spacing w:after="0"/>
              <w:rPr>
                <w:sz w:val="20"/>
                <w:szCs w:val="20"/>
                <w:color w:val="auto"/>
              </w:rPr>
            </w:pPr>
            <w:r>
              <w:rPr>
                <w:rFonts w:ascii="Arial" w:cs="Arial" w:eastAsia="Arial" w:hAnsi="Arial"/>
                <w:sz w:val="18"/>
                <w:szCs w:val="18"/>
                <w:color w:val="auto"/>
              </w:rPr>
              <w:t>(C,F)</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19,177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(73) (B)</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Current portion of lease liabilities</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4,571</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39,209</w:t>
            </w:r>
          </w:p>
        </w:tc>
        <w:tc>
          <w:tcPr>
            <w:tcW w:w="0" w:type="dxa"/>
            <w:vAlign w:val="bottom"/>
          </w:tcPr>
          <w:p>
            <w:pPr>
              <w:spacing w:after="0"/>
              <w:rPr>
                <w:sz w:val="1"/>
                <w:szCs w:val="1"/>
                <w:color w:val="auto"/>
              </w:rPr>
            </w:pPr>
          </w:p>
        </w:tc>
      </w:tr>
      <w:tr>
        <w:trPr>
          <w:trHeight w:val="149"/>
        </w:trPr>
        <w:tc>
          <w:tcPr>
            <w:tcW w:w="4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payable, related party</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(350) (A)</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(1,646) (D)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41,280</w:t>
            </w:r>
          </w:p>
        </w:tc>
        <w:tc>
          <w:tcPr>
            <w:tcW w:w="0" w:type="dxa"/>
            <w:vAlign w:val="bottom"/>
          </w:tcPr>
          <w:p>
            <w:pPr>
              <w:spacing w:after="0"/>
              <w:rPr>
                <w:sz w:val="1"/>
                <w:szCs w:val="1"/>
                <w:color w:val="auto"/>
              </w:rPr>
            </w:pPr>
          </w:p>
        </w:tc>
      </w:tr>
      <w:tr>
        <w:trPr>
          <w:trHeight w:val="128"/>
        </w:trPr>
        <w:tc>
          <w:tcPr>
            <w:tcW w:w="40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7" w:right="339" w:bottom="1440" w:gutter="0" w:footer="0" w:header="0"/>
        </w:sectPr>
      </w:pPr>
    </w:p>
    <w:bookmarkStart w:id="65" w:name="page66"/>
    <w:bookmarkEnd w:id="65"/>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Members' equity</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19,312</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(B,C)</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25,510</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179,991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179,991</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(4,573) (D,E,F,G)</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(55,591)</w:t>
            </w:r>
          </w:p>
        </w:tc>
      </w:tr>
      <w:tr>
        <w:trPr>
          <w:trHeight w:val="22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 (Deficit)</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134,297</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8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14,739</w:t>
            </w:r>
          </w:p>
        </w:tc>
        <w:tc>
          <w:tcPr>
            <w:tcW w:w="8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149,930</w:t>
            </w: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159,298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17,314</w:t>
            </w:r>
          </w:p>
        </w:tc>
        <w:tc>
          <w:tcPr>
            <w:tcW w:w="8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191,588</w:t>
            </w:r>
          </w:p>
        </w:tc>
      </w:tr>
      <w:tr>
        <w:trPr>
          <w:trHeight w:val="21"/>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For the nine months ended September 30, 2021</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Agrify</w:t>
            </w:r>
          </w:p>
        </w:tc>
        <w:tc>
          <w:tcPr>
            <w:tcW w:w="220" w:type="dxa"/>
            <w:vAlign w:val="bottom"/>
          </w:tcPr>
          <w:p>
            <w:pPr>
              <w:spacing w:after="0"/>
              <w:rPr>
                <w:sz w:val="14"/>
                <w:szCs w:val="14"/>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Precision</w:t>
            </w:r>
          </w:p>
        </w:tc>
        <w:tc>
          <w:tcPr>
            <w:tcW w:w="22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Cascade</w:t>
            </w:r>
          </w:p>
        </w:tc>
        <w:tc>
          <w:tcPr>
            <w:tcW w:w="140" w:type="dxa"/>
            <w:vAlign w:val="bottom"/>
          </w:tcPr>
          <w:p>
            <w:pPr>
              <w:spacing w:after="0"/>
              <w:rPr>
                <w:sz w:val="14"/>
                <w:szCs w:val="14"/>
                <w:color w:val="auto"/>
              </w:rPr>
            </w:pPr>
          </w:p>
        </w:tc>
        <w:tc>
          <w:tcPr>
            <w:tcW w:w="1040" w:type="dxa"/>
            <w:vAlign w:val="bottom"/>
          </w:tcPr>
          <w:p>
            <w:pPr>
              <w:jc w:val="right"/>
              <w:ind w:right="172"/>
              <w:spacing w:after="0"/>
              <w:rPr>
                <w:sz w:val="20"/>
                <w:szCs w:val="20"/>
                <w:color w:val="auto"/>
              </w:rPr>
            </w:pPr>
            <w:r>
              <w:rPr>
                <w:rFonts w:ascii="Arial" w:cs="Arial" w:eastAsia="Arial" w:hAnsi="Arial"/>
                <w:sz w:val="14"/>
                <w:szCs w:val="14"/>
                <w:b w:val="1"/>
                <w:bCs w:val="1"/>
                <w:color w:val="auto"/>
              </w:rPr>
              <w:t>Pro Forma</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32"/>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Adjustments</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2"/>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24"/>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65,010</w:t>
            </w:r>
          </w:p>
        </w:tc>
        <w:tc>
          <w:tcPr>
            <w:tcW w:w="0" w:type="dxa"/>
            <w:vAlign w:val="bottom"/>
          </w:tcPr>
          <w:p>
            <w:pPr>
              <w:spacing w:after="0"/>
              <w:rPr>
                <w:sz w:val="1"/>
                <w:szCs w:val="1"/>
                <w:color w:val="auto"/>
              </w:rPr>
            </w:pPr>
          </w:p>
        </w:tc>
      </w:tr>
      <w:tr>
        <w:trPr>
          <w:trHeight w:val="257"/>
        </w:trPr>
        <w:tc>
          <w:tcPr>
            <w:tcW w:w="4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goods sold</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56,880</w:t>
            </w:r>
          </w:p>
        </w:tc>
        <w:tc>
          <w:tcPr>
            <w:tcW w:w="0" w:type="dxa"/>
            <w:vAlign w:val="bottom"/>
          </w:tcPr>
          <w:p>
            <w:pPr>
              <w:spacing w:after="0"/>
              <w:rPr>
                <w:sz w:val="1"/>
                <w:szCs w:val="1"/>
                <w:color w:val="auto"/>
              </w:rPr>
            </w:pPr>
          </w:p>
        </w:tc>
      </w:tr>
      <w:tr>
        <w:trPr>
          <w:trHeight w:val="236"/>
        </w:trPr>
        <w:tc>
          <w:tcPr>
            <w:tcW w:w="4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w:t>
            </w:r>
          </w:p>
        </w:tc>
        <w:tc>
          <w:tcPr>
            <w:tcW w:w="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(E,F,G)</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31,031</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33,609</w:t>
            </w: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(25,479)</w:t>
            </w: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(227) (D)</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extinguishment of debt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income, net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37"/>
        </w:trPr>
        <w:tc>
          <w:tcPr>
            <w:tcW w:w="4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w w:val="97"/>
              </w:rPr>
              <w:t>Net (loss) income before non-controlling interest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w:t>
            </w:r>
          </w:p>
        </w:tc>
        <w:tc>
          <w:tcPr>
            <w:tcW w:w="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(21,138)</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w:t>
            </w:r>
          </w:p>
        </w:tc>
        <w:tc>
          <w:tcPr>
            <w:tcW w:w="6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(21,291)</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Net Loss from continuing operations - Per Share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00" w:type="dxa"/>
            <w:vAlign w:val="bottom"/>
          </w:tcPr>
          <w:p>
            <w:pPr>
              <w:ind w:left="20"/>
              <w:spacing w:after="0" w:line="176" w:lineRule="exact"/>
              <w:rPr>
                <w:sz w:val="20"/>
                <w:szCs w:val="20"/>
                <w:color w:val="auto"/>
              </w:rPr>
            </w:pPr>
            <w:r>
              <w:rPr>
                <w:rFonts w:ascii="Arial" w:cs="Arial" w:eastAsia="Arial" w:hAnsi="Arial"/>
                <w:sz w:val="18"/>
                <w:szCs w:val="18"/>
                <w:color w:val="auto"/>
                <w:w w:val="97"/>
              </w:rPr>
              <w:t>Net Loss attributable to Common Stockholders - Per</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4100" w:type="dxa"/>
            <w:vAlign w:val="bottom"/>
          </w:tcPr>
          <w:p>
            <w:pPr>
              <w:ind w:left="360"/>
              <w:spacing w:after="0"/>
              <w:rPr>
                <w:sz w:val="20"/>
                <w:szCs w:val="20"/>
                <w:color w:val="auto"/>
              </w:rPr>
            </w:pPr>
            <w:r>
              <w:rPr>
                <w:rFonts w:ascii="Arial" w:cs="Arial" w:eastAsia="Arial" w:hAnsi="Arial"/>
                <w:sz w:val="18"/>
                <w:szCs w:val="18"/>
                <w:color w:val="auto"/>
              </w:rPr>
              <w:t>Share</w:t>
            </w:r>
          </w:p>
        </w:tc>
        <w:tc>
          <w:tcPr>
            <w:tcW w:w="2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0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number of Common Shares</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18,068,736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18,852,739</w:t>
            </w:r>
          </w:p>
        </w:tc>
        <w:tc>
          <w:tcPr>
            <w:tcW w:w="0" w:type="dxa"/>
            <w:vAlign w:val="bottom"/>
          </w:tcPr>
          <w:p>
            <w:pPr>
              <w:spacing w:after="0"/>
              <w:rPr>
                <w:sz w:val="1"/>
                <w:szCs w:val="1"/>
                <w:color w:val="auto"/>
              </w:rPr>
            </w:pPr>
          </w:p>
        </w:tc>
      </w:tr>
      <w:tr>
        <w:trPr>
          <w:trHeight w:val="230"/>
        </w:trPr>
        <w:tc>
          <w:tcPr>
            <w:tcW w:w="4100" w:type="dxa"/>
            <w:vAlign w:val="bottom"/>
          </w:tcPr>
          <w:p>
            <w:pPr>
              <w:ind w:left="36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7"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Agrify</w:t>
            </w:r>
          </w:p>
        </w:tc>
        <w:tc>
          <w:tcPr>
            <w:tcW w:w="22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Precision</w:t>
            </w:r>
          </w:p>
        </w:tc>
        <w:tc>
          <w:tcPr>
            <w:tcW w:w="220" w:type="dxa"/>
            <w:vAlign w:val="bottom"/>
          </w:tcPr>
          <w:p>
            <w:pPr>
              <w:spacing w:after="0"/>
              <w:rPr>
                <w:sz w:val="14"/>
                <w:szCs w:val="14"/>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Cascade</w:t>
            </w:r>
          </w:p>
        </w:tc>
        <w:tc>
          <w:tcPr>
            <w:tcW w:w="160" w:type="dxa"/>
            <w:vAlign w:val="bottom"/>
          </w:tcPr>
          <w:p>
            <w:pPr>
              <w:spacing w:after="0"/>
              <w:rPr>
                <w:sz w:val="14"/>
                <w:szCs w:val="14"/>
                <w:color w:val="auto"/>
              </w:rPr>
            </w:pPr>
          </w:p>
        </w:tc>
        <w:tc>
          <w:tcPr>
            <w:tcW w:w="1040" w:type="dxa"/>
            <w:vAlign w:val="bottom"/>
          </w:tcPr>
          <w:p>
            <w:pPr>
              <w:jc w:val="right"/>
              <w:ind w:right="172"/>
              <w:spacing w:after="0"/>
              <w:rPr>
                <w:sz w:val="20"/>
                <w:szCs w:val="20"/>
                <w:color w:val="auto"/>
              </w:rPr>
            </w:pPr>
            <w:r>
              <w:rPr>
                <w:rFonts w:ascii="Arial" w:cs="Arial" w:eastAsia="Arial" w:hAnsi="Arial"/>
                <w:sz w:val="14"/>
                <w:szCs w:val="14"/>
                <w:b w:val="1"/>
                <w:bCs w:val="1"/>
                <w:color w:val="auto"/>
              </w:rPr>
              <w:t>Pro Forma</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2"/>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Adjustments</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232"/>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24"/>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net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52,723</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goods sold</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42,169</w:t>
            </w:r>
          </w:p>
        </w:tc>
        <w:tc>
          <w:tcPr>
            <w:tcW w:w="0" w:type="dxa"/>
            <w:vAlign w:val="bottom"/>
          </w:tcPr>
          <w:p>
            <w:pPr>
              <w:spacing w:after="0"/>
              <w:rPr>
                <w:sz w:val="1"/>
                <w:szCs w:val="1"/>
                <w:color w:val="auto"/>
              </w:rPr>
            </w:pPr>
          </w:p>
        </w:tc>
      </w:tr>
      <w:tr>
        <w:trPr>
          <w:trHeight w:val="236"/>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10,554</w:t>
            </w: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4,740</w:t>
            </w:r>
          </w:p>
        </w:tc>
        <w:tc>
          <w:tcPr>
            <w:tcW w:w="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(E,F,G)</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23,315</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31,882</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(21,328)</w:t>
            </w: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(227) (D)</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extinguishment of debt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(expense) income,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Net (loss) income before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(4,967)</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(29,967)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before non-controlling interest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(30,538)</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Income attributable to non-controlling interest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 - Per Share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attributable to Common Stockholders - Per</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w:t>
            </w: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 Average number of Common Shares</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4,175,867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4,959,870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7" w:right="3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PROFORMA CONDENSED COMBINED FINANCIAL INFORMATION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of and for the nine months ended September 30, 2021 and for the year ended 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unless otherwise specified)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6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unaudited pro forma condensed combined financial information set forth herein is based upon the consolidated financial statements of Agrify Corporation (“Agrify” or the “Company”), Mass2Media, LLC, d/b/a PX2 Holdings, LLC, d/b/a Precision Extraction Solutions, a Michigan limited liability company (“Precision”), and Cascade Sciences, LLC, a Delaware limited liability company (“Cascade”). The unaudited proforma condensed combined financial information is presented as if the transaction had been completed on January 1, 2020 with respect to the unaudited pro forma condensed combined statements of operations for each of the nine months ended September 30, 2021 and for the year ended December 31, 2020 and on September 30, 2021 in respect of the unaudited pro forma condensed combined balance sheet.</w:t>
      </w:r>
    </w:p>
    <w:p>
      <w:pPr>
        <w:spacing w:after="0" w:line="13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unaudited pro forma condensed combined financial information is presented for informational purposes only and is not necessarily indicative of the combined financial position or results of operations had the transaction occurred as of the dates indicated, nor is it meant to be indicative of any anticipated combined financial position or future results of operations that the combined company will experience after the completion of the transactions.</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Agrify has accounted for the acquisition in this unaudited pro forma condensed combined financial information using the acquisition method of accounting, in accordance with Financial Accounting Standards Board Accounting Standards Codification Topic 805 "Business Combinations" ("ASC 805''). In accordance with ASC 805, Agrify uses its best estimates and assumptions to assign fair value to the tangible and intangible assets acquired and liabilities assumed at the acquisition date.</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Goodwill as of the acquisition date is measured as the excess of purchase consideration over the fair value of net tangible and identifiable intangible assets acquired.</w:t>
      </w:r>
    </w:p>
    <w:p>
      <w:pPr>
        <w:spacing w:after="0" w:line="11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Pro forma adjustments reflected in the unaudited pro forma condensed combined balance sheet are based on items that are factually supportable and directly attributable to the transaction. Pro forma adjustments reflected in the pro forma condensed combined statements of operations are based on items that are factually supportable, directly attributable to the transaction and expected to have a continuing impact on the combined results. The unaudited proforma condensed combined financial information does not reflect the cost of any integration activities or benefits from the transaction, including potential synergies that may be generated in future periods.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DESCRIPTION OF THE TRANSACTION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September 29, 2021 (the “Execution Date”), Agrify entered into a Plan of Merger and Equity Purchase Agreement, as amended by an amendment dated as of October 1, 2021 (as amended, the “Purchase Agreement”), with Sinclair Scientific, LLC, a Delaware limited liability company (“Sinclair”), Precision; and each of the equity holders of Sinclair named therein (collectively, the “Members”). On October 1, 2021, Agrify consummated the transactions contemplated by the Purchase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Cascade and Precision; Purchase Consideration</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Subject to the terms and conditions set forth in the Purchase Agreement, (1) Sinclair transferred, to Agrify, and Agrify purchased (the “Interest Purchase”) from Sinclair, 100% of the equity interests of Cascade, such that immediately after the consummation of such Interest Purchase, Cascade became a wholly-owned subsidiary of Agrify, and (2) Precision merged (the “Merger” and, together with the Interest Purchase, the “Acquisition”) with and into a newly-formed wholly-owned subsidiary of Agrify, Precision Extraction NewCo,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417" w:right="359" w:bottom="1440" w:gutter="0" w:footer="0" w:header="0"/>
        </w:sectPr>
      </w:pPr>
    </w:p>
    <w:bookmarkStart w:id="69" w:name="page70"/>
    <w:bookmarkEnd w:id="69"/>
    <w:p>
      <w:pPr>
        <w:ind w:right="360"/>
        <w:spacing w:after="0" w:line="255" w:lineRule="auto"/>
        <w:rPr>
          <w:sz w:val="20"/>
          <w:szCs w:val="20"/>
          <w:color w:val="auto"/>
        </w:rPr>
      </w:pPr>
      <w:r>
        <w:rPr>
          <w:rFonts w:ascii="Arial" w:cs="Arial" w:eastAsia="Arial" w:hAnsi="Arial"/>
          <w:sz w:val="18"/>
          <w:szCs w:val="18"/>
          <w:color w:val="auto"/>
        </w:rPr>
        <w:t>The aggregate consideration for the Interest Purchase and the Merger consisted of: (a) the sum of $30 million, plus consideration payable to holders of outstanding Sinclair equity awards, subject to certain adjustments for working capital, cash and indebtedness, payable in connection with the Interest Purchase; (b) the number of shares of the Company’s common stock, subject to adjustment, equal to the quotient of (i) $20 million divided by (ii) the volume-weighted average price per share of Agrify’s common stock on The Nasdaq Capital Market for the 30 consecutive trading days ending on the Execution Date (the “VWAP Price”), issuable in connection with the Merger; and (c) the True-Up Buyer Shares, if any (as defined below), issuable in connection with the Merger.</w:t>
      </w:r>
    </w:p>
    <w:p>
      <w:pPr>
        <w:spacing w:after="0" w:line="13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Purchase Agreement includes customary post-closing adjustments, representations and warranties and covenants of the parties. The Members may become entitled to additional shares of Agrify’s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 However, in no event shall the aggregate purchase price paid by Agrify pursuant to the terms of the Purchase Agreement, taking into account any Aggregate True-Up Payment in favor of the Members, exceed $65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ESTIMATES OF PURCHASE PRICE ALLOCATION</w:t>
      </w:r>
    </w:p>
    <w:p>
      <w:pPr>
        <w:spacing w:after="0" w:line="17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preliminary combined fair value allocation for the purchase price consideration paid at close, under the assumption that the Acquisition was consummated on September 30, 2021, is as follows:</w:t>
      </w:r>
    </w:p>
    <w:p>
      <w:pPr>
        <w:spacing w:after="0" w:line="158" w:lineRule="exact"/>
        <w:rPr>
          <w:sz w:val="20"/>
          <w:szCs w:val="20"/>
          <w:color w:val="auto"/>
        </w:rPr>
      </w:pPr>
    </w:p>
    <w:tbl>
      <w:tblPr>
        <w:tblLayout w:type="fixed"/>
        <w:tblInd w:w="1320" w:type="dxa"/>
        <w:tblCellMar>
          <w:top w:w="0" w:type="dxa"/>
          <w:left w:w="0" w:type="dxa"/>
          <w:bottom w:w="0" w:type="dxa"/>
          <w:right w:w="0" w:type="dxa"/>
        </w:tblCellMar>
      </w:tblP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Purchase price consideration:</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Cash paid to members at close</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23,000</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contributed to escrow accounts at close</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Cash paid for excess net working capital</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1,430</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issued at close</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contingent consideration to be achieved</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55,383</w:t>
            </w:r>
          </w:p>
        </w:tc>
      </w:tr>
      <w:tr>
        <w:trPr>
          <w:trHeight w:val="237"/>
        </w:trPr>
        <w:tc>
          <w:tcPr>
            <w:tcW w:w="7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allocation of purchase price:</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918</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Prepaid and other assets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1,852</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Operating lease right of use assets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847</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web costs, net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(4,373)</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capital lease liabilities</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(6,253)</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Member’s equity</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Acquired intangible assets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10,826</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44,557</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55,383</w:t>
            </w:r>
          </w:p>
        </w:tc>
      </w:tr>
    </w:tbl>
    <w:p>
      <w:pPr>
        <w:spacing w:after="0" w:line="24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Substantially all of these amounts are subject to subsequent adjustment as the Company obtains additional information during the measurement period. The measurement period is expected to be complete during the first quarter of 2022. The reported fair value of the accounts receivable is net of an estimate of uncollectible accounts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421" w:right="379" w:bottom="1440" w:gutter="0" w:footer="0" w:header="0"/>
        </w:sectPr>
      </w:pPr>
    </w:p>
    <w:bookmarkStart w:id="70" w:name="page71"/>
    <w:bookmarkEnd w:id="70"/>
    <w:p>
      <w:pPr>
        <w:ind w:right="300"/>
        <w:spacing w:after="0" w:line="277" w:lineRule="auto"/>
        <w:rPr>
          <w:sz w:val="20"/>
          <w:szCs w:val="20"/>
          <w:color w:val="auto"/>
        </w:rPr>
      </w:pPr>
      <w:r>
        <w:rPr>
          <w:rFonts w:ascii="Arial" w:cs="Arial" w:eastAsia="Arial" w:hAnsi="Arial"/>
          <w:sz w:val="18"/>
          <w:szCs w:val="18"/>
          <w:color w:val="auto"/>
        </w:rPr>
        <w:t>$87. Any subsequent adjustments to the initial fair value estimates occurring during the measurement period will result in an adjustment to the carrying value of goodwill.</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Members may become entitled to an Aggregate True-Up Payment based on the eligible net revenues achieved by the Precision and Cascade businesses during the fiscal year ending December 31, 2021. However, in no event shall the aggregate purchase price paid by Agrify pursuant to the terms of the Purchase Agreement, taking into account any Aggregate True-Up Payment in favor of the Members, exceed $65.0 million. Accordingly, the maximum amount of the Aggregate True up Payment is capped at $15.0 million. The Company increased total purchase price consideration described above by $4.0 million, which represented the Company’s initial fair value estimate of the Aggregate True-Up Payment to be paid.</w:t>
      </w:r>
    </w:p>
    <w:p>
      <w:pPr>
        <w:spacing w:after="0" w:line="122" w:lineRule="exact"/>
        <w:rPr>
          <w:sz w:val="20"/>
          <w:szCs w:val="20"/>
          <w:color w:val="auto"/>
        </w:rPr>
      </w:pPr>
    </w:p>
    <w:p>
      <w:pPr>
        <w:jc w:val="center"/>
        <w:ind w:left="380" w:right="100"/>
        <w:spacing w:after="0" w:line="271" w:lineRule="auto"/>
        <w:rPr>
          <w:sz w:val="20"/>
          <w:szCs w:val="20"/>
          <w:color w:val="auto"/>
        </w:rPr>
      </w:pPr>
      <w:r>
        <w:rPr>
          <w:rFonts w:ascii="Arial" w:cs="Arial" w:eastAsia="Arial" w:hAnsi="Arial"/>
          <w:sz w:val="18"/>
          <w:szCs w:val="18"/>
          <w:color w:val="auto"/>
        </w:rPr>
        <w:t>For the purposes of preparing the unaudited pro forma condensed combined financial statements, the preliminary estimate of identified intangible assets acquired of $10.8 million was attributed to the following:</w:t>
      </w:r>
    </w:p>
    <w:p>
      <w:pPr>
        <w:spacing w:after="0" w:line="1"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35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Asset Value</w:t>
            </w:r>
          </w:p>
        </w:tc>
        <w:tc>
          <w:tcPr>
            <w:tcW w:w="18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r>
      <w:tr>
        <w:trPr>
          <w:trHeight w:val="21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Identified intangible assets:</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3,003</w:t>
            </w:r>
          </w:p>
        </w:tc>
        <w:tc>
          <w:tcPr>
            <w:tcW w:w="18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6 to 7 years</w:t>
            </w: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 years</w:t>
            </w: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1,197</w:t>
            </w:r>
          </w:p>
        </w:tc>
        <w:tc>
          <w:tcPr>
            <w:tcW w:w="18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5 years</w:t>
            </w: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 to 8 years</w:t>
            </w: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Total identified intangible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10,826</w:t>
            </w: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1"/>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Company’s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 average cost of capital to be used as a discount rate.</w:t>
      </w:r>
    </w:p>
    <w:p>
      <w:pPr>
        <w:spacing w:after="0" w:line="135" w:lineRule="exact"/>
        <w:rPr>
          <w:sz w:val="20"/>
          <w:szCs w:val="20"/>
          <w:color w:val="auto"/>
        </w:rPr>
      </w:pPr>
    </w:p>
    <w:p>
      <w:pPr>
        <w:ind w:right="760"/>
        <w:spacing w:after="0" w:line="438" w:lineRule="auto"/>
        <w:rPr>
          <w:sz w:val="20"/>
          <w:szCs w:val="20"/>
          <w:color w:val="auto"/>
        </w:rPr>
      </w:pPr>
      <w:r>
        <w:rPr>
          <w:rFonts w:ascii="Arial" w:cs="Arial" w:eastAsia="Arial" w:hAnsi="Arial"/>
          <w:sz w:val="18"/>
          <w:szCs w:val="18"/>
          <w:color w:val="auto"/>
        </w:rPr>
        <w:t xml:space="preserve">The Company amortizes its intangible assets assuming no residual value over periods in which the economic benefit of these assets is consumed. </w:t>
      </w:r>
      <w:r>
        <w:rPr>
          <w:rFonts w:ascii="Arial" w:cs="Arial" w:eastAsia="Arial" w:hAnsi="Arial"/>
          <w:sz w:val="18"/>
          <w:szCs w:val="18"/>
          <w:b w:val="1"/>
          <w:bCs w:val="1"/>
          <w:color w:val="auto"/>
        </w:rPr>
        <w:t>NOTE 4. PRO FORMA ADJUSTMENTS</w:t>
      </w:r>
    </w:p>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pro forma adjustments were applied to Agrify’s historical financial statements and those of Precision and Cascade to arrive at the pro forma condensed combined financial statement information: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 To eliminate a $350 intercompany loan between Precision and Cascade.</w:t>
      </w:r>
    </w:p>
    <w:p>
      <w:pPr>
        <w:spacing w:after="0" w:line="171"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B - To eliminate Precision and Cascade historical cash on hand balances, totaling $1.3 million, and other outstanding debt obligations, totaling $600, which were not acquired by Agrify.</w:t>
      </w:r>
    </w:p>
    <w:p>
      <w:pPr>
        <w:spacing w:after="0" w:line="116" w:lineRule="exact"/>
        <w:rPr>
          <w:sz w:val="20"/>
          <w:szCs w:val="20"/>
          <w:color w:val="auto"/>
        </w:rPr>
      </w:pPr>
    </w:p>
    <w:p>
      <w:pPr>
        <w:ind w:left="660" w:right="80"/>
        <w:spacing w:after="0" w:line="263" w:lineRule="auto"/>
        <w:rPr>
          <w:sz w:val="20"/>
          <w:szCs w:val="20"/>
          <w:color w:val="auto"/>
        </w:rPr>
      </w:pPr>
      <w:r>
        <w:rPr>
          <w:rFonts w:ascii="Arial" w:cs="Arial" w:eastAsia="Arial" w:hAnsi="Arial"/>
          <w:sz w:val="18"/>
          <w:szCs w:val="18"/>
          <w:color w:val="auto"/>
        </w:rPr>
        <w:t>C - To record the initial purchase price consideration (cash, stock and excess net working capital) paid in connection with the Acquisition, the Company’s initial estimate of the fair value of the Aggregate True-Up Payment and the estimated fair value of the identified intangible assets and residual goodwill.</w:t>
      </w:r>
    </w:p>
    <w:p>
      <w:pPr>
        <w:spacing w:after="0" w:line="170"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D - To record the settlement of an outstanding loan, inclusive of principal, interest and pre-payment penalties, in the amount of $1.9 million, which was settled in cash, at closing.</w:t>
      </w:r>
    </w:p>
    <w:p>
      <w:pPr>
        <w:spacing w:after="0" w:line="116"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E - To record estimated identified intangible asset amortization expense for the nine-month period ended September 30, 2021 (in the amount of $1.2 million) and the twelve-month period ended December 31, 2020 (in the amount of $1.6 million).</w:t>
      </w:r>
    </w:p>
    <w:p>
      <w:pPr>
        <w:spacing w:after="0" w:line="116"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F - To record an estimated liability associated with a Precision and Cascade Phantom Equity Bonus Plan in the amount of $1.2 million, which is treated as a period expense and not as part of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421" w:right="37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t>G - To expense $1.9 million in acquisition-related transaction costs paid at closing, which are treated as a period expense.</w:t>
      </w:r>
    </w:p>
    <w:p>
      <w:pPr>
        <w:sectPr>
          <w:pgSz w:w="11900" w:h="16838" w:orient="portrait"/>
          <w:cols w:equalWidth="0" w:num="1">
            <w:col w:w="9479"/>
          </w:cols>
          <w:pgMar w:left="980" w:top="14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10</w:t>
      </w:r>
    </w:p>
    <w:sectPr>
      <w:pgSz w:w="11900" w:h="16838" w:orient="portrait"/>
      <w:cols w:equalWidth="0" w:num="1">
        <w:col w:w="9479"/>
      </w:cols>
      <w:pgMar w:left="980" w:top="142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Letter"/>
      <w:start w:val="1"/>
    </w:lvl>
  </w:abstractNum>
  <w:abstractNum w:abstractNumId="2">
    <w:nsid w:val="431BD7B7"/>
    <w:multiLevelType w:val="hybridMultilevel"/>
    <w:lvl w:ilvl="0">
      <w:lvlJc w:val="left"/>
      <w:lvlText w:val="(%1)"/>
      <w:numFmt w:val="lowerLetter"/>
      <w:start w:val="2"/>
    </w:lvl>
  </w:abstractNum>
  <w:abstractNum w:abstractNumId="3">
    <w:nsid w:val="3F2DBA31"/>
    <w:multiLevelType w:val="hybridMultilevel"/>
    <w:lvl w:ilvl="0">
      <w:lvlJc w:val="left"/>
      <w:lvlText w:val="(%1)"/>
      <w:numFmt w:val="lowerLetter"/>
      <w:start w:val="4"/>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4"/>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1."/>
      <w:numFmt w:val="decimal"/>
      <w:start w:val="6"/>
    </w:lvl>
  </w:abstractNum>
  <w:abstractNum w:abstractNumId="9">
    <w:nsid w:val="333AB105"/>
    <w:multiLevelType w:val="hybridMultilevel"/>
    <w:lvl w:ilvl="0">
      <w:lvlJc w:val="left"/>
      <w:lvlText w:val="%1."/>
      <w:numFmt w:val="decimal"/>
      <w:start w:val="7"/>
    </w:lvl>
  </w:abstractNum>
  <w:abstractNum w:abstractNumId="10">
    <w:nsid w:val="721DA317"/>
    <w:multiLevelType w:val="hybridMultilevel"/>
    <w:lvl w:ilvl="0">
      <w:lvlJc w:val="left"/>
      <w:lvlText w:val="%1."/>
      <w:numFmt w:val="decimal"/>
      <w:start w:val="8"/>
    </w:lvl>
  </w:abstractNum>
  <w:abstractNum w:abstractNumId="11">
    <w:nsid w:val="2443A858"/>
    <w:multiLevelType w:val="hybridMultilevel"/>
    <w:lvl w:ilvl="0">
      <w:lvlJc w:val="left"/>
      <w:lvlText w:val="%1."/>
      <w:numFmt w:val="decimal"/>
      <w:start w:val="9"/>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4"/>
    </w:lvl>
  </w:abstractNum>
  <w:abstractNum w:abstractNumId="15">
    <w:nsid w:val="8EDBDAB"/>
    <w:multiLevelType w:val="hybridMultilevel"/>
    <w:lvl w:ilvl="0">
      <w:lvlJc w:val="left"/>
      <w:lvlText w:val="%1."/>
      <w:numFmt w:val="decimal"/>
      <w:start w:val="6"/>
    </w:lvl>
  </w:abstractNum>
  <w:abstractNum w:abstractNumId="16">
    <w:nsid w:val="79838CB2"/>
    <w:multiLevelType w:val="hybridMultilevel"/>
    <w:lvl w:ilvl="0">
      <w:lvlJc w:val="left"/>
      <w:lvlText w:val="%1."/>
      <w:numFmt w:val="decimal"/>
      <w:start w:val="7"/>
    </w:lvl>
  </w:abstractNum>
  <w:abstractNum w:abstractNumId="17">
    <w:nsid w:val="4353D0CD"/>
    <w:multiLevelType w:val="hybridMultilevel"/>
    <w:lvl w:ilvl="0">
      <w:lvlJc w:val="left"/>
      <w:lvlText w:val="%1."/>
      <w:numFmt w:val="decimal"/>
      <w:start w:val="8"/>
    </w:lvl>
  </w:abstractNum>
  <w:abstractNum w:abstractNumId="18">
    <w:nsid w:val="B03E0C6"/>
    <w:multiLevelType w:val="hybridMultilevel"/>
    <w:lvl w:ilvl="0">
      <w:lvlJc w:val="left"/>
      <w:lvlText w:val="%1."/>
      <w:numFmt w:val="decimal"/>
      <w:start w:val="9"/>
    </w:lvl>
  </w:abstractNum>
  <w:abstractNum w:abstractNumId="19">
    <w:nsid w:val="189A769B"/>
    <w:multiLevelType w:val="hybridMultilevel"/>
    <w:lvl w:ilvl="0">
      <w:lvlJc w:val="left"/>
      <w:lvlText w:val="%1."/>
      <w:numFmt w:val="decimal"/>
      <w:start w:val="10"/>
    </w:lvl>
  </w:abstractNum>
  <w:abstractNum w:abstractNumId="20">
    <w:nsid w:val="54E49EB4"/>
    <w:multiLevelType w:val="hybridMultilevel"/>
    <w:lvl w:ilvl="0">
      <w:lvlJc w:val="left"/>
      <w:lvlText w:val="%1."/>
      <w:numFmt w:val="decimal"/>
      <w:start w:val="1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2"/>
    </w:lvl>
  </w:abstractNum>
  <w:abstractNum w:abstractNumId="23">
    <w:nsid w:val="836C40E"/>
    <w:multiLevelType w:val="hybridMultilevel"/>
    <w:lvl w:ilvl="0">
      <w:lvlJc w:val="left"/>
      <w:lvlText w:val="%1."/>
      <w:numFmt w:val="decimal"/>
      <w:start w:val="4"/>
    </w:lvl>
  </w:abstractNum>
  <w:abstractNum w:abstractNumId="24">
    <w:nsid w:val="2901D82"/>
    <w:multiLevelType w:val="hybridMultilevel"/>
    <w:lvl w:ilvl="0">
      <w:lvlJc w:val="left"/>
      <w:lvlText w:val="%1."/>
      <w:numFmt w:val="decimal"/>
      <w:start w:val="5"/>
    </w:lvl>
  </w:abstractNum>
  <w:abstractNum w:abstractNumId="25">
    <w:nsid w:val="3A95F874"/>
    <w:multiLevelType w:val="hybridMultilevel"/>
    <w:lvl w:ilvl="0">
      <w:lvlJc w:val="left"/>
      <w:lvlText w:val="%1."/>
      <w:numFmt w:val="decimal"/>
      <w:start w:val="6"/>
    </w:lvl>
  </w:abstractNum>
  <w:abstractNum w:abstractNumId="26">
    <w:nsid w:val="8138641"/>
    <w:multiLevelType w:val="hybridMultilevel"/>
    <w:lvl w:ilvl="0">
      <w:lvlJc w:val="left"/>
      <w:lvlText w:val="%1."/>
      <w:numFmt w:val="decimal"/>
      <w:start w:val="7"/>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4"/>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decimal"/>
      <w:start w:val="6"/>
    </w:lvl>
  </w:abstractNum>
  <w:abstractNum w:abstractNumId="31">
    <w:nsid w:val="22221A70"/>
    <w:multiLevelType w:val="hybridMultilevel"/>
    <w:lvl w:ilvl="0">
      <w:lvlJc w:val="left"/>
      <w:lvlText w:val="%1."/>
      <w:numFmt w:val="decimal"/>
      <w:start w:val="7"/>
    </w:lvl>
  </w:abstractNum>
  <w:abstractNum w:abstractNumId="32">
    <w:nsid w:val="4516DDE9"/>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2021-12-17T15:04:45Z</dcterms:created>
  <dcterms:modified xsi:type="dcterms:W3CDTF">2021-12-17T15:04:45Z</dcterms:modified>
</cp:coreProperties>
</file>