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313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313420"/>
                    </a:xfrm>
                    <a:prstGeom prst="rect">
                      <a:avLst/>
                    </a:prstGeom>
                    <a:noFill/>
                  </pic:spPr>
                </pic:pic>
              </a:graphicData>
            </a:graphic>
          </wp:anchor>
        </w:drawing>
      </w:r>
    </w:p>
    <w:p>
      <w:pPr>
        <w:spacing w:after="0" w:line="1183" w:lineRule="exact"/>
        <w:rPr>
          <w:sz w:val="24"/>
          <w:szCs w:val="24"/>
          <w:color w:val="auto"/>
        </w:rPr>
      </w:pPr>
    </w:p>
    <w:p>
      <w:pPr>
        <w:sectPr>
          <w:pgSz w:w="11900" w:h="16884"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20" w:type="dxa"/>
            <w:vAlign w:val="bottom"/>
            <w:gridSpan w:val="8"/>
          </w:tcPr>
          <w:p>
            <w:pPr>
              <w:ind w:left="60"/>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Agrify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AGFY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gridSpan w:val="10"/>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100" w:type="dxa"/>
            <w:vAlign w:val="bottom"/>
          </w:tcPr>
          <w:p>
            <w:pPr>
              <w:spacing w:after="0"/>
              <w:rPr>
                <w:sz w:val="18"/>
                <w:szCs w:val="18"/>
                <w:color w:val="auto"/>
              </w:rPr>
            </w:pPr>
          </w:p>
        </w:tc>
        <w:tc>
          <w:tcPr>
            <w:tcW w:w="1260" w:type="dxa"/>
            <w:vAlign w:val="bottom"/>
            <w:gridSpan w:val="7"/>
          </w:tcPr>
          <w:p>
            <w:pPr>
              <w:ind w:left="240"/>
              <w:spacing w:after="0"/>
              <w:rPr>
                <w:sz w:val="20"/>
                <w:szCs w:val="20"/>
                <w:color w:val="auto"/>
              </w:rPr>
            </w:pPr>
            <w:r>
              <w:rPr>
                <w:rFonts w:ascii="Times New Roman" w:cs="Times New Roman" w:eastAsia="Times New Roman" w:hAnsi="Times New Roman"/>
                <w:sz w:val="17"/>
                <w:szCs w:val="17"/>
                <w:color w:val="0000FF"/>
              </w:rPr>
              <w:t>05/08/2025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7"/>
            <w:vMerge w:val="continue"/>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0" w:type="dxa"/>
            <w:vAlign w:val="bottom"/>
            <w:gridSpan w:val="11"/>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0" w:type="dxa"/>
            <w:vAlign w:val="bottom"/>
            <w:gridSpan w:val="11"/>
            <w:vMerge w:val="continue"/>
          </w:tcPr>
          <w:p>
            <w:pPr>
              <w:spacing w:after="0"/>
              <w:rPr>
                <w:sz w:val="9"/>
                <w:szCs w:val="9"/>
                <w:color w:val="auto"/>
              </w:rPr>
            </w:pPr>
          </w:p>
        </w:tc>
        <w:tc>
          <w:tcPr>
            <w:tcW w:w="22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w w:val="86"/>
              </w:rPr>
              <w:t>IL</w:t>
            </w: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8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6"/>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gridSpan w:val="5"/>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20"/>
          </w:tcPr>
          <w:p>
            <w:pPr>
              <w:jc w:val="right"/>
              <w:ind w:right="11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60" w:type="dxa"/>
            <w:vAlign w:val="bottom"/>
            <w:gridSpan w:val="17"/>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 w:type="dxa"/>
            <w:vAlign w:val="bottom"/>
          </w:tcPr>
          <w:p>
            <w:pPr>
              <w:spacing w:after="0"/>
              <w:rPr>
                <w:sz w:val="11"/>
                <w:szCs w:val="11"/>
                <w:color w:val="auto"/>
              </w:rPr>
            </w:pP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Funded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18,614</w:t>
            </w:r>
          </w:p>
        </w:tc>
        <w:tc>
          <w:tcPr>
            <w:tcW w:w="60" w:type="dxa"/>
            <w:vAlign w:val="bottom"/>
          </w:tcPr>
          <w:p>
            <w:pPr>
              <w:spacing w:after="0"/>
              <w:rPr>
                <w:sz w:val="12"/>
                <w:szCs w:val="12"/>
                <w:color w:val="auto"/>
              </w:rPr>
            </w:pPr>
          </w:p>
        </w:tc>
        <w:tc>
          <w:tcPr>
            <w:tcW w:w="720" w:type="dxa"/>
            <w:vAlign w:val="bottom"/>
            <w:gridSpan w:val="2"/>
            <w:vMerge w:val="restart"/>
          </w:tcPr>
          <w:p>
            <w:pPr>
              <w:jc w:val="right"/>
              <w:ind w:right="11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27.42</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restart"/>
          </w:tcPr>
          <w:p>
            <w:pPr>
              <w:ind w:left="260"/>
              <w:spacing w:after="0" w:line="271"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3"/>
                <w:szCs w:val="13"/>
                <w:color w:val="0000FF"/>
              </w:rPr>
              <w:t>Warrants</w:t>
            </w:r>
          </w:p>
        </w:tc>
        <w:tc>
          <w:tcPr>
            <w:tcW w:w="6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0.001</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05/08/2025</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4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color w:val="0000FF"/>
              </w:rPr>
              <w:t>18,614</w:t>
            </w:r>
          </w:p>
        </w:tc>
        <w:tc>
          <w:tcPr>
            <w:tcW w:w="3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18,614</w:t>
            </w: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2"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60" w:type="dxa"/>
            <w:vAlign w:val="bottom"/>
            <w:gridSpan w:val="7"/>
          </w:tcPr>
          <w:p>
            <w:pPr>
              <w:ind w:left="20"/>
              <w:spacing w:after="0" w:line="219" w:lineRule="exact"/>
              <w:rPr>
                <w:rFonts w:ascii="Times New Roman" w:cs="Times New Roman" w:eastAsia="Times New Roman" w:hAnsi="Times New Roman"/>
                <w:sz w:val="21"/>
                <w:szCs w:val="21"/>
                <w:color w:val="0000EE"/>
                <w:w w:val="99"/>
              </w:rPr>
            </w:pPr>
            <w:hyperlink r:id="rId15">
              <w:r>
                <w:rPr>
                  <w:rFonts w:ascii="Times New Roman" w:cs="Times New Roman" w:eastAsia="Times New Roman" w:hAnsi="Times New Roman"/>
                  <w:sz w:val="21"/>
                  <w:szCs w:val="21"/>
                  <w:color w:val="0000EE"/>
                  <w:w w:val="99"/>
                </w:rPr>
                <w:t>Green Thumb Industries Inc.</w:t>
              </w:r>
            </w:hyperlink>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10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6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3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-5603875</wp:posOffset>
            </wp:positionV>
            <wp:extent cx="29210" cy="2197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197735"/>
                    </a:xfrm>
                    <a:prstGeom prst="rect">
                      <a:avLst/>
                    </a:prstGeom>
                    <a:noFill/>
                  </pic:spPr>
                </pic:pic>
              </a:graphicData>
            </a:graphic>
          </wp:anchor>
        </w:drawing>
      </w:r>
    </w:p>
    <w:p>
      <w:pPr>
        <w:spacing w:after="0" w:line="10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jc w:val="both"/>
        <w:ind w:left="40" w:right="180" w:firstLine="2"/>
        <w:spacing w:after="0" w:line="297" w:lineRule="auto"/>
        <w:tabs>
          <w:tab w:leader="none" w:pos="16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5/8/2025, RLSGH, LLC (the "Investor") entered into an amendment with Agrify Corporation (the "Issuer") to the Secured Convertible Note (the "Note") dated 11/5/2025 from the Issuer to the Investor, to issue pre-funded warrants in lieu of cash interest. No changes were made to the conversion price of the Note. The pre-funded warrants have an exercise price of $0.001 per share, were exercisable upon issuance,</w:t>
      </w:r>
    </w:p>
    <w:p>
      <w:pPr>
        <w:sectPr>
          <w:pgSz w:w="11900" w:h="16884" w:orient="portrait"/>
          <w:cols w:equalWidth="0" w:num="1">
            <w:col w:w="11080"/>
          </w:cols>
          <w:pgMar w:left="460" w:top="217" w:right="359" w:bottom="0" w:gutter="0" w:footer="0" w:header="0"/>
          <w:type w:val="continuous"/>
        </w:sectPr>
      </w:pPr>
    </w:p>
    <w:bookmarkStart w:id="1" w:name="page2"/>
    <w:bookmarkEnd w:id="1"/>
    <w:p>
      <w:pPr>
        <w:spacing w:after="0" w:line="242" w:lineRule="auto"/>
        <w:rPr>
          <w:sz w:val="20"/>
          <w:szCs w:val="20"/>
          <w:color w:val="auto"/>
        </w:rPr>
      </w:pPr>
      <w:r>
        <w:rPr>
          <w:rFonts w:ascii="Times New Roman" w:cs="Times New Roman" w:eastAsia="Times New Roman" w:hAnsi="Times New Roman"/>
          <w:sz w:val="13"/>
          <w:szCs w:val="13"/>
          <w:color w:val="008000"/>
        </w:rPr>
        <w:t>will expire when the applicable warrant is exercised in full, and are exercisable on a cash basis or, if there is no effective registration statement registering the resale of the underlying shares of common stock, on a cashless exercise basis at the Issuer's discretion. The number of pre-funded warrants issued was determined based on the interest payment owed divided by $27.42, which is equal to the most recent closing price of the Issuer's common stock as of the time the amendment was signed. The pre-funded warrants include a beneficial ownership limitation of 49.99%.</w:t>
      </w:r>
    </w:p>
    <w:p>
      <w:pPr>
        <w:spacing w:after="0" w:line="25" w:lineRule="exact"/>
        <w:rPr>
          <w:sz w:val="20"/>
          <w:szCs w:val="20"/>
          <w:color w:val="auto"/>
        </w:rPr>
      </w:pPr>
    </w:p>
    <w:p>
      <w:pPr>
        <w:ind w:right="120" w:firstLine="2"/>
        <w:spacing w:after="0" w:line="242"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Investor is the direct beneficial owner of the pre-funded warrants. The Investor is an indirectly wholly-owned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 sole member of Core Growth, LLC. Core Growth, LLC is the sole member of Investor.</w:t>
      </w:r>
    </w:p>
    <w:p>
      <w:pPr>
        <w:spacing w:after="0" w:line="5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36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 RLGH,</w:t>
      </w:r>
      <w:r>
        <w:rPr>
          <w:sz w:val="20"/>
          <w:szCs w:val="20"/>
          <w:color w:val="auto"/>
        </w:rPr>
        <w:tab/>
      </w:r>
      <w:r>
        <w:rPr>
          <w:rFonts w:ascii="Times New Roman" w:cs="Times New Roman" w:eastAsia="Times New Roman" w:hAnsi="Times New Roman"/>
          <w:sz w:val="16"/>
          <w:szCs w:val="16"/>
          <w:color w:val="0000FF"/>
        </w:rPr>
        <w:t>05/12/2025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20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1295" cy="8255"/>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-8890</wp:posOffset>
            </wp:positionV>
            <wp:extent cx="1136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 Green</w:t>
      </w:r>
      <w:r>
        <w:rPr>
          <w:sz w:val="20"/>
          <w:szCs w:val="20"/>
          <w:color w:val="auto"/>
        </w:rPr>
        <w:tab/>
      </w:r>
      <w:r>
        <w:rPr>
          <w:rFonts w:ascii="Times New Roman" w:cs="Times New Roman" w:eastAsia="Times New Roman" w:hAnsi="Times New Roman"/>
          <w:sz w:val="16"/>
          <w:szCs w:val="16"/>
          <w:color w:val="0000FF"/>
        </w:rPr>
        <w:t>05/12/2025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18789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4165600</wp:posOffset>
            </wp:positionH>
            <wp:positionV relativeFrom="paragraph">
              <wp:posOffset>-15875</wp:posOffset>
            </wp:positionV>
            <wp:extent cx="9442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44245" cy="8255"/>
                    </a:xfrm>
                    <a:prstGeom prst="rect">
                      <a:avLst/>
                    </a:prstGeom>
                    <a:noFill/>
                  </pic:spPr>
                </pic:pic>
              </a:graphicData>
            </a:graphic>
          </wp:anchor>
        </w:drawing>
      </w:r>
    </w:p>
    <w:p>
      <w:pPr>
        <w:spacing w:after="0" w:line="32"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2025-05-12T15:36:26Z</dcterms:created>
  <dcterms:modified xsi:type="dcterms:W3CDTF">2025-05-12T15:36:26Z</dcterms:modified>
</cp:coreProperties>
</file>