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Chang Raymond Nobu</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AGRIFY CORPORATION</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2468 INDUSTRIAL ROW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TROY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48084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Agrify Corp</w:t>
              </w:r>
            </w:hyperlink>
            <w:r>
              <w:rPr/>
              <w:t xml:space="preserve"> [ </w:t>
            </w:r>
            <w:r>
              <w:rPr>
                <w:rFonts w:ascii="Times;serif" w:hAnsi="Times;serif"/>
                <w:color w:val="0000FF"/>
                <w:sz w:val="24"/>
                <w:shd w:fill="FFFFFF" w:val="clear"/>
              </w:rPr>
              <w:t>AGFY</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4"/>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Chairman and CEO</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04/24/2024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52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891"/>
        <w:gridCol w:w="921"/>
        <w:gridCol w:w="801"/>
        <w:gridCol w:w="936"/>
        <w:gridCol w:w="831"/>
        <w:gridCol w:w="951"/>
      </w:tblGrid>
      <w:tr>
        <w:trPr>
          <w:tblHeader w:val="true"/>
        </w:trPr>
        <w:tc>
          <w:tcPr>
            <w:tcW w:w="125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w:t>
            </w: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04/24/2024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119,623</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119,623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119,623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w:t>
            </w: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04/24/2024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32,766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32,766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32,766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Raymond Chang Jr.</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restricted stock units under the Agrify Corporation 2022 Omnibus Equity Incentive Plan (the "Plan"). The restricted stock units were granted in lieu of cash compensation that would otherwise be owed to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represents the right to receive, at settlement, one share of common stock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100% of the restricted stock unit will vest on April 24, 2025, subject to obtaining shareholder approval for an increase in shares available under the Plan sufficient to grant the units, and subject to the reporting person's continuous service through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Raymond Nobu Chang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04/26/2024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31402" TargetMode="External"/><Relationship Id="rId4" Type="http://schemas.openxmlformats.org/officeDocument/2006/relationships/hyperlink" Target="http://www.sec.gov/cgi-bin/browse-edgar?action=getcompany&amp;CIK=000180063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685</Words>
  <Characters>3688</Characters>
  <CharactersWithSpaces>4298</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