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08"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-222885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140" w:type="dxa"/>
            <w:vAlign w:val="bottom"/>
          </w:tcPr>
          <w:p>
            <w:pPr>
              <w:jc w:val="center"/>
              <w:ind w:right="34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40" w:type="dxa"/>
            <w:vAlign w:val="bottom"/>
            <w:vMerge w:val="restart"/>
          </w:tcPr>
          <w:p>
            <w:pPr>
              <w:jc w:val="center"/>
              <w:ind w:right="341"/>
              <w:spacing w:after="0" w:line="136"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jc w:val="center"/>
              <w:ind w:right="361"/>
              <w:spacing w:after="0" w:line="175"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1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5172075</wp:posOffset>
            </wp:positionH>
            <wp:positionV relativeFrom="paragraph">
              <wp:posOffset>-593090</wp:posOffset>
            </wp:positionV>
            <wp:extent cx="5651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6425"/>
                    </a:xfrm>
                    <a:prstGeom prst="rect">
                      <a:avLst/>
                    </a:prstGeom>
                    <a:noFill/>
                  </pic:spPr>
                </pic:pic>
              </a:graphicData>
            </a:graphic>
          </wp:anchor>
        </w:drawing>
        <w:drawing>
          <wp:anchor simplePos="0" relativeHeight="251657728" behindDoc="1" locked="0" layoutInCell="0" allowOverlap="1">
            <wp:simplePos x="0" y="0"/>
            <wp:positionH relativeFrom="column">
              <wp:posOffset>3885565</wp:posOffset>
            </wp:positionH>
            <wp:positionV relativeFrom="paragraph">
              <wp:posOffset>-593090</wp:posOffset>
            </wp:positionV>
            <wp:extent cx="5651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642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-1740535</wp:posOffset>
            </wp:positionH>
            <wp:positionV relativeFrom="paragraph">
              <wp:posOffset>23495</wp:posOffset>
            </wp:positionV>
            <wp:extent cx="7000875" cy="5753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0875" cy="575310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140" w:space="580"/>
            <w:col w:w="8360"/>
          </w:cols>
          <w:pgMar w:left="460" w:top="212"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Chan I-Tseng Jenny</w:t>
        </w:r>
      </w:hyperlink>
    </w:p>
    <w:p>
      <w:pPr>
        <w:spacing w:after="0" w:line="27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(Last)</w:t>
            </w:r>
          </w:p>
        </w:tc>
        <w:tc>
          <w:tcPr>
            <w:tcW w:w="1420" w:type="dxa"/>
            <w:vAlign w:val="bottom"/>
          </w:tcPr>
          <w:p>
            <w:pPr>
              <w:ind w:left="380"/>
              <w:spacing w:after="0"/>
              <w:rPr>
                <w:sz w:val="20"/>
                <w:szCs w:val="20"/>
                <w:color w:val="auto"/>
              </w:rPr>
            </w:pPr>
            <w:r>
              <w:rPr>
                <w:rFonts w:ascii="Arial" w:cs="Arial" w:eastAsia="Arial" w:hAnsi="Arial"/>
                <w:sz w:val="12"/>
                <w:szCs w:val="12"/>
                <w:color w:val="auto"/>
              </w:rPr>
              <w:t>(First)</w:t>
            </w:r>
          </w:p>
        </w:tc>
        <w:tc>
          <w:tcPr>
            <w:tcW w:w="1400" w:type="dxa"/>
            <w:vAlign w:val="bottom"/>
          </w:tcPr>
          <w:p>
            <w:pPr>
              <w:ind w:left="200"/>
              <w:spacing w:after="0"/>
              <w:rPr>
                <w:sz w:val="20"/>
                <w:szCs w:val="20"/>
                <w:color w:val="auto"/>
              </w:rPr>
            </w:pPr>
            <w:r>
              <w:rPr>
                <w:rFonts w:ascii="Arial" w:cs="Arial" w:eastAsia="Arial" w:hAnsi="Arial"/>
                <w:sz w:val="12"/>
                <w:szCs w:val="12"/>
                <w:color w:val="auto"/>
              </w:rPr>
              <w:t>(Middle)</w:t>
            </w:r>
          </w:p>
        </w:tc>
      </w:tr>
      <w:tr>
        <w:trPr>
          <w:trHeight w:val="254"/>
        </w:trPr>
        <w:tc>
          <w:tcPr>
            <w:tcW w:w="20" w:type="dxa"/>
            <w:vAlign w:val="bottom"/>
          </w:tcPr>
          <w:p>
            <w:pPr>
              <w:spacing w:after="0"/>
              <w:rPr>
                <w:sz w:val="22"/>
                <w:szCs w:val="22"/>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AGRIFY CORPORATION</w:t>
            </w:r>
          </w:p>
        </w:tc>
        <w:tc>
          <w:tcPr>
            <w:tcW w:w="1400" w:type="dxa"/>
            <w:vAlign w:val="bottom"/>
          </w:tcPr>
          <w:p>
            <w:pPr>
              <w:spacing w:after="0"/>
              <w:rPr>
                <w:sz w:val="22"/>
                <w:szCs w:val="22"/>
                <w:color w:val="auto"/>
              </w:rPr>
            </w:pPr>
          </w:p>
        </w:tc>
      </w:tr>
      <w:tr>
        <w:trPr>
          <w:trHeight w:val="244"/>
        </w:trPr>
        <w:tc>
          <w:tcPr>
            <w:tcW w:w="20" w:type="dxa"/>
            <w:vAlign w:val="bottom"/>
          </w:tcPr>
          <w:p>
            <w:pPr>
              <w:spacing w:after="0"/>
              <w:rPr>
                <w:sz w:val="21"/>
                <w:szCs w:val="21"/>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2468 INDUSTRIAL DRIVE</w:t>
            </w:r>
          </w:p>
        </w:tc>
        <w:tc>
          <w:tcPr>
            <w:tcW w:w="1400" w:type="dxa"/>
            <w:vAlign w:val="bottom"/>
          </w:tcPr>
          <w:p>
            <w:pPr>
              <w:spacing w:after="0"/>
              <w:rPr>
                <w:sz w:val="21"/>
                <w:szCs w:val="21"/>
                <w:color w:val="auto"/>
              </w:rPr>
            </w:pPr>
          </w:p>
        </w:tc>
      </w:tr>
      <w:tr>
        <w:trPr>
          <w:trHeight w:val="139"/>
        </w:trPr>
        <w:tc>
          <w:tcPr>
            <w:tcW w:w="20" w:type="dxa"/>
            <w:vAlign w:val="bottom"/>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45"/>
        </w:trPr>
        <w:tc>
          <w:tcPr>
            <w:tcW w:w="8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17"/>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6"/>
                <w:szCs w:val="16"/>
                <w:color w:val="0000FF"/>
              </w:rPr>
              <w:t>TROY</w:t>
            </w:r>
          </w:p>
        </w:tc>
        <w:tc>
          <w:tcPr>
            <w:tcW w:w="142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MI</w:t>
            </w:r>
          </w:p>
        </w:tc>
        <w:tc>
          <w:tcPr>
            <w:tcW w:w="14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48084</w:t>
            </w:r>
          </w:p>
        </w:tc>
      </w:tr>
      <w:tr>
        <w:trPr>
          <w:trHeight w:val="139"/>
        </w:trPr>
        <w:tc>
          <w:tcPr>
            <w:tcW w:w="20" w:type="dxa"/>
            <w:vAlign w:val="bottom"/>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r>
      <w:tr>
        <w:trPr>
          <w:trHeight w:val="282"/>
        </w:trPr>
        <w:tc>
          <w:tcPr>
            <w:tcW w:w="2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(City)</w:t>
            </w:r>
          </w:p>
        </w:tc>
        <w:tc>
          <w:tcPr>
            <w:tcW w:w="1420" w:type="dxa"/>
            <w:vAlign w:val="bottom"/>
          </w:tcPr>
          <w:p>
            <w:pPr>
              <w:ind w:left="380"/>
              <w:spacing w:after="0"/>
              <w:rPr>
                <w:sz w:val="20"/>
                <w:szCs w:val="20"/>
                <w:color w:val="auto"/>
              </w:rPr>
            </w:pPr>
            <w:r>
              <w:rPr>
                <w:rFonts w:ascii="Arial" w:cs="Arial" w:eastAsia="Arial" w:hAnsi="Arial"/>
                <w:sz w:val="12"/>
                <w:szCs w:val="12"/>
                <w:color w:val="auto"/>
              </w:rPr>
              <w:t>(State)</w:t>
            </w:r>
          </w:p>
        </w:tc>
        <w:tc>
          <w:tcPr>
            <w:tcW w:w="1400" w:type="dxa"/>
            <w:vAlign w:val="bottom"/>
          </w:tcPr>
          <w:p>
            <w:pPr>
              <w:ind w:left="20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20" w:type="dxa"/>
            <w:vAlign w:val="bottom"/>
            <w:gridSpan w:val="3"/>
          </w:tcPr>
          <w:p>
            <w:pPr>
              <w:ind w:left="20"/>
              <w:spacing w:after="0"/>
              <w:rPr>
                <w:sz w:val="20"/>
                <w:szCs w:val="20"/>
                <w:color w:val="auto"/>
              </w:rPr>
            </w:pPr>
            <w:r>
              <w:rPr>
                <w:rFonts w:ascii="Arial" w:cs="Arial" w:eastAsia="Arial" w:hAnsi="Arial"/>
                <w:sz w:val="12"/>
                <w:szCs w:val="12"/>
                <w:color w:val="auto"/>
              </w:rPr>
              <w:t>Relationship of Reporting Person(s) to Issuer</w:t>
            </w: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3780" w:type="dxa"/>
            <w:vAlign w:val="bottom"/>
            <w:gridSpan w:val="3"/>
          </w:tcPr>
          <w:p>
            <w:pPr>
              <w:spacing w:after="0" w:line="134"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Agrify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AGFY</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0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80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40" w:type="dxa"/>
            <w:vAlign w:val="bottom"/>
            <w:tcBorders>
              <w:bottom w:val="single" w:sz="8" w:color="0000EE"/>
            </w:tcBorders>
          </w:tcPr>
          <w:p>
            <w:pPr>
              <w:spacing w:after="0"/>
              <w:rPr>
                <w:sz w:val="3"/>
                <w:szCs w:val="3"/>
                <w:color w:val="auto"/>
              </w:rPr>
            </w:pPr>
          </w:p>
        </w:tc>
        <w:tc>
          <w:tcPr>
            <w:tcW w:w="2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restart"/>
          </w:tcPr>
          <w:p>
            <w:pPr>
              <w:ind w:left="80"/>
              <w:spacing w:after="0" w:line="150" w:lineRule="exact"/>
              <w:rPr>
                <w:sz w:val="20"/>
                <w:szCs w:val="20"/>
                <w:color w:val="auto"/>
              </w:rPr>
            </w:pPr>
            <w:r>
              <w:rPr>
                <w:rFonts w:ascii="Times New Roman" w:cs="Times New Roman" w:eastAsia="Times New Roman" w:hAnsi="Times New Roman"/>
                <w:sz w:val="16"/>
                <w:szCs w:val="16"/>
                <w:color w:val="0000FF"/>
              </w:rPr>
              <w:t>X</w:t>
            </w:r>
          </w:p>
        </w:tc>
        <w:tc>
          <w:tcPr>
            <w:tcW w:w="132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50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19"/>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8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ind w:left="100"/>
              <w:spacing w:after="0"/>
              <w:rPr>
                <w:sz w:val="20"/>
                <w:szCs w:val="20"/>
                <w:color w:val="auto"/>
              </w:rPr>
            </w:pPr>
            <w:r>
              <w:rPr>
                <w:rFonts w:ascii="Arial" w:cs="Arial" w:eastAsia="Arial" w:hAnsi="Arial"/>
                <w:sz w:val="12"/>
                <w:szCs w:val="12"/>
                <w:color w:val="auto"/>
              </w:rPr>
              <w:t>Officer (give title</w:t>
            </w:r>
          </w:p>
        </w:tc>
        <w:tc>
          <w:tcPr>
            <w:tcW w:w="1500" w:type="dxa"/>
            <w:vAlign w:val="bottom"/>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07"/>
        </w:trPr>
        <w:tc>
          <w:tcPr>
            <w:tcW w:w="10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01/25/2024</w:t>
            </w: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ind w:left="100"/>
              <w:spacing w:after="0"/>
              <w:rPr>
                <w:sz w:val="20"/>
                <w:szCs w:val="20"/>
                <w:color w:val="auto"/>
              </w:rPr>
            </w:pPr>
            <w:r>
              <w:rPr>
                <w:rFonts w:ascii="Arial" w:cs="Arial" w:eastAsia="Arial" w:hAnsi="Arial"/>
                <w:sz w:val="12"/>
                <w:szCs w:val="12"/>
                <w:color w:val="auto"/>
              </w:rPr>
              <w:t>below)</w:t>
            </w:r>
          </w:p>
        </w:tc>
        <w:tc>
          <w:tcPr>
            <w:tcW w:w="1500" w:type="dxa"/>
            <w:vAlign w:val="bottom"/>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0"/>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8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312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20" w:type="dxa"/>
            <w:vAlign w:val="bottom"/>
            <w:gridSpan w:val="3"/>
          </w:tcPr>
          <w:p>
            <w:pPr>
              <w:ind w:left="20"/>
              <w:spacing w:after="0"/>
              <w:rPr>
                <w:sz w:val="20"/>
                <w:szCs w:val="20"/>
                <w:color w:val="auto"/>
              </w:rPr>
            </w:pPr>
            <w:r>
              <w:rPr>
                <w:rFonts w:ascii="Arial" w:cs="Arial" w:eastAsia="Arial" w:hAnsi="Arial"/>
                <w:sz w:val="12"/>
                <w:szCs w:val="12"/>
                <w:color w:val="auto"/>
              </w:rPr>
              <w:t>Individual or Joint/Group Filing (Check Applicable Line)</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2820" w:type="dxa"/>
            <w:vAlign w:val="bottom"/>
            <w:gridSpan w:val="2"/>
          </w:tcPr>
          <w:p>
            <w:pPr>
              <w:ind w:left="12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gridSpan w:val="2"/>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197" w:lineRule="exact"/>
        <w:rPr>
          <w:sz w:val="24"/>
          <w:szCs w:val="24"/>
          <w:color w:val="auto"/>
        </w:rPr>
      </w:pPr>
    </w:p>
    <w:p>
      <w:pPr>
        <w:ind w:left="300" w:right="480"/>
        <w:spacing w:after="0" w:line="26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2" w:lineRule="exact"/>
        <w:rPr>
          <w:sz w:val="24"/>
          <w:szCs w:val="24"/>
          <w:color w:val="auto"/>
        </w:rPr>
      </w:pPr>
    </w:p>
    <w:p>
      <w:pPr>
        <w:sectPr>
          <w:pgSz w:w="11900" w:h="16838" w:orient="portrait"/>
          <w:cols w:equalWidth="0" w:num="2">
            <w:col w:w="3760" w:space="80"/>
            <w:col w:w="7240"/>
          </w:cols>
          <w:pgMar w:left="460" w:top="212"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80" w:type="dxa"/>
            <w:vAlign w:val="bottom"/>
            <w:gridSpan w:val="3"/>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960" w:type="dxa"/>
            <w:vAlign w:val="bottom"/>
          </w:tcPr>
          <w:p>
            <w:pPr>
              <w:spacing w:after="0"/>
              <w:rPr>
                <w:sz w:val="12"/>
                <w:szCs w:val="12"/>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16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160"/>
              <w:spacing w:after="0" w:line="122"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40" w:type="dxa"/>
            <w:vAlign w:val="bottom"/>
            <w:gridSpan w:val="5"/>
          </w:tcPr>
          <w:p>
            <w:pPr>
              <w:ind w:left="80"/>
              <w:spacing w:after="0" w:line="122"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(Month/Day/Year)  if any</w:t>
            </w:r>
          </w:p>
        </w:tc>
        <w:tc>
          <w:tcPr>
            <w:tcW w:w="100" w:type="dxa"/>
            <w:vAlign w:val="bottom"/>
          </w:tcPr>
          <w:p>
            <w:pPr>
              <w:spacing w:after="0"/>
              <w:rPr>
                <w:sz w:val="10"/>
                <w:szCs w:val="10"/>
                <w:color w:val="auto"/>
              </w:rPr>
            </w:pPr>
          </w:p>
        </w:tc>
        <w:tc>
          <w:tcPr>
            <w:tcW w:w="13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4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4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0" w:type="dxa"/>
            <w:vAlign w:val="bottom"/>
            <w:gridSpan w:val="2"/>
            <w:vMerge w:val="restart"/>
          </w:tcPr>
          <w:p>
            <w:pPr>
              <w:ind w:left="60"/>
              <w:spacing w:after="0" w:line="122"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gridSpan w:val="3"/>
            <w:vMerge w:val="restart"/>
          </w:tcPr>
          <w:p>
            <w:pPr>
              <w:ind w:left="4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tcPr>
          <w:p>
            <w:pPr>
              <w:ind w:left="200"/>
              <w:spacing w:after="0" w:line="122" w:lineRule="exact"/>
              <w:rPr>
                <w:sz w:val="20"/>
                <w:szCs w:val="20"/>
                <w:color w:val="auto"/>
              </w:rPr>
            </w:pPr>
            <w:r>
              <w:rPr>
                <w:rFonts w:ascii="Arial" w:cs="Arial" w:eastAsia="Arial" w:hAnsi="Arial"/>
                <w:sz w:val="11"/>
                <w:szCs w:val="11"/>
                <w:b w:val="1"/>
                <w:bCs w:val="1"/>
                <w:color w:val="auto"/>
                <w:w w:val="95"/>
              </w:rPr>
              <w:t>(A) or</w:t>
            </w:r>
          </w:p>
        </w:tc>
        <w:tc>
          <w:tcPr>
            <w:tcW w:w="700" w:type="dxa"/>
            <w:vAlign w:val="bottom"/>
            <w:vMerge w:val="restart"/>
          </w:tcPr>
          <w:p>
            <w:pPr>
              <w:jc w:val="right"/>
              <w:ind w:right="153"/>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By M</w:t>
            </w:r>
          </w:p>
        </w:tc>
        <w:tc>
          <w:tcPr>
            <w:tcW w:w="0" w:type="dxa"/>
            <w:vAlign w:val="bottom"/>
          </w:tcPr>
          <w:p>
            <w:pPr>
              <w:spacing w:after="0"/>
              <w:rPr>
                <w:sz w:val="1"/>
                <w:szCs w:val="1"/>
                <w:color w:val="auto"/>
              </w:rPr>
            </w:pPr>
          </w:p>
        </w:tc>
      </w:tr>
      <w:tr>
        <w:trPr>
          <w:trHeight w:val="195"/>
        </w:trPr>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01/25/2024</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center"/>
              <w:ind w:right="127"/>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445,272</w:t>
            </w: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1.46</w:t>
            </w:r>
          </w:p>
        </w:tc>
        <w:tc>
          <w:tcPr>
            <w:tcW w:w="12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6"/>
                <w:szCs w:val="16"/>
                <w:color w:val="0000FF"/>
              </w:rPr>
              <w:t>445,272</w:t>
            </w:r>
          </w:p>
        </w:tc>
        <w:tc>
          <w:tcPr>
            <w:tcW w:w="260" w:type="dxa"/>
            <w:vAlign w:val="bottom"/>
          </w:tcPr>
          <w:p>
            <w:pPr>
              <w:spacing w:after="0"/>
              <w:rPr>
                <w:sz w:val="16"/>
                <w:szCs w:val="1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Zion</w:t>
            </w:r>
          </w:p>
        </w:tc>
        <w:tc>
          <w:tcPr>
            <w:tcW w:w="0" w:type="dxa"/>
            <w:vAlign w:val="bottom"/>
          </w:tcPr>
          <w:p>
            <w:pPr>
              <w:spacing w:after="0"/>
              <w:rPr>
                <w:sz w:val="1"/>
                <w:szCs w:val="1"/>
                <w:color w:val="auto"/>
              </w:rPr>
            </w:pPr>
          </w:p>
        </w:tc>
      </w:tr>
      <w:tr>
        <w:trPr>
          <w:trHeight w:val="127"/>
        </w:trPr>
        <w:tc>
          <w:tcPr>
            <w:tcW w:w="144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69"/>
        </w:trPr>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7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By M</w:t>
            </w:r>
          </w:p>
        </w:tc>
        <w:tc>
          <w:tcPr>
            <w:tcW w:w="0" w:type="dxa"/>
            <w:vAlign w:val="bottom"/>
          </w:tcPr>
          <w:p>
            <w:pPr>
              <w:spacing w:after="0"/>
              <w:rPr>
                <w:sz w:val="1"/>
                <w:szCs w:val="1"/>
                <w:color w:val="auto"/>
              </w:rPr>
            </w:pPr>
          </w:p>
        </w:tc>
      </w:tr>
      <w:tr>
        <w:trPr>
          <w:trHeight w:val="195"/>
        </w:trPr>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01/25/2024</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center"/>
              <w:ind w:right="127"/>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445,272</w:t>
            </w: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1.46</w:t>
            </w:r>
          </w:p>
        </w:tc>
        <w:tc>
          <w:tcPr>
            <w:tcW w:w="12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6"/>
                <w:szCs w:val="16"/>
                <w:color w:val="0000FF"/>
              </w:rPr>
              <w:t>445,272</w:t>
            </w:r>
          </w:p>
        </w:tc>
        <w:tc>
          <w:tcPr>
            <w:tcW w:w="260" w:type="dxa"/>
            <w:vAlign w:val="bottom"/>
          </w:tcPr>
          <w:p>
            <w:pPr>
              <w:spacing w:after="0"/>
              <w:rPr>
                <w:sz w:val="16"/>
                <w:szCs w:val="1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Olivet</w:t>
            </w:r>
          </w:p>
        </w:tc>
        <w:tc>
          <w:tcPr>
            <w:tcW w:w="0" w:type="dxa"/>
            <w:vAlign w:val="bottom"/>
          </w:tcPr>
          <w:p>
            <w:pPr>
              <w:spacing w:after="0"/>
              <w:rPr>
                <w:sz w:val="1"/>
                <w:szCs w:val="1"/>
                <w:color w:val="auto"/>
              </w:rPr>
            </w:pPr>
          </w:p>
        </w:tc>
      </w:tr>
      <w:tr>
        <w:trPr>
          <w:trHeight w:val="127"/>
        </w:trPr>
        <w:tc>
          <w:tcPr>
            <w:tcW w:w="144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69"/>
        </w:trPr>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7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96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70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580" w:type="dxa"/>
            <w:vAlign w:val="bottom"/>
            <w:tcBorders>
              <w:bottom w:val="single" w:sz="8" w:color="2C2C2C"/>
            </w:tcBorders>
          </w:tcPr>
          <w:p>
            <w:pPr>
              <w:spacing w:after="0"/>
              <w:rPr>
                <w:sz w:val="22"/>
                <w:szCs w:val="22"/>
                <w:color w:val="auto"/>
              </w:rPr>
            </w:pPr>
          </w:p>
        </w:tc>
        <w:tc>
          <w:tcPr>
            <w:tcW w:w="26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By M</w:t>
            </w:r>
          </w:p>
        </w:tc>
        <w:tc>
          <w:tcPr>
            <w:tcW w:w="0" w:type="dxa"/>
            <w:vAlign w:val="bottom"/>
          </w:tcPr>
          <w:p>
            <w:pPr>
              <w:spacing w:after="0"/>
              <w:rPr>
                <w:sz w:val="1"/>
                <w:szCs w:val="1"/>
                <w:color w:val="auto"/>
              </w:rPr>
            </w:pPr>
          </w:p>
        </w:tc>
      </w:tr>
      <w:tr>
        <w:trPr>
          <w:trHeight w:val="195"/>
        </w:trPr>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01/25/2024</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jc w:val="center"/>
              <w:ind w:right="127"/>
              <w:spacing w:after="0"/>
              <w:rPr>
                <w:sz w:val="20"/>
                <w:szCs w:val="20"/>
                <w:color w:val="auto"/>
              </w:rPr>
            </w:pPr>
            <w:r>
              <w:rPr>
                <w:rFonts w:ascii="Times New Roman" w:cs="Times New Roman" w:eastAsia="Times New Roman" w:hAnsi="Times New Roman"/>
                <w:sz w:val="24"/>
                <w:szCs w:val="24"/>
                <w:color w:val="0000FF"/>
                <w:w w:val="89"/>
                <w:vertAlign w:val="subscript"/>
              </w:rPr>
              <w:t>C</w:t>
            </w:r>
            <w:r>
              <w:rPr>
                <w:rFonts w:ascii="Times New Roman" w:cs="Times New Roman" w:eastAsia="Times New Roman" w:hAnsi="Times New Roman"/>
                <w:sz w:val="10"/>
                <w:szCs w:val="10"/>
                <w:color w:val="008000"/>
                <w:w w:val="89"/>
              </w:rPr>
              <w:t>(1)</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445,272</w:t>
            </w: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1.46</w:t>
            </w:r>
          </w:p>
        </w:tc>
        <w:tc>
          <w:tcPr>
            <w:tcW w:w="12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6"/>
                <w:szCs w:val="16"/>
                <w:color w:val="0000FF"/>
              </w:rPr>
              <w:t>445,272</w:t>
            </w:r>
          </w:p>
        </w:tc>
        <w:tc>
          <w:tcPr>
            <w:tcW w:w="260" w:type="dxa"/>
            <w:vAlign w:val="bottom"/>
          </w:tcPr>
          <w:p>
            <w:pPr>
              <w:spacing w:after="0"/>
              <w:rPr>
                <w:sz w:val="16"/>
                <w:szCs w:val="1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I</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Cannan</w:t>
            </w:r>
          </w:p>
        </w:tc>
        <w:tc>
          <w:tcPr>
            <w:tcW w:w="0" w:type="dxa"/>
            <w:vAlign w:val="bottom"/>
          </w:tcPr>
          <w:p>
            <w:pPr>
              <w:spacing w:after="0"/>
              <w:rPr>
                <w:sz w:val="1"/>
                <w:szCs w:val="1"/>
                <w:color w:val="auto"/>
              </w:rPr>
            </w:pPr>
          </w:p>
        </w:tc>
      </w:tr>
      <w:tr>
        <w:trPr>
          <w:trHeight w:val="127"/>
        </w:trPr>
        <w:tc>
          <w:tcPr>
            <w:tcW w:w="144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69"/>
        </w:trPr>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03"/>
        </w:trPr>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60" w:type="dxa"/>
            <w:vAlign w:val="bottom"/>
            <w:gridSpan w:val="12"/>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580" w:type="dxa"/>
            <w:vAlign w:val="bottom"/>
            <w:gridSpan w:val="10"/>
          </w:tcPr>
          <w:p>
            <w:pPr>
              <w:jc w:val="right"/>
              <w:ind w:right="273"/>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0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2"/>
        </w:trPr>
        <w:tc>
          <w:tcPr>
            <w:tcW w:w="7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8"/>
              </w:rPr>
              <w:t>Ownership</w:t>
            </w:r>
          </w:p>
        </w:tc>
        <w:tc>
          <w:tcPr>
            <w:tcW w:w="840" w:type="dxa"/>
            <w:vAlign w:val="bottom"/>
            <w:tcBorders>
              <w:right w:val="single" w:sz="8" w:color="2C2C2C"/>
            </w:tcBorders>
            <w:gridSpan w:val="3"/>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7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line="122" w:lineRule="exact"/>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0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7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96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7"/>
              </w:rPr>
              <w:t>(Month/Day/Year)</w:t>
            </w:r>
          </w:p>
        </w:tc>
        <w:tc>
          <w:tcPr>
            <w:tcW w:w="860" w:type="dxa"/>
            <w:vAlign w:val="bottom"/>
            <w:gridSpan w:val="2"/>
          </w:tcPr>
          <w:p>
            <w:pPr>
              <w:ind w:left="120"/>
              <w:spacing w:after="0" w:line="122" w:lineRule="exact"/>
              <w:rPr>
                <w:sz w:val="20"/>
                <w:szCs w:val="20"/>
                <w:color w:val="auto"/>
              </w:rPr>
            </w:pPr>
            <w:r>
              <w:rPr>
                <w:rFonts w:ascii="Arial" w:cs="Arial" w:eastAsia="Arial" w:hAnsi="Arial"/>
                <w:sz w:val="11"/>
                <w:szCs w:val="11"/>
                <w:b w:val="1"/>
                <w:bCs w:val="1"/>
                <w:color w:val="auto"/>
              </w:rPr>
              <w:t>8)</w:t>
            </w:r>
          </w:p>
        </w:tc>
        <w:tc>
          <w:tcPr>
            <w:tcW w:w="10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Acquired (A) or</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0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Disposed of (D)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0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7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(Instr. 3, 4 and 5)</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660" w:type="dxa"/>
            <w:vAlign w:val="bottom"/>
          </w:tcPr>
          <w:p>
            <w:pPr>
              <w:ind w:left="80"/>
              <w:spacing w:after="0" w:line="122" w:lineRule="exact"/>
              <w:rPr>
                <w:sz w:val="20"/>
                <w:szCs w:val="20"/>
                <w:color w:val="auto"/>
              </w:rPr>
            </w:pPr>
            <w:r>
              <w:rPr>
                <w:rFonts w:ascii="Arial" w:cs="Arial" w:eastAsia="Arial" w:hAnsi="Arial"/>
                <w:sz w:val="11"/>
                <w:szCs w:val="11"/>
                <w:b w:val="1"/>
                <w:bCs w:val="1"/>
                <w:color w:val="auto"/>
                <w:w w:val="98"/>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vMerge w:val="restart"/>
          </w:tcPr>
          <w:p>
            <w:pPr>
              <w:ind w:left="40"/>
              <w:spacing w:after="0" w:line="122"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line="122"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tcPr>
          <w:p>
            <w:pPr>
              <w:spacing w:after="0" w:line="122"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Convertible</w:t>
            </w:r>
          </w:p>
        </w:tc>
        <w:tc>
          <w:tcPr>
            <w:tcW w:w="720" w:type="dxa"/>
            <w:vAlign w:val="bottom"/>
            <w:vMerge w:val="restart"/>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1.46</w:t>
            </w:r>
            <w:r>
              <w:rPr>
                <w:rFonts w:ascii="Times New Roman" w:cs="Times New Roman" w:eastAsia="Times New Roman" w:hAnsi="Times New Roman"/>
                <w:sz w:val="20"/>
                <w:szCs w:val="20"/>
                <w:color w:val="008000"/>
                <w:vertAlign w:val="superscript"/>
              </w:rPr>
              <w:t>(3)</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(3)</w:t>
            </w:r>
          </w:p>
        </w:tc>
        <w:tc>
          <w:tcPr>
            <w:tcW w:w="10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2,671,633</w:t>
            </w:r>
            <w:r>
              <w:rPr>
                <w:rFonts w:ascii="Times New Roman" w:cs="Times New Roman" w:eastAsia="Times New Roman" w:hAnsi="Times New Roman"/>
                <w:sz w:val="20"/>
                <w:szCs w:val="20"/>
                <w:color w:val="008000"/>
                <w:vertAlign w:val="superscript"/>
              </w:rPr>
              <w:t>(3)</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6"/>
              </w:rPr>
              <w:t>2,671,633</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10,273,973</w:t>
            </w:r>
            <w:r>
              <w:rPr>
                <w:rFonts w:ascii="Times New Roman" w:cs="Times New Roman" w:eastAsia="Times New Roman" w:hAnsi="Times New Roman"/>
                <w:sz w:val="20"/>
                <w:szCs w:val="20"/>
                <w:color w:val="008000"/>
                <w:vertAlign w:val="superscript"/>
              </w:rPr>
              <w:t>(3)</w:t>
            </w:r>
          </w:p>
        </w:tc>
        <w:tc>
          <w:tcPr>
            <w:tcW w:w="660" w:type="dxa"/>
            <w:vAlign w:val="bottom"/>
          </w:tcPr>
          <w:p>
            <w:pPr>
              <w:spacing w:after="0"/>
              <w:rPr>
                <w:sz w:val="14"/>
                <w:szCs w:val="14"/>
                <w:color w:val="auto"/>
              </w:rPr>
            </w:pPr>
          </w:p>
        </w:tc>
        <w:tc>
          <w:tcPr>
            <w:tcW w:w="840" w:type="dxa"/>
            <w:vAlign w:val="bottom"/>
            <w:tcBorders>
              <w:right w:val="single" w:sz="8" w:color="2C2C2C"/>
            </w:tcBorders>
            <w:gridSpan w:val="3"/>
          </w:tcPr>
          <w:p>
            <w:pPr>
              <w:ind w:left="100"/>
              <w:spacing w:after="0"/>
              <w:rPr>
                <w:sz w:val="20"/>
                <w:szCs w:val="20"/>
                <w:color w:val="auto"/>
              </w:rPr>
            </w:pPr>
            <w:r>
              <w:rPr>
                <w:rFonts w:ascii="Times New Roman" w:cs="Times New Roman" w:eastAsia="Times New Roman" w:hAnsi="Times New Roman"/>
                <w:sz w:val="12"/>
                <w:szCs w:val="12"/>
                <w:color w:val="0000FF"/>
              </w:rPr>
              <w:t>By CP</w:t>
            </w:r>
          </w:p>
        </w:tc>
        <w:tc>
          <w:tcPr>
            <w:tcW w:w="0" w:type="dxa"/>
            <w:vAlign w:val="bottom"/>
          </w:tcPr>
          <w:p>
            <w:pPr>
              <w:spacing w:after="0"/>
              <w:rPr>
                <w:sz w:val="1"/>
                <w:szCs w:val="1"/>
                <w:color w:val="auto"/>
              </w:rPr>
            </w:pPr>
          </w:p>
        </w:tc>
      </w:tr>
      <w:tr>
        <w:trPr>
          <w:trHeight w:val="147"/>
        </w:trPr>
        <w:tc>
          <w:tcPr>
            <w:tcW w:w="7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40" w:type="dxa"/>
            <w:vAlign w:val="bottom"/>
          </w:tcPr>
          <w:p>
            <w:pPr>
              <w:jc w:val="right"/>
              <w:ind w:right="184"/>
              <w:spacing w:after="0"/>
              <w:rPr>
                <w:sz w:val="20"/>
                <w:szCs w:val="20"/>
                <w:color w:val="auto"/>
              </w:rPr>
            </w:pPr>
            <w:r>
              <w:rPr>
                <w:rFonts w:ascii="Times New Roman" w:cs="Times New Roman" w:eastAsia="Times New Roman" w:hAnsi="Times New Roman"/>
                <w:sz w:val="12"/>
                <w:szCs w:val="12"/>
                <w:color w:val="0000FF"/>
              </w:rPr>
              <w:t>01/25/2024</w:t>
            </w: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12/31/2025</w:t>
            </w:r>
          </w:p>
        </w:tc>
        <w:tc>
          <w:tcPr>
            <w:tcW w:w="6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continue"/>
          </w:tcPr>
          <w:p>
            <w:pPr>
              <w:spacing w:after="0"/>
              <w:rPr>
                <w:sz w:val="12"/>
                <w:szCs w:val="12"/>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I</w:t>
            </w:r>
          </w:p>
        </w:tc>
        <w:tc>
          <w:tcPr>
            <w:tcW w:w="840" w:type="dxa"/>
            <w:vAlign w:val="bottom"/>
            <w:tcBorders>
              <w:right w:val="single" w:sz="8" w:color="2C2C2C"/>
            </w:tcBorders>
            <w:gridSpan w:val="3"/>
          </w:tcPr>
          <w:p>
            <w:pPr>
              <w:ind w:left="100"/>
              <w:spacing w:after="0"/>
              <w:rPr>
                <w:sz w:val="20"/>
                <w:szCs w:val="20"/>
                <w:color w:val="auto"/>
              </w:rPr>
            </w:pPr>
            <w:r>
              <w:rPr>
                <w:rFonts w:ascii="Times New Roman" w:cs="Times New Roman" w:eastAsia="Times New Roman" w:hAnsi="Times New Roman"/>
                <w:sz w:val="12"/>
                <w:szCs w:val="12"/>
                <w:color w:val="0000FF"/>
              </w:rPr>
              <w:t>Acquisitions,</w:t>
            </w:r>
          </w:p>
        </w:tc>
        <w:tc>
          <w:tcPr>
            <w:tcW w:w="0" w:type="dxa"/>
            <w:vAlign w:val="bottom"/>
          </w:tcPr>
          <w:p>
            <w:pPr>
              <w:spacing w:after="0"/>
              <w:rPr>
                <w:sz w:val="1"/>
                <w:szCs w:val="1"/>
                <w:color w:val="auto"/>
              </w:rPr>
            </w:pPr>
          </w:p>
        </w:tc>
      </w:tr>
      <w:tr>
        <w:trPr>
          <w:trHeight w:val="134"/>
        </w:trPr>
        <w:tc>
          <w:tcPr>
            <w:tcW w:w="72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0000FF"/>
              </w:rPr>
              <w:t>Note</w:t>
            </w: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Borders>
              <w:right w:val="single" w:sz="8" w:color="2C2C2C"/>
            </w:tcBorders>
            <w:gridSpan w:val="3"/>
            <w:vMerge w:val="restart"/>
          </w:tcPr>
          <w:p>
            <w:pPr>
              <w:ind w:left="100"/>
              <w:spacing w:after="0" w:line="207"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78"/>
        </w:trPr>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-1530985</wp:posOffset>
            </wp:positionV>
            <wp:extent cx="27940" cy="1536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153670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4"/>
          <w:szCs w:val="24"/>
          <w:color w:val="auto"/>
        </w:rPr>
      </w:pPr>
    </w:p>
    <w:p>
      <w:pPr>
        <w:ind w:left="40" w:right="300" w:hanging="6"/>
        <w:spacing w:after="0" w:line="251"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January 25, 2024, CP Acquisitions, LLC ("CP Acquisitions") converted $3,900,583.71 of the principal amount and accrued but unpaid interest of that certain Senior Secured Amended, Restated and Consolidated Convertible Note due 2025 (the "Note"), issued by Agrify Corporation (the "Issuer") and entered into by and between CP Acquisitions and the Issuer as of January 25, 2024, into 2,671,633 shares of common stock of the Issuer. Immediately subsequent to such conversion, 445,272 of the shares of common stock entitled to CP Acquisitions were assigned to each of M Zion Capital, LLC, M Olivet Capital, LLC and M Cannan Capital, LLC.</w:t>
      </w:r>
    </w:p>
    <w:p>
      <w:pPr>
        <w:spacing w:after="0" w:line="18" w:lineRule="exact"/>
        <w:rPr>
          <w:rFonts w:ascii="Times New Roman" w:cs="Times New Roman" w:eastAsia="Times New Roman" w:hAnsi="Times New Roman"/>
          <w:sz w:val="12"/>
          <w:szCs w:val="12"/>
          <w:color w:val="008000"/>
        </w:rPr>
      </w:pPr>
    </w:p>
    <w:p>
      <w:pPr>
        <w:ind w:left="40" w:right="220" w:hanging="6"/>
        <w:spacing w:after="0" w:line="251"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M Zion Capital, LLC, M Olivet Capital, LLC and M Cannan Capital, LLC are entities controlled by the reporting person, and the reported securities may be deemed to be indirectly beneficially owned by the reporting person. The reporting person disclaims beneficial ownership of the reported securities except to the extent of her pecuniary interest therein, and this report shall not be deemed an admission that such person is the beneficial owner of the securities for purposes of Section 16 of the Securities Exchange Act of 1934, as amended, or for any other purpose.</w:t>
      </w:r>
    </w:p>
    <w:p>
      <w:pPr>
        <w:spacing w:after="0" w:line="18" w:lineRule="exact"/>
        <w:rPr>
          <w:rFonts w:ascii="Times New Roman" w:cs="Times New Roman" w:eastAsia="Times New Roman" w:hAnsi="Times New Roman"/>
          <w:sz w:val="12"/>
          <w:szCs w:val="12"/>
          <w:color w:val="008000"/>
        </w:rPr>
      </w:pPr>
    </w:p>
    <w:p>
      <w:pPr>
        <w:ind w:left="40" w:right="280" w:hanging="6"/>
        <w:spacing w:after="0" w:line="245"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Immediately upon its execution, the outstanding principal amount of the Note was $18,900,583.71, and after the consummation of the conversion transaction described in Item #1 above the outstanding principal of the Note is $15,000,000.00. The Note is convertible as of the transaction date, subject to a 49.99% beneficial ownership limitation, into shares of common stock of the Issuer at a current conversion price of $1.46 per share, as may be adjusted per the Note from time to time; provided that CP Acquisitions may assign its right to receive shares of common stock upon conversion to Mr. Raymond Chang, a member of the Board of Directors and the CEO of the Issuer, and/or the reporting person, in which case the 49.99% beneficial ownership limitation will apply to each of them individually.</w:t>
      </w:r>
    </w:p>
    <w:p>
      <w:pPr>
        <w:spacing w:after="0" w:line="22" w:lineRule="exact"/>
        <w:rPr>
          <w:rFonts w:ascii="Times New Roman" w:cs="Times New Roman" w:eastAsia="Times New Roman" w:hAnsi="Times New Roman"/>
          <w:sz w:val="12"/>
          <w:szCs w:val="12"/>
          <w:color w:val="008000"/>
        </w:rPr>
      </w:pPr>
    </w:p>
    <w:p>
      <w:pPr>
        <w:ind w:left="40" w:right="200" w:hanging="6"/>
        <w:spacing w:after="0" w:line="251" w:lineRule="auto"/>
        <w:tabs>
          <w:tab w:leader="none" w:pos="162"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CP Acquisitions is an entity controlled by the reporting person, and the reported securities may be deemed to be indirectly beneficially owned by the reporting person. The reporting person disclaims beneficial ownership of the reported securities except to the extent of her pecuniary interest therein, and this report shall not be deemed an admission that such person is the beneficial owner of the securities for purposes of Section 16 of the Securities Exchange Act of 1934, as amended, or for any other purpose.</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0000FF"/>
                <w:w w:val="97"/>
              </w:rPr>
              <w:t>/s/ I-Tseng Jenny Chan</w:t>
            </w:r>
          </w:p>
        </w:tc>
        <w:tc>
          <w:tcPr>
            <w:tcW w:w="520" w:type="dxa"/>
            <w:vAlign w:val="bottom"/>
          </w:tcPr>
          <w:p>
            <w:pPr>
              <w:spacing w:after="0"/>
              <w:rPr>
                <w:sz w:val="16"/>
                <w:szCs w:val="16"/>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0000FF"/>
                <w:w w:val="95"/>
              </w:rPr>
              <w:t>01/29/2024</w:t>
            </w:r>
          </w:p>
        </w:tc>
      </w:tr>
      <w:tr>
        <w:trPr>
          <w:trHeight w:val="20"/>
        </w:trPr>
        <w:tc>
          <w:tcPr>
            <w:tcW w:w="1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13"/>
        </w:trPr>
        <w:tc>
          <w:tcPr>
            <w:tcW w:w="198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000" w:hanging="6"/>
        <w:spacing w:after="0" w:line="318"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2009461"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2024-01-29T15:37:15Z</dcterms:created>
  <dcterms:modified xsi:type="dcterms:W3CDTF">2024-01-29T15:37:15Z</dcterms:modified>
</cp:coreProperties>
</file>