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9, 2022</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AGRIFY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9, 2022, Agrify Corporation (the “Company”) issued a press release announcing financial results for the quarter ended September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release is attached as Exhibit 99.1.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Agrify Corporation, dated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580" w:right="4140" w:hanging="5572"/>
        <w:spacing w:after="0" w:line="761"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Timothy R. Oakes</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873"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Announces Results for Third Quarter 2022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Industry Headwinds Continue to Challenge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Adjusts Fiscal Year 2022 Outlook</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BILLERICA, Mass., November 9, 2022 - Agrify Corporation (Nasdaq:AGFY) (“Agrify” or the “Company”), a leading provider of innovative cultivation and extraction solutions for the cannabis industry, today announced financial results for the third quarter ended September 30, 2022.</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“While the operating environment within the cannabis industry continues to pose significant challenges for us, we remain determined to pursue and execute on a number of important and practical initiatives,” said Raymond Chang, Chairman and Chief Executive Officer of Agrify. “Unfortunately, our third quarter financial performance was not what we anticipated. We entered the quarter with line of sight on more than $15.0 million in revenue, however, we had to make some difficult business decisions, which resulted in quarterly revenue of only $7.0 million. Our third quarter revenue excludes $5.3 million of design and build revenue, which was deferred as a result of a default by Bud &amp; Mary’s ownership on the terms of its Total Turn-Key Solution and Loan Agreements, as well as the current pending lawsuit, and approximately $1.8 million of customer orders that were not fulfilled during the quarter as we managed to the strict quarterly cash spend limits incorporated into our restructured credit facility. Despite the obstacles we have encountered in recent months, we believe brighter days are ahead, and we are already seeing a positive shift in momentum in the fourth quarter, which should bode well for renewed growth for the remainder of the year and beyond.”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and Year-To-Date 2022 Financial Results</w:t>
      </w:r>
    </w:p>
    <w:p>
      <w:pPr>
        <w:spacing w:after="0" w:line="229" w:lineRule="exact"/>
        <w:rPr>
          <w:sz w:val="20"/>
          <w:szCs w:val="20"/>
          <w:color w:val="auto"/>
        </w:rPr>
      </w:pPr>
    </w:p>
    <w:p>
      <w:pPr>
        <w:ind w:left="660" w:right="4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$7.0 million for the third quarter, a decrease of 55.4% compared to $15.8 million for the prior year period. Revenue was $52.4 million for the year-to-date period, an increase of 51.4% versus $34.6 million for the prior year-to-date period. Third quarter 2022 revenue reflects the deferral of $5.3 million of design and build revenue in connection with the Bud and Mary’s lawsuit.</w:t>
      </w:r>
    </w:p>
    <w:p>
      <w:pPr>
        <w:spacing w:after="0" w:line="202"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loss for the third quarter totaled $(4.1) million, or (58.6)% of revenue, compared to $(380) thousand, or (2.4)% of revenue, in the prior year period. Gross profit (loss) for the year-to-date period was $1.7 million, or 3.2% of revenue, compared to $(393) thousand, or (1.1)% of revenue in the prior year-to-date period.</w:t>
      </w:r>
    </w:p>
    <w:p>
      <w:pPr>
        <w:spacing w:after="0" w:line="202"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totaled $27.4 million for the third quarter, compared to $9.4 million in the prior year period. Operating expenses were $134.5 million for the year-to-date period, compared to $21.3 million in the prior year-to-date period. The comparative increase in third quarter 2022 operating expenses is largely attributable to increases in reserves associated with loans receivable, increases in depreciation and amortization, and changes in contingent consideration related to the fair value estimates associated with ongoing acquisition-related earnout arrangements. Additionally, the increase in comparative year-to-date operating expenses is similarly attributable to the previously mentioned items, as well as second quarter 2022 impairment charges of $69.9 million.</w:t>
      </w:r>
    </w:p>
    <w:p>
      <w:pPr>
        <w:spacing w:after="0" w:line="214"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third quarter was $46.3 million, or $17.33 per diluted share, compared to a net loss of $9.8 million, or $4.68 per diluted share, in the prior year period. Net loss totaled $148.6 million, or $57.21 per diluted share, for the year-to-date period, compared to a net loss of $19.2 million, or $10.66 per diluted share, in the prior year-to-date period.</w:t>
      </w:r>
    </w:p>
    <w:p>
      <w:pPr>
        <w:spacing w:after="0" w:line="202"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used in operating activities was $8.5 million for the third quarter, compared to $3.7 million in the prior year period. Cash flow used in operating activities was $66.1 million for the year-to-date period, compared to $17.6 million in the prior year-to-date period.</w:t>
      </w:r>
    </w:p>
    <w:p>
      <w:pPr>
        <w:spacing w:after="0" w:line="188"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 non-GAAP financial measure) was a loss of $28.8 million in the third quarter (see “Non-GAAP Financial Measures” below for further discussion of this non-GAAP term, including a reconciliation to the most comparable GAAP measure), compared to an Adjusted EBITDA loss of $5.6 million in the prior year period. Adjusted EBITDA was a loss of $54.3 million in the year-to-date period, compared to an Adjusted EBITDA loss of $14.3 million in the prior year-to-date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29" w:lineRule="exact"/>
        <w:rPr>
          <w:sz w:val="20"/>
          <w:szCs w:val="20"/>
          <w:color w:val="auto"/>
        </w:rPr>
      </w:pPr>
    </w:p>
    <w:p>
      <w:pPr>
        <w:ind w:left="660" w:right="14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2022, Agrify announced the successful commercialization of the PX10 hydrocarbon cannabis extractor that was originally unveiled in August. The PX10 will soon be installed at three customer facilities, including at a customer site in Maryland belonging to Alchemist Ventures. The progression of the PX10 exemplifies the Company’s ability to not only successfully turn a product vision into reality, but also its capacity to provide cutting-edge solutions to a growing number of prominent customers including multi-state operators as they look to gain a competitive edge, grow their businesses, and produce groundbreaking products in all different form factors.</w:t>
      </w:r>
    </w:p>
    <w:p>
      <w:pPr>
        <w:spacing w:after="0" w:line="210" w:lineRule="exact"/>
        <w:rPr>
          <w:rFonts w:ascii="Times New Roman" w:cs="Times New Roman" w:eastAsia="Times New Roman" w:hAnsi="Times New Roman"/>
          <w:sz w:val="18"/>
          <w:szCs w:val="18"/>
          <w:color w:val="auto"/>
        </w:rPr>
      </w:pPr>
    </w:p>
    <w:p>
      <w:pPr>
        <w:ind w:left="660" w:right="100" w:hanging="328"/>
        <w:spacing w:after="0" w:line="274"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6, 2022, Agrify announced that Prairie State Cannabis LLC in Illinois, LowKey LLC in Massachusetts, and MediFlora Cultivation LTD in South Africa all signed agreements to operate their respective cultivation businesses using Agrify’s Rapid Deployment Packs (“RDPs”). Agrify will initially be providing each customer with an RDP configuration consisting of 56 Vertical Farming Units (“VFUs”). With this infrastructure, each customer will have the potential to produce an estimated 7.5 pounds of premium quality flowers per VFU, per grow cycle, with approximately 5.2 grow cycles expected to be possible each year. The combined agreements for these three new customers have an expected base value of over $7.5 million in cultivation-related hardware sales, and additionally include future recurring SaaS and production success fees.</w:t>
      </w:r>
    </w:p>
    <w:p>
      <w:pPr>
        <w:spacing w:after="0" w:line="199" w:lineRule="exact"/>
        <w:rPr>
          <w:rFonts w:ascii="Times New Roman" w:cs="Times New Roman" w:eastAsia="Times New Roman" w:hAnsi="Times New Roman"/>
          <w:sz w:val="17"/>
          <w:szCs w:val="17"/>
          <w:color w:val="auto"/>
        </w:rPr>
      </w:pPr>
    </w:p>
    <w:p>
      <w:pPr>
        <w:ind w:left="660" w:right="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9, 2022, Agrify announced it received the Best Cultivation Technology Award during the Green Market Report’s Tech Summit. The Green Market Report is one of the preeminent sources for financial, business, and economic news in the cannabis industry and is also the driving force behind a number of cannabis conferences and industry events. The Green Market Report Cannabis Technology Awards recognize companies in the cannabis industry that have created innovative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Financing Update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ended the third quarter of 2022 with a combined amount of cash, restricted cash, and marketable securities of $12.5 million. Subsequent to the end of the third quarter of 2022, the Company began issuing shares of its common stock under a previously announced at-the-market equity program (the “ATM Program”), and as of November 7, 2022, the Company had generated aggregate gross proceeds through the ATM Program of $15.6 million and net proceeds, after deducting commissions, of $15.1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Outlook</w:t>
      </w:r>
    </w:p>
    <w:p>
      <w:pPr>
        <w:spacing w:after="0" w:line="229"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The Company is further updating its revenue guidance for Fiscal Year 2022 due to the pending lawsuit from Bud &amp; Mary’s, which has resulted in an unanticipated deferral of approximately $5.3 million in third quarter revenue and will also impact fourth quarter revenue. Agrify now expects to generate between $65.0 million and $70.0 million in total revenue for Fiscal Year 2022 instead of the previous guidance range of $70.0 million to $75.0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Agrify will host a conference call and webcast today (Wednesday, November 9, 2022) at 8:30 a.m. Eastern Time (ET) to discuss its financial results for the third quarter ended September 30, 2022.</w:t>
      </w:r>
    </w:p>
    <w:p>
      <w:pPr>
        <w:spacing w:after="0" w:line="16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WEBCAST (live and available for replay): https://ir.agrify.com/news-and-events/investor-calendar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DIAL-IN DETAILS (for those who would like to ask a question during the live call):</w:t>
      </w:r>
    </w:p>
    <w:p>
      <w:pPr>
        <w:spacing w:after="0" w:line="252" w:lineRule="exact"/>
        <w:rPr>
          <w:sz w:val="20"/>
          <w:szCs w:val="20"/>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Participants: 1-877-407-9208</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1-201-493-6784</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ID: 13732566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future financial results, including expected revenue, anticipated growth in the fourth quarter and in future periods, the timing and ability to launch new products, including the PX10, the ability to realize revenue from the bookings, backlog, pipeline, and specific transactions described herein, including the agreements relating to Rapid Deployment Packs, the expected benefits and yields derived from Agrify products, project timelines, and Agrify’s ability to deliver solutions and services.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5"/>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220" w:type="dxa"/>
            <w:vAlign w:val="bottom"/>
            <w:gridSpan w:val="5"/>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15,751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16,131</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 profit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7,705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890</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27,431</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9,422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134,509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21,333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(21,726)</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gain on extinguishment of notes payable</w:t>
            </w:r>
          </w:p>
        </w:tc>
        <w:tc>
          <w:tcPr>
            <w:tcW w:w="240" w:type="dxa"/>
            <w:vAlign w:val="bottom"/>
          </w:tcPr>
          <w:p>
            <w:pPr>
              <w:spacing w:after="0"/>
              <w:rPr>
                <w:sz w:val="20"/>
                <w:szCs w:val="20"/>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(17,933)</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(17,933)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(46,267)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(148,808)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(19,051)</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100" w:type="dxa"/>
            <w:vAlign w:val="bottom"/>
            <w:tcBorders>
              <w:top w:val="single" w:sz="8" w:color="CCEEFF"/>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Times New Roman" w:cs="Times New Roman" w:eastAsia="Times New Roman" w:hAnsi="Times New Roman"/>
                <w:sz w:val="15"/>
                <w:szCs w:val="15"/>
                <w:color w:val="auto"/>
              </w:rPr>
              <w:t xml:space="preserve">stockholders – basic and diluted </w:t>
            </w:r>
            <w:r>
              <w:rPr>
                <w:rFonts w:ascii="Times New Roman" w:cs="Times New Roman" w:eastAsia="Times New Roman" w:hAnsi="Times New Roman"/>
                <w:sz w:val="23"/>
                <w:szCs w:val="23"/>
                <w:color w:val="auto"/>
                <w:vertAlign w:val="superscript"/>
              </w:rPr>
              <w:t>(1)</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0" w:type="dxa"/>
            <w:vAlign w:val="bottom"/>
          </w:tcPr>
          <w:p>
            <w:pPr>
              <w:spacing w:after="0"/>
              <w:rPr>
                <w:sz w:val="17"/>
                <w:szCs w:val="17"/>
                <w:color w:val="auto"/>
              </w:rPr>
            </w:pP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100" w:type="dxa"/>
            <w:vAlign w:val="bottom"/>
            <w:gridSpan w:val="2"/>
          </w:tcPr>
          <w:p>
            <w:pPr>
              <w:jc w:val="right"/>
              <w:ind w:right="141"/>
              <w:spacing w:after="0" w:line="95" w:lineRule="exact"/>
              <w:rPr>
                <w:sz w:val="20"/>
                <w:szCs w:val="20"/>
                <w:color w:val="auto"/>
              </w:rPr>
            </w:pPr>
            <w:r>
              <w:rPr>
                <w:rFonts w:ascii="Times New Roman" w:cs="Times New Roman" w:eastAsia="Times New Roman" w:hAnsi="Times New Roman"/>
                <w:sz w:val="10"/>
                <w:szCs w:val="10"/>
                <w:color w:val="auto"/>
              </w:rPr>
              <w:t>(4.68</w:t>
            </w:r>
          </w:p>
        </w:tc>
        <w:tc>
          <w:tcPr>
            <w:tcW w:w="2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commons shares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ind w:left="180"/>
              <w:spacing w:after="0" w:line="296" w:lineRule="exact"/>
              <w:rPr>
                <w:sz w:val="20"/>
                <w:szCs w:val="20"/>
                <w:color w:val="auto"/>
              </w:rPr>
            </w:pPr>
            <w:r>
              <w:rPr>
                <w:rFonts w:ascii="Times New Roman" w:cs="Times New Roman" w:eastAsia="Times New Roman" w:hAnsi="Times New Roman"/>
                <w:sz w:val="18"/>
                <w:szCs w:val="18"/>
                <w:color w:val="auto"/>
              </w:rPr>
              <w:t xml:space="preserve">outstanding – basic and diluted </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2,083</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1-for-1.581804 reverse stock split on January 12, 2021 and the 1-for-10 reverse stock split on October 18, 2022. Additional information regarding the reverse stock splits may be found in Note 1 – Overview, Basis of Presentation and Significant Accounting Policies, included elsewhere in the notes to the condensed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44,550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41,791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20,498</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2,452</w:t>
            </w: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Loan receivable,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both"/>
        <w:ind w:left="640"/>
        <w:spacing w:after="0"/>
        <w:tabs>
          <w:tab w:leader="none" w:pos="1940" w:val="left"/>
        </w:tabs>
        <w:rPr>
          <w:sz w:val="20"/>
          <w:szCs w:val="20"/>
          <w:color w:val="auto"/>
        </w:rPr>
      </w:pPr>
      <w:r>
        <w:rPr>
          <w:rFonts w:ascii="Times New Roman" w:cs="Times New Roman" w:eastAsia="Times New Roman" w:hAnsi="Times New Roman"/>
          <w:sz w:val="18"/>
          <w:szCs w:val="18"/>
          <w:color w:val="auto"/>
        </w:rPr>
        <w:t>29,232</w:t>
      </w:r>
      <w:r>
        <w:rPr>
          <w:sz w:val="20"/>
          <w:szCs w:val="20"/>
          <w:color w:val="auto"/>
        </w:rPr>
        <w:tab/>
      </w:r>
      <w:r>
        <w:rPr>
          <w:rFonts w:ascii="Times New Roman" w:cs="Times New Roman" w:eastAsia="Times New Roman" w:hAnsi="Times New Roman"/>
          <w:sz w:val="18"/>
          <w:szCs w:val="18"/>
          <w:color w:val="auto"/>
        </w:rPr>
        <w:t>22,255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640"/>
        <w:spacing w:after="0"/>
        <w:tabs>
          <w:tab w:leader="none" w:pos="2020" w:val="left"/>
        </w:tabs>
        <w:rPr>
          <w:sz w:val="20"/>
          <w:szCs w:val="20"/>
          <w:color w:val="auto"/>
        </w:rPr>
      </w:pPr>
      <w:r>
        <w:rPr>
          <w:rFonts w:ascii="Times New Roman" w:cs="Times New Roman" w:eastAsia="Times New Roman" w:hAnsi="Times New Roman"/>
          <w:sz w:val="18"/>
          <w:szCs w:val="18"/>
          <w:color w:val="auto"/>
        </w:rPr>
        <w:t>13,208</w:t>
      </w:r>
      <w:r>
        <w:rPr>
          <w:sz w:val="20"/>
          <w:szCs w:val="20"/>
          <w:color w:val="auto"/>
        </w:rPr>
        <w:tab/>
      </w:r>
      <w:r>
        <w:rPr>
          <w:rFonts w:ascii="Times New Roman" w:cs="Times New Roman" w:eastAsia="Times New Roman" w:hAnsi="Times New Roman"/>
          <w:sz w:val="18"/>
          <w:szCs w:val="18"/>
          <w:color w:val="auto"/>
        </w:rPr>
        <w:t>6,232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5715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720"/>
        <w:spacing w:after="0"/>
        <w:tabs>
          <w:tab w:leader="none" w:pos="2020" w:val="left"/>
        </w:tabs>
        <w:rPr>
          <w:sz w:val="20"/>
          <w:szCs w:val="20"/>
          <w:color w:val="auto"/>
        </w:rPr>
      </w:pPr>
      <w:r>
        <w:rPr>
          <w:rFonts w:ascii="Times New Roman" w:cs="Times New Roman" w:eastAsia="Times New Roman" w:hAnsi="Times New Roman"/>
          <w:sz w:val="18"/>
          <w:szCs w:val="18"/>
          <w:color w:val="auto"/>
        </w:rPr>
        <w:t>2,470</w:t>
      </w:r>
      <w:r>
        <w:rPr>
          <w:sz w:val="20"/>
          <w:szCs w:val="20"/>
          <w:color w:val="auto"/>
        </w:rPr>
        <w:tab/>
      </w:r>
      <w:r>
        <w:rPr>
          <w:rFonts w:ascii="Times New Roman" w:cs="Times New Roman" w:eastAsia="Times New Roman" w:hAnsi="Times New Roman"/>
          <w:sz w:val="18"/>
          <w:szCs w:val="18"/>
          <w:color w:val="auto"/>
        </w:rPr>
        <w:t>1,479</w:t>
      </w:r>
    </w:p>
    <w:p>
      <w:pPr>
        <w:spacing w:after="0" w:line="9" w:lineRule="exact"/>
        <w:rPr>
          <w:sz w:val="20"/>
          <w:szCs w:val="20"/>
          <w:color w:val="auto"/>
        </w:rPr>
      </w:pPr>
    </w:p>
    <w:p>
      <w:pPr>
        <w:ind w:left="1960" w:hanging="891"/>
        <w:spacing w:after="0"/>
        <w:tabs>
          <w:tab w:leader="none" w:pos="1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64,162</w:t>
      </w:r>
    </w:p>
    <w:p>
      <w:pPr>
        <w:spacing w:after="0" w:line="9"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1,8991,184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-130810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8" w:lineRule="exact"/>
        <w:rPr>
          <w:sz w:val="20"/>
          <w:szCs w:val="20"/>
          <w:color w:val="auto"/>
        </w:rPr>
      </w:pPr>
    </w:p>
    <w:p>
      <w:pPr>
        <w:spacing w:after="0"/>
        <w:tabs>
          <w:tab w:leader="none" w:pos="540" w:val="left"/>
          <w:tab w:leader="none" w:pos="1320" w:val="left"/>
          <w:tab w:leader="none" w:pos="1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110,191</w:t>
        <w:tab/>
        <w:t>$</w:t>
      </w:r>
      <w:r>
        <w:rPr>
          <w:sz w:val="20"/>
          <w:szCs w:val="20"/>
          <w:color w:val="auto"/>
        </w:rPr>
        <w:tab/>
      </w:r>
      <w:r>
        <w:rPr>
          <w:rFonts w:ascii="Times New Roman" w:cs="Times New Roman" w:eastAsia="Times New Roman" w:hAnsi="Times New Roman"/>
          <w:sz w:val="18"/>
          <w:szCs w:val="18"/>
          <w:color w:val="auto"/>
        </w:rPr>
        <w:t>182,048</w:t>
      </w:r>
    </w:p>
    <w:p>
      <w:pPr>
        <w:spacing w:after="0" w:line="27"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20,505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current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10,136</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41,513</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43,590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1,744</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30,380</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74,795</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44,624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Common stock </w:t>
            </w:r>
            <w:r>
              <w:rPr>
                <w:rFonts w:ascii="Times New Roman" w:cs="Times New Roman" w:eastAsia="Times New Roman" w:hAnsi="Times New Roman"/>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Additional paid-in capital </w:t>
            </w:r>
            <w:r>
              <w:rPr>
                <w:rFonts w:ascii="Times New Roman" w:cs="Times New Roman" w:eastAsia="Times New Roman" w:hAnsi="Times New Roman"/>
                <w:sz w:val="29"/>
                <w:szCs w:val="29"/>
                <w:color w:val="auto"/>
                <w:vertAlign w:val="superscript"/>
              </w:rPr>
              <w:t>(1)</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242,549</w:t>
            </w: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196,032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(207,526)</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(58,975)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110,191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182,048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1-for-1.581804 reverse stock split on January 12, 2021 and the 1-for-10 reverse stock split on October 18, 2022. Additional information regarding the reverse stock splits may be found in Note 1 – Overview, Basis of Presentation and Significant Accounting Policies, included elsewhere in the notes to the condensed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(used in) provided by: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(66,115)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(4,135)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(84,683)</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60,387</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138,875</w:t>
            </w:r>
          </w:p>
        </w:tc>
        <w:tc>
          <w:tcPr>
            <w:tcW w:w="10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36,635</w:t>
            </w:r>
          </w:p>
        </w:tc>
        <w:tc>
          <w:tcPr>
            <w:tcW w:w="100" w:type="dxa"/>
            <w:vAlign w:val="bottom"/>
            <w:tcBorders>
              <w:top w:val="single" w:sz="8" w:color="CCEEFF"/>
            </w:tcBorders>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generally accepted accounting principles in the United States, or U.S. GAAP, we use Adjusted EBITDA, which is a non-U.S. GAAP financial measure to clarify and enhance an understanding of past performance. We believe that the presentation of Adjusted EBITDA enhances an investor’s understanding of our financial performance. We further believe that Adjusted EBITDA is a useful financial metric to assess our operating performance from period-to-period by excluding certain items that we believe are not representative of our core business. We use certain financial measures for business planning purposes, measuring our performance relative to that of our competitors and determining our compliance with certain debt instruments. We utilize Adjusted EBITDA as a key measure of our performance.</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calculate Adjusted EBITDA as net loss adjusted to exclude (i) tax provision and benefit; (ii) interest income and expense, net; (iii) other income and expense, net; (iv) depreciation and amortization, (v) stock-based compensation expense, (vi) acquisition-related expenses; (vii) investment banker termination fees; (viii) restructuring charges; (ix) impairments to long-lived assets; (x) gains and losses associated with the extinguishment of debt; (xi) changes in the fair value of warrant liabilities; (xii) changes in contingent consideration; (xiii) legal settlement charges; and (xiv) other items affecting our results that we do not view as representative of our ongoing operations, including losses associated with write-offs.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believe Adjusted EBITDA is a commonly used by investors to evaluate our performance and that of our competitors. However, our use of the term Adjusted EBITDA may vary from that of others in our industry. Adjusted EBITDA should not be considered as an alternative to net loss before taxes, net loss, loss per share or any other performance measures derived in accordance with U.S. GAAP as measures of performance.</w:t>
      </w:r>
    </w:p>
    <w:p>
      <w:pPr>
        <w:spacing w:after="0" w:line="17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Adjusted EBITDA has important limitations as an analytical tool and you should not consider it in isolation or as a substitute for analysis of our results as reported under U.S.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public offering and acquisition-related expenses, including legal, accounting and other professional expenses, reflect cash expenditures and we expect such expenditures to recur from time-to-time. Our Adjusted EBITDA may not be comparable to similarly titled measures of other companies because they may not calculate Adjusted EBITDA in the same manner as we calculate the measure, limiting its usefulness as a comparative measure.</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Adjusted EBITDA should not be considered as an alternative to loss before benefit from income taxes, net loss, earnings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18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for the three- and nine-month periods ended September 30, 2022 and 2021,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Non-GAAP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(46,268)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(9,758)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(148,551)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(19,204)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3,979</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5,224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2,602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Direct acquisition expenses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519</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banker termination fees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2,393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1,287</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notes payable</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17,933</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17,933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(5,686)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(5,686)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(1,509)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 costs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37"/>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(28,816</w:t>
            </w:r>
          </w:p>
        </w:tc>
        <w:tc>
          <w:tcPr>
            <w:tcW w:w="260" w:type="dxa"/>
            <w:vAlign w:val="bottom"/>
            <w:tcBorders>
              <w:top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(54,296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(14,276</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Oakes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760-7512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agrify@mattio.com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0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o"/>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2022-11-09T06:04:46Z</dcterms:created>
  <dcterms:modified xsi:type="dcterms:W3CDTF">2022-11-09T06:04:46Z</dcterms:modified>
</cp:coreProperties>
</file>