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0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180" w:type="dxa"/>
            <w:vAlign w:val="bottom"/>
            <w:gridSpan w:val="5"/>
          </w:tcPr>
          <w:p>
            <w:pPr>
              <w:jc w:val="center"/>
              <w:ind w:right="620"/>
              <w:spacing w:after="0"/>
              <w:rPr>
                <w:sz w:val="20"/>
                <w:szCs w:val="20"/>
                <w:color w:val="auto"/>
              </w:rPr>
            </w:pPr>
            <w:r>
              <w:rPr>
                <w:rFonts w:ascii="Times New Roman" w:cs="Times New Roman" w:eastAsia="Times New Roman" w:hAnsi="Times New Roman"/>
                <w:sz w:val="18"/>
                <w:szCs w:val="18"/>
                <w:b w:val="1"/>
                <w:bCs w:val="1"/>
                <w:color w:val="auto"/>
                <w:w w:val="99"/>
              </w:rPr>
              <w:t>FORM 8-K</w:t>
            </w:r>
          </w:p>
        </w:tc>
        <w:tc>
          <w:tcPr>
            <w:tcW w:w="3220" w:type="dxa"/>
            <w:vAlign w:val="bottom"/>
          </w:tcPr>
          <w:p>
            <w:pPr>
              <w:spacing w:after="0"/>
              <w:rPr>
                <w:sz w:val="20"/>
                <w:szCs w:val="20"/>
                <w:color w:val="auto"/>
              </w:rPr>
            </w:pPr>
          </w:p>
        </w:tc>
      </w:tr>
      <w:tr>
        <w:trPr>
          <w:trHeight w:val="410"/>
        </w:trPr>
        <w:tc>
          <w:tcPr>
            <w:tcW w:w="30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180" w:type="dxa"/>
            <w:vAlign w:val="bottom"/>
            <w:gridSpan w:val="5"/>
          </w:tcPr>
          <w:p>
            <w:pPr>
              <w:jc w:val="center"/>
              <w:ind w:right="620"/>
              <w:spacing w:after="0"/>
              <w:rPr>
                <w:sz w:val="20"/>
                <w:szCs w:val="20"/>
                <w:color w:val="auto"/>
              </w:rPr>
            </w:pPr>
            <w:r>
              <w:rPr>
                <w:rFonts w:ascii="Times New Roman" w:cs="Times New Roman" w:eastAsia="Times New Roman" w:hAnsi="Times New Roman"/>
                <w:sz w:val="18"/>
                <w:szCs w:val="18"/>
                <w:b w:val="1"/>
                <w:bCs w:val="1"/>
                <w:color w:val="auto"/>
                <w:w w:val="99"/>
              </w:rPr>
              <w:t>CURRENT REPORT</w:t>
            </w:r>
          </w:p>
        </w:tc>
        <w:tc>
          <w:tcPr>
            <w:tcW w:w="3220" w:type="dxa"/>
            <w:vAlign w:val="bottom"/>
          </w:tcPr>
          <w:p>
            <w:pPr>
              <w:spacing w:after="0"/>
              <w:rPr>
                <w:sz w:val="24"/>
                <w:szCs w:val="24"/>
                <w:color w:val="auto"/>
              </w:rPr>
            </w:pPr>
          </w:p>
        </w:tc>
      </w:tr>
      <w:tr>
        <w:trPr>
          <w:trHeight w:val="216"/>
        </w:trPr>
        <w:tc>
          <w:tcPr>
            <w:tcW w:w="30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180" w:type="dxa"/>
            <w:vAlign w:val="bottom"/>
            <w:gridSpan w:val="5"/>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tc>
        <w:tc>
          <w:tcPr>
            <w:tcW w:w="3220" w:type="dxa"/>
            <w:vAlign w:val="bottom"/>
          </w:tcPr>
          <w:p>
            <w:pPr>
              <w:spacing w:after="0"/>
              <w:rPr>
                <w:sz w:val="18"/>
                <w:szCs w:val="18"/>
                <w:color w:val="auto"/>
              </w:rPr>
            </w:pPr>
          </w:p>
        </w:tc>
      </w:tr>
      <w:tr>
        <w:trPr>
          <w:trHeight w:val="238"/>
        </w:trPr>
        <w:tc>
          <w:tcPr>
            <w:tcW w:w="30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180" w:type="dxa"/>
            <w:vAlign w:val="bottom"/>
            <w:gridSpan w:val="5"/>
          </w:tcPr>
          <w:p>
            <w:pPr>
              <w:jc w:val="center"/>
              <w:ind w:right="620"/>
              <w:spacing w:after="0"/>
              <w:rPr>
                <w:sz w:val="20"/>
                <w:szCs w:val="20"/>
                <w:color w:val="auto"/>
              </w:rPr>
            </w:pPr>
            <w:r>
              <w:rPr>
                <w:rFonts w:ascii="Times New Roman" w:cs="Times New Roman" w:eastAsia="Times New Roman" w:hAnsi="Times New Roman"/>
                <w:sz w:val="18"/>
                <w:szCs w:val="18"/>
                <w:b w:val="1"/>
                <w:bCs w:val="1"/>
                <w:color w:val="auto"/>
                <w:w w:val="99"/>
              </w:rPr>
              <w:t>of The Securities Exchange Act of 1934</w:t>
            </w:r>
          </w:p>
        </w:tc>
        <w:tc>
          <w:tcPr>
            <w:tcW w:w="3220" w:type="dxa"/>
            <w:vAlign w:val="bottom"/>
          </w:tcPr>
          <w:p>
            <w:pPr>
              <w:spacing w:after="0"/>
              <w:rPr>
                <w:sz w:val="20"/>
                <w:szCs w:val="20"/>
                <w:color w:val="auto"/>
              </w:rPr>
            </w:pPr>
          </w:p>
        </w:tc>
      </w:tr>
      <w:tr>
        <w:trPr>
          <w:trHeight w:val="432"/>
        </w:trPr>
        <w:tc>
          <w:tcPr>
            <w:tcW w:w="3040" w:type="dxa"/>
            <w:vAlign w:val="bottom"/>
          </w:tcPr>
          <w:p>
            <w:pPr>
              <w:spacing w:after="0"/>
              <w:rPr>
                <w:sz w:val="24"/>
                <w:szCs w:val="24"/>
                <w:color w:val="auto"/>
              </w:rPr>
            </w:pPr>
          </w:p>
        </w:tc>
        <w:tc>
          <w:tcPr>
            <w:tcW w:w="4980" w:type="dxa"/>
            <w:vAlign w:val="bottom"/>
            <w:gridSpan w:val="7"/>
          </w:tcPr>
          <w:p>
            <w:pPr>
              <w:jc w:val="center"/>
              <w:ind w:left="90"/>
              <w:spacing w:after="0"/>
              <w:rPr>
                <w:sz w:val="20"/>
                <w:szCs w:val="20"/>
                <w:color w:val="auto"/>
              </w:rPr>
            </w:pPr>
            <w:r>
              <w:rPr>
                <w:rFonts w:ascii="Times New Roman" w:cs="Times New Roman" w:eastAsia="Times New Roman" w:hAnsi="Times New Roman"/>
                <w:sz w:val="18"/>
                <w:szCs w:val="18"/>
                <w:color w:val="auto"/>
                <w:w w:val="99"/>
              </w:rPr>
              <w:t xml:space="preserve">Date of report (Date of earliest event reported): </w:t>
            </w:r>
            <w:r>
              <w:rPr>
                <w:rFonts w:ascii="Times New Roman" w:cs="Times New Roman" w:eastAsia="Times New Roman" w:hAnsi="Times New Roman"/>
                <w:sz w:val="18"/>
                <w:szCs w:val="18"/>
                <w:b w:val="1"/>
                <w:bCs w:val="1"/>
                <w:color w:val="auto"/>
                <w:w w:val="99"/>
              </w:rPr>
              <w:t>March 31, 2026</w:t>
            </w:r>
          </w:p>
        </w:tc>
        <w:tc>
          <w:tcPr>
            <w:tcW w:w="3220" w:type="dxa"/>
            <w:vAlign w:val="bottom"/>
          </w:tcPr>
          <w:p>
            <w:pPr>
              <w:spacing w:after="0"/>
              <w:rPr>
                <w:sz w:val="24"/>
                <w:szCs w:val="24"/>
                <w:color w:val="auto"/>
              </w:rPr>
            </w:pPr>
          </w:p>
        </w:tc>
      </w:tr>
      <w:tr>
        <w:trPr>
          <w:trHeight w:val="414"/>
        </w:trPr>
        <w:tc>
          <w:tcPr>
            <w:tcW w:w="30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180" w:type="dxa"/>
            <w:vAlign w:val="bottom"/>
            <w:gridSpan w:val="5"/>
          </w:tcPr>
          <w:p>
            <w:pPr>
              <w:jc w:val="center"/>
              <w:ind w:right="620"/>
              <w:spacing w:after="0"/>
              <w:rPr>
                <w:sz w:val="20"/>
                <w:szCs w:val="20"/>
                <w:color w:val="auto"/>
              </w:rPr>
            </w:pPr>
            <w:r>
              <w:rPr>
                <w:rFonts w:ascii="Times New Roman" w:cs="Times New Roman" w:eastAsia="Times New Roman" w:hAnsi="Times New Roman"/>
                <w:sz w:val="18"/>
                <w:szCs w:val="18"/>
                <w:b w:val="1"/>
                <w:bCs w:val="1"/>
                <w:color w:val="auto"/>
              </w:rPr>
              <w:t>RYTHM, INC.</w:t>
            </w:r>
          </w:p>
        </w:tc>
        <w:tc>
          <w:tcPr>
            <w:tcW w:w="3220" w:type="dxa"/>
            <w:vAlign w:val="bottom"/>
          </w:tcPr>
          <w:p>
            <w:pPr>
              <w:spacing w:after="0"/>
              <w:rPr>
                <w:sz w:val="24"/>
                <w:szCs w:val="24"/>
                <w:color w:val="auto"/>
              </w:rPr>
            </w:pPr>
          </w:p>
        </w:tc>
      </w:tr>
      <w:tr>
        <w:trPr>
          <w:trHeight w:val="234"/>
        </w:trPr>
        <w:tc>
          <w:tcPr>
            <w:tcW w:w="30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400" w:type="dxa"/>
            <w:vAlign w:val="bottom"/>
            <w:gridSpan w:val="6"/>
          </w:tcPr>
          <w:p>
            <w:pPr>
              <w:jc w:val="center"/>
              <w:ind w:right="40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c>
          <w:tcPr>
            <w:tcW w:w="3220" w:type="dxa"/>
            <w:vAlign w:val="bottom"/>
          </w:tcPr>
          <w:p>
            <w:pPr>
              <w:spacing w:after="0"/>
              <w:rPr>
                <w:sz w:val="20"/>
                <w:szCs w:val="20"/>
                <w:color w:val="auto"/>
              </w:rPr>
            </w:pPr>
          </w:p>
        </w:tc>
      </w:tr>
      <w:tr>
        <w:trPr>
          <w:trHeight w:val="439"/>
        </w:trPr>
        <w:tc>
          <w:tcPr>
            <w:tcW w:w="3040" w:type="dxa"/>
            <w:vAlign w:val="bottom"/>
          </w:tcPr>
          <w:p>
            <w:pPr>
              <w:jc w:val="center"/>
              <w:ind w:left="490"/>
              <w:spacing w:after="0"/>
              <w:rPr>
                <w:sz w:val="20"/>
                <w:szCs w:val="20"/>
                <w:color w:val="auto"/>
              </w:rPr>
            </w:pPr>
            <w:r>
              <w:rPr>
                <w:rFonts w:ascii="Times New Roman" w:cs="Times New Roman" w:eastAsia="Times New Roman" w:hAnsi="Times New Roman"/>
                <w:sz w:val="18"/>
                <w:szCs w:val="18"/>
                <w:b w:val="1"/>
                <w:bCs w:val="1"/>
                <w:color w:val="auto"/>
                <w:w w:val="99"/>
              </w:rPr>
              <w:t>Nevada</w:t>
            </w:r>
          </w:p>
        </w:tc>
        <w:tc>
          <w:tcPr>
            <w:tcW w:w="4400" w:type="dxa"/>
            <w:vAlign w:val="bottom"/>
            <w:gridSpan w:val="5"/>
          </w:tcPr>
          <w:p>
            <w:pPr>
              <w:jc w:val="center"/>
              <w:ind w:left="690"/>
              <w:spacing w:after="0"/>
              <w:rPr>
                <w:sz w:val="20"/>
                <w:szCs w:val="20"/>
                <w:color w:val="auto"/>
              </w:rPr>
            </w:pPr>
            <w:r>
              <w:rPr>
                <w:rFonts w:ascii="Times New Roman" w:cs="Times New Roman" w:eastAsia="Times New Roman" w:hAnsi="Times New Roman"/>
                <w:sz w:val="18"/>
                <w:szCs w:val="18"/>
                <w:b w:val="1"/>
                <w:bCs w:val="1"/>
                <w:color w:val="auto"/>
                <w:w w:val="99"/>
              </w:rPr>
              <w:t>001-39946</w:t>
            </w: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20" w:type="dxa"/>
            <w:vAlign w:val="bottom"/>
          </w:tcPr>
          <w:p>
            <w:pPr>
              <w:jc w:val="center"/>
              <w:ind w:right="290"/>
              <w:spacing w:after="0"/>
              <w:rPr>
                <w:sz w:val="20"/>
                <w:szCs w:val="20"/>
                <w:color w:val="auto"/>
              </w:rPr>
            </w:pPr>
            <w:r>
              <w:rPr>
                <w:rFonts w:ascii="Times New Roman" w:cs="Times New Roman" w:eastAsia="Times New Roman" w:hAnsi="Times New Roman"/>
                <w:sz w:val="18"/>
                <w:szCs w:val="18"/>
                <w:b w:val="1"/>
                <w:bCs w:val="1"/>
                <w:color w:val="auto"/>
              </w:rPr>
              <w:t>30-0943453</w:t>
            </w:r>
          </w:p>
        </w:tc>
      </w:tr>
      <w:tr>
        <w:trPr>
          <w:trHeight w:val="198"/>
        </w:trPr>
        <w:tc>
          <w:tcPr>
            <w:tcW w:w="3040" w:type="dxa"/>
            <w:vAlign w:val="bottom"/>
            <w:tcBorders>
              <w:top w:val="single" w:sz="8" w:color="auto"/>
            </w:tcBorders>
          </w:tcPr>
          <w:p>
            <w:pPr>
              <w:jc w:val="center"/>
              <w:ind w:left="490"/>
              <w:spacing w:after="0" w:line="198" w:lineRule="exact"/>
              <w:rPr>
                <w:sz w:val="20"/>
                <w:szCs w:val="20"/>
                <w:color w:val="auto"/>
              </w:rPr>
            </w:pPr>
            <w:r>
              <w:rPr>
                <w:rFonts w:ascii="Times New Roman" w:cs="Times New Roman" w:eastAsia="Times New Roman" w:hAnsi="Times New Roman"/>
                <w:sz w:val="18"/>
                <w:szCs w:val="18"/>
                <w:color w:val="auto"/>
              </w:rPr>
              <w:t>(State or other jurisdiction</w:t>
            </w:r>
          </w:p>
        </w:tc>
        <w:tc>
          <w:tcPr>
            <w:tcW w:w="5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3600" w:type="dxa"/>
            <w:vAlign w:val="bottom"/>
            <w:tcBorders>
              <w:top w:val="single" w:sz="8" w:color="auto"/>
            </w:tcBorders>
            <w:gridSpan w:val="3"/>
          </w:tcPr>
          <w:p>
            <w:pPr>
              <w:jc w:val="center"/>
              <w:spacing w:after="0" w:line="198" w:lineRule="exact"/>
              <w:rPr>
                <w:sz w:val="20"/>
                <w:szCs w:val="20"/>
                <w:color w:val="auto"/>
              </w:rPr>
            </w:pPr>
            <w:r>
              <w:rPr>
                <w:rFonts w:ascii="Times New Roman" w:cs="Times New Roman" w:eastAsia="Times New Roman" w:hAnsi="Times New Roman"/>
                <w:sz w:val="18"/>
                <w:szCs w:val="18"/>
                <w:color w:val="auto"/>
              </w:rPr>
              <w:t>(Commission File Number)</w:t>
            </w:r>
          </w:p>
        </w:tc>
        <w:tc>
          <w:tcPr>
            <w:tcW w:w="20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3220" w:type="dxa"/>
            <w:vAlign w:val="bottom"/>
            <w:tcBorders>
              <w:top w:val="single" w:sz="8" w:color="auto"/>
            </w:tcBorders>
          </w:tcPr>
          <w:p>
            <w:pPr>
              <w:jc w:val="center"/>
              <w:ind w:right="270"/>
              <w:spacing w:after="0" w:line="198"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3040" w:type="dxa"/>
            <w:vAlign w:val="bottom"/>
          </w:tcPr>
          <w:p>
            <w:pPr>
              <w:jc w:val="center"/>
              <w:ind w:left="49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22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8020" w:type="dxa"/>
            <w:vAlign w:val="bottom"/>
            <w:gridSpan w:val="8"/>
          </w:tcPr>
          <w:p>
            <w:pPr>
              <w:jc w:val="center"/>
              <w:ind w:right="2500"/>
              <w:spacing w:after="0"/>
              <w:rPr>
                <w:sz w:val="20"/>
                <w:szCs w:val="20"/>
                <w:color w:val="auto"/>
              </w:rPr>
            </w:pPr>
            <w:r>
              <w:rPr>
                <w:rFonts w:ascii="Times New Roman" w:cs="Times New Roman" w:eastAsia="Times New Roman" w:hAnsi="Times New Roman"/>
                <w:sz w:val="18"/>
                <w:szCs w:val="18"/>
                <w:b w:val="1"/>
                <w:bCs w:val="1"/>
                <w:color w:val="auto"/>
                <w:w w:val="99"/>
              </w:rPr>
              <w:t>2220 Hicks Road, Suite 210</w:t>
            </w:r>
          </w:p>
        </w:tc>
        <w:tc>
          <w:tcPr>
            <w:tcW w:w="3220" w:type="dxa"/>
            <w:vAlign w:val="bottom"/>
          </w:tcPr>
          <w:p>
            <w:pPr>
              <w:spacing w:after="0"/>
              <w:rPr>
                <w:sz w:val="24"/>
                <w:szCs w:val="24"/>
                <w:color w:val="auto"/>
              </w:rPr>
            </w:pPr>
          </w:p>
        </w:tc>
      </w:tr>
      <w:tr>
        <w:trPr>
          <w:trHeight w:val="245"/>
        </w:trPr>
        <w:tc>
          <w:tcPr>
            <w:tcW w:w="8020" w:type="dxa"/>
            <w:vAlign w:val="bottom"/>
            <w:gridSpan w:val="8"/>
          </w:tcPr>
          <w:p>
            <w:pPr>
              <w:jc w:val="center"/>
              <w:ind w:right="2500"/>
              <w:spacing w:after="0"/>
              <w:rPr>
                <w:sz w:val="20"/>
                <w:szCs w:val="20"/>
                <w:color w:val="auto"/>
              </w:rPr>
            </w:pPr>
            <w:r>
              <w:rPr>
                <w:rFonts w:ascii="Times New Roman" w:cs="Times New Roman" w:eastAsia="Times New Roman" w:hAnsi="Times New Roman"/>
                <w:sz w:val="18"/>
                <w:szCs w:val="18"/>
                <w:b w:val="1"/>
                <w:bCs w:val="1"/>
                <w:color w:val="auto"/>
                <w:w w:val="99"/>
              </w:rPr>
              <w:t>Rolling Meadows, IL</w:t>
            </w:r>
          </w:p>
        </w:tc>
        <w:tc>
          <w:tcPr>
            <w:tcW w:w="3220" w:type="dxa"/>
            <w:vAlign w:val="bottom"/>
          </w:tcPr>
          <w:p>
            <w:pPr>
              <w:jc w:val="right"/>
              <w:ind w:right="2430"/>
              <w:spacing w:after="0"/>
              <w:rPr>
                <w:sz w:val="20"/>
                <w:szCs w:val="20"/>
                <w:color w:val="auto"/>
              </w:rPr>
            </w:pPr>
            <w:r>
              <w:rPr>
                <w:rFonts w:ascii="Times New Roman" w:cs="Times New Roman" w:eastAsia="Times New Roman" w:hAnsi="Times New Roman"/>
                <w:sz w:val="18"/>
                <w:szCs w:val="18"/>
                <w:b w:val="1"/>
                <w:bCs w:val="1"/>
                <w:color w:val="auto"/>
              </w:rPr>
              <w:t>60068</w:t>
            </w:r>
          </w:p>
        </w:tc>
      </w:tr>
      <w:tr>
        <w:trPr>
          <w:trHeight w:val="234"/>
        </w:trPr>
        <w:tc>
          <w:tcPr>
            <w:tcW w:w="5520" w:type="dxa"/>
            <w:vAlign w:val="bottom"/>
            <w:tcBorders>
              <w:top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220" w:type="dxa"/>
            <w:vAlign w:val="bottom"/>
          </w:tcPr>
          <w:p>
            <w:pPr>
              <w:spacing w:after="0"/>
              <w:rPr>
                <w:sz w:val="20"/>
                <w:szCs w:val="20"/>
                <w:color w:val="auto"/>
              </w:rPr>
            </w:pPr>
          </w:p>
        </w:tc>
        <w:tc>
          <w:tcPr>
            <w:tcW w:w="2280" w:type="dxa"/>
            <w:vAlign w:val="bottom"/>
            <w:tcBorders>
              <w:top w:val="single" w:sz="8" w:color="auto"/>
            </w:tcBorders>
            <w:gridSpan w:val="3"/>
          </w:tcPr>
          <w:p>
            <w:pPr>
              <w:spacing w:after="0"/>
              <w:rPr>
                <w:sz w:val="20"/>
                <w:szCs w:val="20"/>
                <w:color w:val="auto"/>
              </w:rPr>
            </w:pPr>
          </w:p>
        </w:tc>
        <w:tc>
          <w:tcPr>
            <w:tcW w:w="3220" w:type="dxa"/>
            <w:vAlign w:val="bottom"/>
            <w:tcBorders>
              <w:top w:val="single" w:sz="8" w:color="auto"/>
            </w:tcBorders>
          </w:tcPr>
          <w:p>
            <w:pPr>
              <w:jc w:val="center"/>
              <w:ind w:right="2190"/>
              <w:spacing w:after="0"/>
              <w:rPr>
                <w:sz w:val="20"/>
                <w:szCs w:val="20"/>
                <w:color w:val="auto"/>
              </w:rPr>
            </w:pPr>
            <w:r>
              <w:rPr>
                <w:rFonts w:ascii="Times New Roman" w:cs="Times New Roman" w:eastAsia="Times New Roman" w:hAnsi="Times New Roman"/>
                <w:sz w:val="18"/>
                <w:szCs w:val="18"/>
                <w:color w:val="auto"/>
                <w:w w:val="98"/>
              </w:rPr>
              <w:t>(Zip Code)</w:t>
            </w:r>
          </w:p>
        </w:tc>
      </w:tr>
    </w:tbl>
    <w:p>
      <w:pPr>
        <w:spacing w:after="0" w:line="1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(855) 420-0020</w:t>
      </w:r>
    </w:p>
    <w:p>
      <w:pPr>
        <w:spacing w:after="0" w:line="229"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00" w:hanging="292"/>
        <w:spacing w:after="0"/>
        <w:tabs>
          <w:tab w:leader="none" w:pos="3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00" w:hanging="292"/>
        <w:spacing w:after="0"/>
        <w:tabs>
          <w:tab w:leader="none" w:pos="3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00" w:hanging="292"/>
        <w:spacing w:after="0"/>
        <w:tabs>
          <w:tab w:leader="none" w:pos="3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20" w:right="2860" w:hanging="12"/>
        <w:spacing w:after="0" w:line="498" w:lineRule="auto"/>
        <w:tabs>
          <w:tab w:leader="none" w:pos="337"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16"/>
        </w:trPr>
        <w:tc>
          <w:tcPr>
            <w:tcW w:w="36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22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RYM</w:t>
            </w:r>
          </w:p>
        </w:tc>
        <w:tc>
          <w:tcPr>
            <w:tcW w:w="2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Nasdaq Capital Market</w:t>
            </w:r>
          </w:p>
        </w:tc>
      </w:tr>
    </w:tbl>
    <w:p>
      <w:pPr>
        <w:spacing w:after="0" w:line="198"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436880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Amendment to August 2025 License Agreement</w:t>
      </w:r>
    </w:p>
    <w:p>
      <w:pPr>
        <w:spacing w:after="0" w:line="227"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 xml:space="preserve">As previously reported, on August 27, 2025, VCP IP Holdings, LLC (“VCP”), a wholly-owned subsidiary of RYTHM, Inc. (the “Company”), entered into a Trademark and Recipe License Agreement (the “August 2025 License Agreement”) with GTI Core, LLC (“GTI Core”), an indirect wholly-owned subsidiary of Green Thumb Industries Inc. (“Green Thumb”). Green Thumb is an indirect owner of approximately 33% of the outstanding shares of common stock of the Company, and Benjamin Kovler, Chairman and Chief Executive Officer of Green Thumb, serves as Chairman and Interim Chief Executive Officer of the Company. Under the August 2025 License Agreement, VCP granted to GTI Core a license to use certain intellectual property related to certain brands, including </w:t>
      </w:r>
      <w:r>
        <w:rPr>
          <w:rFonts w:ascii="Times New Roman" w:cs="Times New Roman" w:eastAsia="Times New Roman" w:hAnsi="Times New Roman"/>
          <w:sz w:val="18"/>
          <w:szCs w:val="18"/>
          <w:i w:val="1"/>
          <w:iCs w:val="1"/>
          <w:color w:val="auto"/>
        </w:rPr>
        <w:t>RYTHM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Beboe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Dogwalkers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Doctor Solomon’</w:t>
      </w:r>
      <w:r>
        <w:rPr>
          <w:rFonts w:ascii="Times New Roman" w:cs="Times New Roman" w:eastAsia="Times New Roman" w:hAnsi="Times New Roman"/>
          <w:sz w:val="18"/>
          <w:szCs w:val="18"/>
          <w:color w:val="auto"/>
        </w:rPr>
        <w:t xml:space="preserve">s, </w:t>
      </w:r>
      <w:r>
        <w:rPr>
          <w:rFonts w:ascii="Times New Roman" w:cs="Times New Roman" w:eastAsia="Times New Roman" w:hAnsi="Times New Roman"/>
          <w:sz w:val="18"/>
          <w:szCs w:val="18"/>
          <w:i w:val="1"/>
          <w:iCs w:val="1"/>
          <w:color w:val="auto"/>
        </w:rPr>
        <w:t>&amp;Shine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Good Green</w:t>
      </w:r>
      <w:r>
        <w:rPr>
          <w:rFonts w:ascii="Times New Roman" w:cs="Times New Roman" w:eastAsia="Times New Roman" w:hAnsi="Times New Roman"/>
          <w:sz w:val="18"/>
          <w:szCs w:val="18"/>
          <w:color w:val="auto"/>
        </w:rPr>
        <w:t>, in connection with GTI Core’s existing businesses. The consideration payable by GTI Core for the license rights consisted of a monthly license fee, payable in cash, based on sales of products using the licensed intellectual property.</w:t>
      </w:r>
    </w:p>
    <w:p>
      <w:pPr>
        <w:spacing w:after="0" w:line="19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On March 31, 2026, VCP and GTI Core entered into an amendment to the August 2025 License Agreement (the “August 2025 License Agreement Amendment”). Pursuant to the August 2025 License Agreement Amendment, commencing on April 1, 2026, the consideration payable by GTI Core for the license rights will consist of an annual cash fee of $64.0 million payable in monthly installments. The annual fee will be increased on January 1 of each year during the term of the August 2025 License Agreement, subject to an annual increase based on published consumer price index changes, subject to a maximum year-over-year increase of 10%. The August 2025 License Agreement Amendment was executed following discussions between the Company and the Nasdaq staff in order to ensure the Company’s compliance with Nasdaq Capital Market listing standards regarding revenue derived from the federally illegal cannabis industry.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Amendment to May 2025 License Agreement</w:t>
      </w:r>
    </w:p>
    <w:p>
      <w:pPr>
        <w:spacing w:after="0" w:line="227" w:lineRule="exact"/>
        <w:rPr>
          <w:sz w:val="20"/>
          <w:szCs w:val="20"/>
          <w:color w:val="auto"/>
        </w:rPr>
      </w:pPr>
    </w:p>
    <w:p>
      <w:pPr>
        <w:ind w:right="340"/>
        <w:spacing w:after="0" w:line="258" w:lineRule="auto"/>
        <w:rPr>
          <w:sz w:val="20"/>
          <w:szCs w:val="20"/>
          <w:color w:val="auto"/>
        </w:rPr>
      </w:pPr>
      <w:r>
        <w:rPr>
          <w:rFonts w:ascii="Times New Roman" w:cs="Times New Roman" w:eastAsia="Times New Roman" w:hAnsi="Times New Roman"/>
          <w:sz w:val="18"/>
          <w:szCs w:val="18"/>
          <w:color w:val="auto"/>
        </w:rPr>
        <w:t xml:space="preserve">As previously reported, on May 20, 2025, MC Brands LLC (“MC Brands”), a wholly-owned subsidiary of the Company, entered into a Trademark and Recipe License Agreement which was subsequently amended and restated on August 27, 2025 (as amended and restated, the “May 2025 License Agreement”) with GTI Core, pursuant to which MC Brands granted to GTI Core an exclusive license to use certain intellectual property related to the </w:t>
      </w:r>
      <w:r>
        <w:rPr>
          <w:rFonts w:ascii="Times New Roman" w:cs="Times New Roman" w:eastAsia="Times New Roman" w:hAnsi="Times New Roman"/>
          <w:sz w:val="18"/>
          <w:szCs w:val="18"/>
          <w:i w:val="1"/>
          <w:iCs w:val="1"/>
          <w:color w:val="auto"/>
        </w:rPr>
        <w:t>incredibles</w:t>
      </w:r>
      <w:r>
        <w:rPr>
          <w:rFonts w:ascii="Times New Roman" w:cs="Times New Roman" w:eastAsia="Times New Roman" w:hAnsi="Times New Roman"/>
          <w:sz w:val="18"/>
          <w:szCs w:val="18"/>
          <w:color w:val="auto"/>
        </w:rPr>
        <w:t xml:space="preserve"> brand in connection with GTI Core’s existing businesses. The consideration payable by GTI Core for the license rights consisted of a monthly license fee, payable in cash, based on sales of products using the licensed intellectual property.</w:t>
      </w:r>
    </w:p>
    <w:p>
      <w:pPr>
        <w:spacing w:after="0" w:line="183"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On March 31, 2026, MC Brands and GTI Core entered into an amendment to the May 2025 License Agreement (the “May 2025 License Agreement Amendment”). Pursuant to the May 2025 License Agreement Amendment, commencing on April 1, 2026, the consideration payable by GTI Core for the license rights will consist of an annual cash fee of $6.0 million payable in monthly installments. The annual fee will be increased on January 1 of each year during the term of the May 2025 License Agreement, subject to an annual increase based on published consumer price index changes, subject to a maximum year-over-year increase of 10%. The May 2025 License Agreement Amendment was executed in order to ensure compliance with the listing standards of Nasdaq following discussions between the Company and Nasdaq staff as described under “—</w:t>
      </w:r>
      <w:r>
        <w:rPr>
          <w:rFonts w:ascii="Times New Roman" w:cs="Times New Roman" w:eastAsia="Times New Roman" w:hAnsi="Times New Roman"/>
          <w:sz w:val="18"/>
          <w:szCs w:val="18"/>
          <w:i w:val="1"/>
          <w:iCs w:val="1"/>
          <w:color w:val="auto"/>
        </w:rPr>
        <w:t>Amendment to August 2025 License Agreement</w:t>
      </w:r>
      <w:r>
        <w:rPr>
          <w:rFonts w:ascii="Times New Roman" w:cs="Times New Roman" w:eastAsia="Times New Roman" w:hAnsi="Times New Roman"/>
          <w:sz w:val="18"/>
          <w:szCs w:val="18"/>
          <w:color w:val="auto"/>
        </w:rPr>
        <w:t>” above.</w:t>
      </w:r>
    </w:p>
    <w:p>
      <w:pPr>
        <w:spacing w:after="0" w:line="189"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The foregoing summaries of the August 2025 License Agreement Amendment and the May 2025 License Agreement Amendment do not purport to be complete and are qualified in their entirety by reference to the complete text of the August 2025 License Agreement Amendment and the May 2025 License Agreement Amendment, which are filed as Exhibit 10.1 and Exhibit 10.2 hereto, respectively, and which are incorporated by reference herein.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2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On April 1, 2026, the Company issued a press release announcing the August 2025 License Agreement Amendment and the May 2025 License Agreement Amendment, a copy of which is attached as Exhibit 99.1 to this Current Report on Form 8-K and is incorporated herein by reference.</w:t>
      </w:r>
    </w:p>
    <w:p>
      <w:pPr>
        <w:spacing w:after="0" w:line="16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information set forth in Item 7.01 of this Report, including Exhibit 99.1 attached hereto, shall not be deemed “filed” for purposes of Section 18 of the Securities Exchange Act of 1934, as amended (the “Exchange Act”), or otherwise subject to the liabilities of such section. The information set forth in Item 7.01 of this Report, including Exhibit 99.1 attached hereto, shall not be incorporated by reference into any filing under the Securities Act of 1933, as amended, or the Exchange Act, except as may be expressly set forth by specific reference in such filing.</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10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16"/>
        </w:trPr>
        <w:tc>
          <w:tcPr>
            <w:tcW w:w="10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40" w:type="dxa"/>
            <w:vAlign w:val="bottom"/>
            <w:tcBorders>
              <w:top w:val="single" w:sz="8" w:color="auto"/>
            </w:tcBorders>
          </w:tcPr>
          <w:p>
            <w:pPr>
              <w:spacing w:after="0"/>
              <w:rPr>
                <w:sz w:val="18"/>
                <w:szCs w:val="18"/>
                <w:color w:val="auto"/>
              </w:rPr>
            </w:pPr>
          </w:p>
        </w:tc>
        <w:tc>
          <w:tcPr>
            <w:tcW w:w="624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r>
      <w:tr>
        <w:trPr>
          <w:trHeight w:val="175"/>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w:t>
            </w:r>
          </w:p>
        </w:tc>
        <w:tc>
          <w:tcPr>
            <w:tcW w:w="120" w:type="dxa"/>
            <w:vAlign w:val="bottom"/>
            <w:tcBorders>
              <w:bottom w:val="single" w:sz="8" w:color="CCEEFF"/>
            </w:tcBorders>
            <w:shd w:val="clear" w:color="auto" w:fill="CCEEFF"/>
          </w:tcPr>
          <w:p>
            <w:pPr>
              <w:spacing w:after="0"/>
              <w:rPr>
                <w:sz w:val="15"/>
                <w:szCs w:val="15"/>
                <w:color w:val="auto"/>
              </w:rPr>
            </w:pPr>
          </w:p>
        </w:tc>
        <w:tc>
          <w:tcPr>
            <w:tcW w:w="9920" w:type="dxa"/>
            <w:vAlign w:val="bottom"/>
            <w:tcBorders>
              <w:bottom w:val="single" w:sz="8" w:color="0000EE"/>
            </w:tcBorders>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Amendment to Trademark and Recipe License Agreement, dated March 31, 2026, by and between VCP IP Holdings, LLC and GTI Core,</w:t>
            </w:r>
          </w:p>
        </w:tc>
        <w:tc>
          <w:tcPr>
            <w:tcW w:w="180" w:type="dxa"/>
            <w:vAlign w:val="bottom"/>
            <w:tcBorders>
              <w:bottom w:val="single" w:sz="8" w:color="CCEEFF"/>
            </w:tcBorders>
            <w:gridSpan w:val="2"/>
            <w:shd w:val="clear" w:color="auto" w:fill="CCEEFF"/>
          </w:tcPr>
          <w:p>
            <w:pPr>
              <w:spacing w:after="0"/>
              <w:rPr>
                <w:sz w:val="15"/>
                <w:szCs w:val="15"/>
                <w:color w:val="auto"/>
              </w:rPr>
            </w:pPr>
          </w:p>
        </w:tc>
      </w:tr>
      <w:tr>
        <w:trPr>
          <w:trHeight w:val="217"/>
        </w:trPr>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100" w:type="dxa"/>
            <w:vAlign w:val="bottom"/>
            <w:gridSpan w:val="6"/>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LLC</w:t>
            </w:r>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2240" w:type="dxa"/>
            <w:vAlign w:val="bottom"/>
            <w:tcBorders>
              <w:top w:val="single" w:sz="8" w:color="CCEEFF"/>
            </w:tcBorders>
          </w:tcPr>
          <w:p>
            <w:pPr>
              <w:spacing w:after="0"/>
              <w:rPr>
                <w:sz w:val="18"/>
                <w:szCs w:val="18"/>
                <w:color w:val="auto"/>
              </w:rPr>
            </w:pPr>
          </w:p>
        </w:tc>
        <w:tc>
          <w:tcPr>
            <w:tcW w:w="62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r>
      <w:tr>
        <w:trPr>
          <w:trHeight w:val="176"/>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10.2</w:t>
            </w:r>
          </w:p>
        </w:tc>
        <w:tc>
          <w:tcPr>
            <w:tcW w:w="120" w:type="dxa"/>
            <w:vAlign w:val="bottom"/>
            <w:shd w:val="clear" w:color="auto" w:fill="CCEEFF"/>
          </w:tcPr>
          <w:p>
            <w:pPr>
              <w:spacing w:after="0"/>
              <w:rPr>
                <w:sz w:val="15"/>
                <w:szCs w:val="15"/>
                <w:color w:val="auto"/>
              </w:rPr>
            </w:pPr>
          </w:p>
        </w:tc>
        <w:tc>
          <w:tcPr>
            <w:tcW w:w="10100" w:type="dxa"/>
            <w:vAlign w:val="bottom"/>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Amendment to Amended and Restated Trademark and Recipe License Agreement, dated March 31, 2026, by and between MC Brands LLC</w:t>
            </w:r>
          </w:p>
        </w:tc>
      </w:tr>
      <w:tr>
        <w:trPr>
          <w:trHeight w:val="217"/>
        </w:trPr>
        <w:tc>
          <w:tcPr>
            <w:tcW w:w="10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60" w:type="dxa"/>
            <w:vAlign w:val="bottom"/>
            <w:tcBorders>
              <w:top w:val="single" w:sz="8" w:color="0000EE"/>
            </w:tcBorders>
            <w:gridSpan w:val="5"/>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and GTI Core, LLC</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1100" w:type="dxa"/>
            <w:vAlign w:val="bottom"/>
            <w:tcBorders>
              <w:top w:val="single" w:sz="8" w:color="0000EE"/>
            </w:tcBorders>
          </w:tcPr>
          <w:p>
            <w:pPr>
              <w:spacing w:after="0"/>
              <w:rPr>
                <w:sz w:val="18"/>
                <w:szCs w:val="18"/>
                <w:color w:val="auto"/>
              </w:rPr>
            </w:pPr>
          </w:p>
        </w:tc>
        <w:tc>
          <w:tcPr>
            <w:tcW w:w="2240" w:type="dxa"/>
            <w:vAlign w:val="bottom"/>
            <w:tcBorders>
              <w:top w:val="single" w:sz="8" w:color="CCEEFF"/>
            </w:tcBorders>
          </w:tcPr>
          <w:p>
            <w:pPr>
              <w:spacing w:after="0"/>
              <w:rPr>
                <w:sz w:val="18"/>
                <w:szCs w:val="18"/>
                <w:color w:val="auto"/>
              </w:rPr>
            </w:pPr>
          </w:p>
        </w:tc>
        <w:tc>
          <w:tcPr>
            <w:tcW w:w="62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r>
      <w:tr>
        <w:trPr>
          <w:trHeight w:val="175"/>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99.1*</w:t>
            </w:r>
          </w:p>
        </w:tc>
        <w:tc>
          <w:tcPr>
            <w:tcW w:w="120" w:type="dxa"/>
            <w:vAlign w:val="bottom"/>
            <w:shd w:val="clear" w:color="auto" w:fill="CCEEFF"/>
          </w:tcPr>
          <w:p>
            <w:pPr>
              <w:spacing w:after="0"/>
              <w:rPr>
                <w:sz w:val="15"/>
                <w:szCs w:val="15"/>
                <w:color w:val="auto"/>
              </w:rPr>
            </w:pPr>
          </w:p>
        </w:tc>
        <w:tc>
          <w:tcPr>
            <w:tcW w:w="10100" w:type="dxa"/>
            <w:vAlign w:val="bottom"/>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Press Release of RYTHM, Inc. dated April 1, 2026</w:t>
            </w:r>
          </w:p>
        </w:tc>
      </w:tr>
      <w:tr>
        <w:trPr>
          <w:trHeight w:val="21"/>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1100" w:type="dxa"/>
            <w:vAlign w:val="bottom"/>
            <w:tcBorders>
              <w:top w:val="single" w:sz="8" w:color="0000EE"/>
            </w:tcBorders>
            <w:shd w:val="clear" w:color="auto" w:fill="CCEEFF"/>
          </w:tcPr>
          <w:p>
            <w:pPr>
              <w:spacing w:after="0" w:line="20" w:lineRule="exact"/>
              <w:rPr>
                <w:sz w:val="1"/>
                <w:szCs w:val="1"/>
                <w:color w:val="auto"/>
              </w:rPr>
            </w:pPr>
          </w:p>
        </w:tc>
        <w:tc>
          <w:tcPr>
            <w:tcW w:w="2240" w:type="dxa"/>
            <w:vAlign w:val="bottom"/>
            <w:tcBorders>
              <w:top w:val="single" w:sz="8" w:color="0000EE"/>
            </w:tcBorders>
            <w:shd w:val="clear" w:color="auto" w:fill="CCEEFF"/>
          </w:tcPr>
          <w:p>
            <w:pPr>
              <w:spacing w:after="0" w:line="20" w:lineRule="exact"/>
              <w:rPr>
                <w:sz w:val="1"/>
                <w:szCs w:val="1"/>
                <w:color w:val="auto"/>
              </w:rPr>
            </w:pPr>
          </w:p>
        </w:tc>
        <w:tc>
          <w:tcPr>
            <w:tcW w:w="62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ind w:right="4320" w:firstLine="8"/>
        <w:spacing w:after="0" w:line="532" w:lineRule="auto"/>
        <w:tabs>
          <w:tab w:leader="none" w:pos="113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 * Furnished but not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-570230</wp:posOffset>
            </wp:positionV>
            <wp:extent cx="7132320" cy="1371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 w:name="page4"/>
    <w:bookmarkEnd w:id="3"/>
    <w:p>
      <w:pPr>
        <w:jc w:val="center"/>
        <w:ind w:right="-37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583"/>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RYTHM, INC.</w:t>
      </w:r>
    </w:p>
    <w:p>
      <w:pPr>
        <w:spacing w:after="0" w:line="229" w:lineRule="exact"/>
        <w:rPr>
          <w:sz w:val="20"/>
          <w:szCs w:val="20"/>
          <w:color w:val="auto"/>
        </w:rPr>
      </w:pPr>
    </w:p>
    <w:p>
      <w:pPr>
        <w:spacing w:after="0"/>
        <w:tabs>
          <w:tab w:leader="none" w:pos="6740" w:val="left"/>
          <w:tab w:leader="none" w:pos="7180" w:val="left"/>
        </w:tabs>
        <w:rPr>
          <w:sz w:val="20"/>
          <w:szCs w:val="20"/>
          <w:color w:val="auto"/>
        </w:rPr>
      </w:pPr>
      <w:r>
        <w:rPr>
          <w:rFonts w:ascii="Times New Roman" w:cs="Times New Roman" w:eastAsia="Times New Roman" w:hAnsi="Times New Roman"/>
          <w:sz w:val="18"/>
          <w:szCs w:val="18"/>
          <w:color w:val="auto"/>
        </w:rPr>
        <w:t>Date: April 1,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Brad Asher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17145</wp:posOffset>
            </wp:positionV>
            <wp:extent cx="256286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Brad Asher</w:t>
      </w:r>
    </w:p>
    <w:p>
      <w:pPr>
        <w:spacing w:after="0" w:line="27"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0" w:lineRule="exact"/>
        <w:rPr>
          <w:sz w:val="20"/>
          <w:szCs w:val="20"/>
          <w:color w:val="auto"/>
        </w:rPr>
      </w:pPr>
    </w:p>
    <w:p>
      <w:pPr>
        <w:spacing w:after="0" w:line="223"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60"/>
          </w:cols>
          <w:pgMar w:left="320" w:top="333" w:right="71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 NO. 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TRADEMARK AND RECIPE LICENSE AGREEMENT</w:t>
      </w:r>
    </w:p>
    <w:p>
      <w:pPr>
        <w:spacing w:after="0" w:line="203" w:lineRule="exact"/>
        <w:rPr>
          <w:sz w:val="20"/>
          <w:szCs w:val="20"/>
          <w:color w:val="auto"/>
        </w:rPr>
      </w:pPr>
    </w:p>
    <w:p>
      <w:pPr>
        <w:ind w:right="40" w:firstLine="648"/>
        <w:spacing w:after="0" w:line="262" w:lineRule="auto"/>
        <w:rPr>
          <w:sz w:val="20"/>
          <w:szCs w:val="20"/>
          <w:color w:val="auto"/>
        </w:rPr>
      </w:pPr>
      <w:r>
        <w:rPr>
          <w:rFonts w:ascii="Times New Roman" w:cs="Times New Roman" w:eastAsia="Times New Roman" w:hAnsi="Times New Roman"/>
          <w:sz w:val="18"/>
          <w:szCs w:val="18"/>
          <w:color w:val="auto"/>
        </w:rPr>
        <w:t>This AMENDMENT NO. 1 TO TRADEMARK AND RECIPE LICENSE AGREEMENT (this “</w:t>
      </w:r>
      <w:r>
        <w:rPr>
          <w:rFonts w:ascii="Times New Roman" w:cs="Times New Roman" w:eastAsia="Times New Roman" w:hAnsi="Times New Roman"/>
          <w:sz w:val="18"/>
          <w:szCs w:val="18"/>
          <w:b w:val="1"/>
          <w:bCs w:val="1"/>
          <w:color w:val="auto"/>
        </w:rPr>
        <w:t>Amendment</w:t>
      </w:r>
      <w:r>
        <w:rPr>
          <w:rFonts w:ascii="Times New Roman" w:cs="Times New Roman" w:eastAsia="Times New Roman" w:hAnsi="Times New Roman"/>
          <w:sz w:val="18"/>
          <w:szCs w:val="18"/>
          <w:color w:val="auto"/>
        </w:rPr>
        <w:t>”) is dated as of March 31, 2026, by and between VCP IP Holdings, LLC, a Delaware limited liability company (the “</w:t>
      </w:r>
      <w:r>
        <w:rPr>
          <w:rFonts w:ascii="Times New Roman" w:cs="Times New Roman" w:eastAsia="Times New Roman" w:hAnsi="Times New Roman"/>
          <w:sz w:val="18"/>
          <w:szCs w:val="18"/>
          <w:b w:val="1"/>
          <w:bCs w:val="1"/>
          <w:color w:val="auto"/>
        </w:rPr>
        <w:t>Licensor</w:t>
      </w:r>
      <w:r>
        <w:rPr>
          <w:rFonts w:ascii="Times New Roman" w:cs="Times New Roman" w:eastAsia="Times New Roman" w:hAnsi="Times New Roman"/>
          <w:sz w:val="18"/>
          <w:szCs w:val="18"/>
          <w:color w:val="auto"/>
        </w:rPr>
        <w:t>”), and GTI Core, LLC, a Delaware limited liability company (the “</w:t>
      </w:r>
      <w:r>
        <w:rPr>
          <w:rFonts w:ascii="Times New Roman" w:cs="Times New Roman" w:eastAsia="Times New Roman" w:hAnsi="Times New Roman"/>
          <w:sz w:val="18"/>
          <w:szCs w:val="18"/>
          <w:b w:val="1"/>
          <w:bCs w:val="1"/>
          <w:color w:val="auto"/>
        </w:rPr>
        <w:t>Licensee</w:t>
      </w:r>
      <w:r>
        <w:rPr>
          <w:rFonts w:ascii="Times New Roman" w:cs="Times New Roman" w:eastAsia="Times New Roman" w:hAnsi="Times New Roman"/>
          <w:sz w:val="18"/>
          <w:szCs w:val="18"/>
          <w:color w:val="auto"/>
        </w:rPr>
        <w:t>”). Terms used but not otherwise defined herein shall have the respective meanings ascribed to them in the License Agreement (as defined below).</w:t>
      </w:r>
    </w:p>
    <w:p>
      <w:pPr>
        <w:spacing w:after="0" w:line="180"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WHEREAS, Licensor and Licensee are parties to that certain Trademark and Recipe License Agreement dated as of August 27, 2025, as amended and/or restated from time to time (the “</w:t>
      </w:r>
      <w:r>
        <w:rPr>
          <w:rFonts w:ascii="Times New Roman" w:cs="Times New Roman" w:eastAsia="Times New Roman" w:hAnsi="Times New Roman"/>
          <w:sz w:val="18"/>
          <w:szCs w:val="18"/>
          <w:b w:val="1"/>
          <w:bCs w:val="1"/>
          <w:color w:val="auto"/>
        </w:rPr>
        <w:t>License Agreement</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WHEREAS, pursuant to Section 8.5 of the License Agreement, the License Agreement may only be amended pursuant to a written instrument signed by Licensor and Licensee; and</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WHEREAS, Licensor and Licensee wish to amend the terms of the License Agreement as set forth below.</w:t>
      </w:r>
    </w:p>
    <w:p>
      <w:pPr>
        <w:spacing w:after="0" w:line="225" w:lineRule="exact"/>
        <w:rPr>
          <w:sz w:val="20"/>
          <w:szCs w:val="20"/>
          <w:color w:val="auto"/>
        </w:rPr>
      </w:pPr>
    </w:p>
    <w:p>
      <w:pPr>
        <w:ind w:right="480" w:firstLine="648"/>
        <w:spacing w:after="0" w:line="282" w:lineRule="auto"/>
        <w:rPr>
          <w:sz w:val="20"/>
          <w:szCs w:val="20"/>
          <w:color w:val="auto"/>
        </w:rPr>
      </w:pPr>
      <w:r>
        <w:rPr>
          <w:rFonts w:ascii="Times New Roman" w:cs="Times New Roman" w:eastAsia="Times New Roman" w:hAnsi="Times New Roman"/>
          <w:sz w:val="18"/>
          <w:szCs w:val="18"/>
          <w:color w:val="auto"/>
        </w:rPr>
        <w:t>NOW, THEREFORE, for good and valuable consideration, the receipt and sufficiency of which are hereby acknowledged, the parties hereto hereby agree as follows:</w:t>
      </w:r>
    </w:p>
    <w:p>
      <w:pPr>
        <w:spacing w:after="0" w:line="158" w:lineRule="exact"/>
        <w:rPr>
          <w:sz w:val="20"/>
          <w:szCs w:val="20"/>
          <w:color w:val="auto"/>
        </w:rPr>
      </w:pPr>
    </w:p>
    <w:p>
      <w:pPr>
        <w:ind w:left="840" w:hanging="184"/>
        <w:spacing w:after="0"/>
        <w:tabs>
          <w:tab w:leader="none" w:pos="84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Amendments to License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Parties hereby agree that, effective as of April 1, 2026, the License Agreement shall be amended as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follows:</w:t>
      </w:r>
    </w:p>
    <w:p>
      <w:pPr>
        <w:spacing w:after="0" w:line="207" w:lineRule="exact"/>
        <w:rPr>
          <w:sz w:val="20"/>
          <w:szCs w:val="20"/>
          <w:color w:val="auto"/>
        </w:rPr>
      </w:pPr>
    </w:p>
    <w:p>
      <w:pPr>
        <w:ind w:left="1540" w:hanging="236"/>
        <w:spacing w:after="0"/>
        <w:tabs>
          <w:tab w:leader="none" w:pos="154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2.2 of the License Agreement shall be deemed null and void and of no further force and effect.</w:t>
      </w:r>
    </w:p>
    <w:p>
      <w:pPr>
        <w:spacing w:after="0" w:line="221" w:lineRule="exact"/>
        <w:rPr>
          <w:rFonts w:ascii="Times New Roman" w:cs="Times New Roman" w:eastAsia="Times New Roman" w:hAnsi="Times New Roman"/>
          <w:sz w:val="18"/>
          <w:szCs w:val="18"/>
          <w:color w:val="auto"/>
        </w:rPr>
      </w:pPr>
    </w:p>
    <w:p>
      <w:pPr>
        <w:ind w:left="660" w:right="320" w:firstLine="644"/>
        <w:spacing w:after="0" w:line="286" w:lineRule="auto"/>
        <w:tabs>
          <w:tab w:leader="none" w:pos="1563"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Exhibit B </w:t>
      </w:r>
      <w:r>
        <w:rPr>
          <w:rFonts w:ascii="Times New Roman" w:cs="Times New Roman" w:eastAsia="Times New Roman" w:hAnsi="Times New Roman"/>
          <w:sz w:val="18"/>
          <w:szCs w:val="18"/>
          <w:color w:val="auto"/>
        </w:rPr>
        <w:t>to the License Agreement shall be deleted in its entirety and the Exhibit B set forth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Attachment 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this Amendment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be substituted in lieu thereof.</w:t>
      </w:r>
    </w:p>
    <w:p>
      <w:pPr>
        <w:spacing w:after="0" w:line="154" w:lineRule="exact"/>
        <w:rPr>
          <w:rFonts w:ascii="Times New Roman" w:cs="Times New Roman" w:eastAsia="Times New Roman" w:hAnsi="Times New Roman"/>
          <w:sz w:val="18"/>
          <w:szCs w:val="18"/>
          <w:color w:val="auto"/>
        </w:rPr>
      </w:pPr>
    </w:p>
    <w:p>
      <w:pPr>
        <w:ind w:right="520" w:firstLine="656"/>
        <w:spacing w:after="0" w:line="286" w:lineRule="auto"/>
        <w:tabs>
          <w:tab w:leader="none" w:pos="828"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Miscellaneous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Except as expressly set forth herein, the License Agreement shall remain in full force and effect. Section 8 of the License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Agreement is hereby incorporated by reference,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color w:val="auto"/>
        </w:rPr>
        <w:t>IN WITNESS WHEREOF, the parties hereto have executed this Amendment as of the date first written above.</w:t>
      </w:r>
    </w:p>
    <w:p>
      <w:pPr>
        <w:spacing w:after="0" w:line="221"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b w:val="1"/>
          <w:bCs w:val="1"/>
          <w:color w:val="auto"/>
        </w:rPr>
        <w:t>LICENSOR</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b w:val="1"/>
          <w:bCs w:val="1"/>
          <w:color w:val="auto"/>
        </w:rPr>
        <w:t>VCP IP Holdings, LLC</w:t>
      </w:r>
    </w:p>
    <w:p>
      <w:pPr>
        <w:spacing w:after="0" w:line="229" w:lineRule="exact"/>
        <w:rPr>
          <w:sz w:val="20"/>
          <w:szCs w:val="20"/>
          <w:color w:val="auto"/>
        </w:rPr>
      </w:pPr>
    </w:p>
    <w:p>
      <w:pPr>
        <w:ind w:left="6100"/>
        <w:spacing w:after="0"/>
        <w:tabs>
          <w:tab w:leader="none" w:pos="66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Brad Asher</w:t>
      </w:r>
    </w:p>
    <w:p>
      <w:pPr>
        <w:spacing w:after="0" w:line="36"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Name: Brad Asher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4223385</wp:posOffset>
            </wp:positionH>
            <wp:positionV relativeFrom="paragraph">
              <wp:posOffset>-127635</wp:posOffset>
            </wp:positionV>
            <wp:extent cx="249428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21" w:lineRule="exact"/>
        <w:rPr>
          <w:sz w:val="20"/>
          <w:szCs w:val="20"/>
          <w:color w:val="auto"/>
        </w:rPr>
      </w:pPr>
    </w:p>
    <w:p>
      <w:pPr>
        <w:ind w:left="6100"/>
        <w:spacing w:after="0"/>
        <w:tabs>
          <w:tab w:leader="none" w:pos="66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Authorized Signatory</w:t>
      </w:r>
    </w:p>
    <w:p>
      <w:pPr>
        <w:spacing w:after="0" w:line="203"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b w:val="1"/>
          <w:bCs w:val="1"/>
          <w:color w:val="auto"/>
        </w:rPr>
        <w:t>LICENSEE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b w:val="1"/>
          <w:bCs w:val="1"/>
          <w:color w:val="auto"/>
        </w:rPr>
        <w:t>GTI Core, LLC</w:t>
      </w:r>
    </w:p>
    <w:p>
      <w:pPr>
        <w:spacing w:after="0" w:line="229" w:lineRule="exact"/>
        <w:rPr>
          <w:sz w:val="20"/>
          <w:szCs w:val="20"/>
          <w:color w:val="auto"/>
        </w:rPr>
      </w:pPr>
    </w:p>
    <w:p>
      <w:pPr>
        <w:jc w:val="both"/>
        <w:ind w:left="6100"/>
        <w:spacing w:after="0"/>
        <w:tabs>
          <w:tab w:leader="none" w:pos="66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Anthony Georgiadis</w:t>
      </w:r>
    </w:p>
    <w:p>
      <w:pPr>
        <w:spacing w:after="0" w:line="36"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Name: Anthony Georgiadis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4223385</wp:posOffset>
            </wp:positionH>
            <wp:positionV relativeFrom="paragraph">
              <wp:posOffset>-127635</wp:posOffset>
            </wp:positionV>
            <wp:extent cx="249428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21" w:lineRule="exact"/>
        <w:rPr>
          <w:sz w:val="20"/>
          <w:szCs w:val="20"/>
          <w:color w:val="auto"/>
        </w:rPr>
      </w:pPr>
    </w:p>
    <w:p>
      <w:pPr>
        <w:ind w:left="6100"/>
        <w:spacing w:after="0"/>
        <w:tabs>
          <w:tab w:leader="none" w:pos="66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Authorized Signatory</w:t>
      </w:r>
    </w:p>
    <w:p>
      <w:pPr>
        <w:spacing w:after="0" w:line="20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Amendment No. 1 to Trademark and Recipe License Agreement</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3"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479"/>
          </w:cols>
          <w:pgMar w:left="980" w:top="904" w:right="1440"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u w:val="single" w:color="auto"/>
          <w:color w:val="auto"/>
        </w:rPr>
        <w:t>Attachment 1</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EXHIBIT B</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CONSIDERATION</w:t>
      </w:r>
    </w:p>
    <w:p>
      <w:pPr>
        <w:spacing w:after="0" w:line="225" w:lineRule="exact"/>
        <w:rPr>
          <w:sz w:val="20"/>
          <w:szCs w:val="20"/>
          <w:color w:val="auto"/>
        </w:rPr>
      </w:pPr>
    </w:p>
    <w:p>
      <w:pPr>
        <w:ind w:left="-20" w:firstLine="656"/>
        <w:spacing w:after="0" w:line="268" w:lineRule="auto"/>
        <w:tabs>
          <w:tab w:leader="none" w:pos="87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Consideration for the transactions contemplated under this Agreement shall be in the form of a fixed annual fee (the “</w:t>
      </w:r>
      <w:r>
        <w:rPr>
          <w:rFonts w:ascii="Times New Roman" w:cs="Times New Roman" w:eastAsia="Times New Roman" w:hAnsi="Times New Roman"/>
          <w:sz w:val="18"/>
          <w:szCs w:val="18"/>
          <w:b w:val="1"/>
          <w:bCs w:val="1"/>
          <w:color w:val="auto"/>
        </w:rPr>
        <w:t>Annual Fee</w:t>
      </w:r>
      <w:r>
        <w:rPr>
          <w:rFonts w:ascii="Times New Roman" w:cs="Times New Roman" w:eastAsia="Times New Roman" w:hAnsi="Times New Roman"/>
          <w:sz w:val="18"/>
          <w:szCs w:val="18"/>
          <w:color w:val="auto"/>
        </w:rPr>
        <w:t>”), payable in equal monthly installments by Licensee to Licensor within thirty (30) days following the end of each calendar month during the Term. Commencing on April 1, 2026, the Annual Fee for calendar year 2026 shall be $64,000,000, payable in monthly installments of $5,333,333.33.</w:t>
      </w:r>
    </w:p>
    <w:p>
      <w:pPr>
        <w:spacing w:after="0" w:line="170" w:lineRule="exact"/>
        <w:rPr>
          <w:rFonts w:ascii="Times New Roman" w:cs="Times New Roman" w:eastAsia="Times New Roman" w:hAnsi="Times New Roman"/>
          <w:sz w:val="18"/>
          <w:szCs w:val="18"/>
          <w:color w:val="auto"/>
        </w:rPr>
      </w:pPr>
    </w:p>
    <w:p>
      <w:pPr>
        <w:ind w:left="-20" w:right="140" w:firstLine="656"/>
        <w:spacing w:after="0" w:line="262" w:lineRule="auto"/>
        <w:tabs>
          <w:tab w:leader="none" w:pos="88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Commencing on January 1, 2027, and on each anniversary thereof during the Term (each, an “</w:t>
      </w:r>
      <w:r>
        <w:rPr>
          <w:rFonts w:ascii="Times New Roman" w:cs="Times New Roman" w:eastAsia="Times New Roman" w:hAnsi="Times New Roman"/>
          <w:sz w:val="18"/>
          <w:szCs w:val="18"/>
          <w:b w:val="1"/>
          <w:bCs w:val="1"/>
          <w:color w:val="auto"/>
        </w:rPr>
        <w:t>Adjustment Date</w:t>
      </w:r>
      <w:r>
        <w:rPr>
          <w:rFonts w:ascii="Times New Roman" w:cs="Times New Roman" w:eastAsia="Times New Roman" w:hAnsi="Times New Roman"/>
          <w:sz w:val="18"/>
          <w:szCs w:val="18"/>
          <w:color w:val="auto"/>
        </w:rPr>
        <w:t>”), the Annual Fee shall be increased by an amount equal to the CPI Adjustment Rate. As used herein, the “</w:t>
      </w:r>
      <w:r>
        <w:rPr>
          <w:rFonts w:ascii="Times New Roman" w:cs="Times New Roman" w:eastAsia="Times New Roman" w:hAnsi="Times New Roman"/>
          <w:sz w:val="18"/>
          <w:szCs w:val="18"/>
          <w:b w:val="1"/>
          <w:bCs w:val="1"/>
          <w:color w:val="auto"/>
        </w:rPr>
        <w:t>CPI Adjustment Rate</w:t>
      </w:r>
      <w:r>
        <w:rPr>
          <w:rFonts w:ascii="Times New Roman" w:cs="Times New Roman" w:eastAsia="Times New Roman" w:hAnsi="Times New Roman"/>
          <w:sz w:val="18"/>
          <w:szCs w:val="18"/>
          <w:color w:val="auto"/>
        </w:rPr>
        <w:t>” shall equal the number that is two times the Published CPI Rate (as defined below). For example, for calendar year 2027, if the applicable Published CPI Rate is 2.4%, the CPI Adjustment Rate shall be 4.8% and the Annual Fee for 2027 shall be increased by an amount equal to $3,072,000, resulting in an Annual Fee of $67,072,000.</w:t>
      </w:r>
    </w:p>
    <w:p>
      <w:pPr>
        <w:spacing w:after="0" w:line="176" w:lineRule="exact"/>
        <w:rPr>
          <w:rFonts w:ascii="Times New Roman" w:cs="Times New Roman" w:eastAsia="Times New Roman" w:hAnsi="Times New Roman"/>
          <w:sz w:val="18"/>
          <w:szCs w:val="18"/>
          <w:color w:val="auto"/>
        </w:rPr>
      </w:pPr>
    </w:p>
    <w:p>
      <w:pPr>
        <w:ind w:left="-20" w:right="360" w:firstLine="656"/>
        <w:spacing w:after="0" w:line="262" w:lineRule="auto"/>
        <w:tabs>
          <w:tab w:leader="none" w:pos="86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used herein, the “</w:t>
      </w:r>
      <w:r>
        <w:rPr>
          <w:rFonts w:ascii="Times New Roman" w:cs="Times New Roman" w:eastAsia="Times New Roman" w:hAnsi="Times New Roman"/>
          <w:sz w:val="18"/>
          <w:szCs w:val="18"/>
          <w:b w:val="1"/>
          <w:bCs w:val="1"/>
          <w:color w:val="auto"/>
        </w:rPr>
        <w:t>Published CPI Rate</w:t>
      </w:r>
      <w:r>
        <w:rPr>
          <w:rFonts w:ascii="Times New Roman" w:cs="Times New Roman" w:eastAsia="Times New Roman" w:hAnsi="Times New Roman"/>
          <w:sz w:val="18"/>
          <w:szCs w:val="18"/>
          <w:color w:val="auto"/>
        </w:rPr>
        <w:t>” means the year-over-year percentage change in the Consumer Price Index for All Urban Consumers, All Items, U.S. City Average, Not Seasonally Adjusted (BLS series identifier: CUUR0000SA0), as published by the U.S. Bureau of Labor Statistics (the “</w:t>
      </w:r>
      <w:r>
        <w:rPr>
          <w:rFonts w:ascii="Times New Roman" w:cs="Times New Roman" w:eastAsia="Times New Roman" w:hAnsi="Times New Roman"/>
          <w:sz w:val="18"/>
          <w:szCs w:val="18"/>
          <w:b w:val="1"/>
          <w:bCs w:val="1"/>
          <w:color w:val="auto"/>
        </w:rPr>
        <w:t>BLS</w:t>
      </w:r>
      <w:r>
        <w:rPr>
          <w:rFonts w:ascii="Times New Roman" w:cs="Times New Roman" w:eastAsia="Times New Roman" w:hAnsi="Times New Roman"/>
          <w:sz w:val="18"/>
          <w:szCs w:val="18"/>
          <w:color w:val="auto"/>
        </w:rPr>
        <w:t>”) for the month of December immediately preceding the applicable Adjustment Date. If the Published CPI Rate is not publicly available by February 1 for any given calendar year, the Parties shall use the most recently published monthly rate available as of that date.</w:t>
      </w:r>
    </w:p>
    <w:p>
      <w:pPr>
        <w:spacing w:after="0" w:line="180" w:lineRule="exact"/>
        <w:rPr>
          <w:rFonts w:ascii="Times New Roman" w:cs="Times New Roman" w:eastAsia="Times New Roman" w:hAnsi="Times New Roman"/>
          <w:sz w:val="18"/>
          <w:szCs w:val="18"/>
          <w:color w:val="auto"/>
        </w:rPr>
      </w:pPr>
    </w:p>
    <w:p>
      <w:pPr>
        <w:ind w:left="-20" w:right="20" w:firstLine="656"/>
        <w:spacing w:after="0" w:line="254" w:lineRule="auto"/>
        <w:tabs>
          <w:tab w:leader="none" w:pos="88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February 15 following each Adjustment Date, Licensor shall notify Licensee of (i) the applicable Published CPI Rate, (ii) the resulting CPI Adjustment Rate, and (iii) the adjusted Annual Fee, which shall apply retroactively to such Adjustment Date. Licensee shall have ten (10) days following receipt of Licensor’s notice to object to such adjusted Annual Fee in writing (such objection, an “</w:t>
      </w:r>
      <w:r>
        <w:rPr>
          <w:rFonts w:ascii="Times New Roman" w:cs="Times New Roman" w:eastAsia="Times New Roman" w:hAnsi="Times New Roman"/>
          <w:sz w:val="18"/>
          <w:szCs w:val="18"/>
          <w:b w:val="1"/>
          <w:bCs w:val="1"/>
          <w:color w:val="auto"/>
        </w:rPr>
        <w:t>Objection Notice</w:t>
      </w:r>
      <w:r>
        <w:rPr>
          <w:rFonts w:ascii="Times New Roman" w:cs="Times New Roman" w:eastAsia="Times New Roman" w:hAnsi="Times New Roman"/>
          <w:sz w:val="18"/>
          <w:szCs w:val="18"/>
          <w:color w:val="auto"/>
        </w:rPr>
        <w:t>”). If Licensee timely objects, the Parties shall negotiate in good faith to resolve the dispute. If Licensee and Licensor are unable to resolve such objection within sixty (60) days after Licensee’s delivery of an Objection Notice, the matter shall be referred to an impartial nationally recognized firm of independent certified public accountants, other than Licensee’s or Licensor’s accountants, appointed by mutual agreement of the Parties (the “</w:t>
      </w:r>
      <w:r>
        <w:rPr>
          <w:rFonts w:ascii="Times New Roman" w:cs="Times New Roman" w:eastAsia="Times New Roman" w:hAnsi="Times New Roman"/>
          <w:sz w:val="18"/>
          <w:szCs w:val="18"/>
          <w:b w:val="1"/>
          <w:bCs w:val="1"/>
          <w:color w:val="auto"/>
        </w:rPr>
        <w:t>Independent Accountant</w:t>
      </w:r>
      <w:r>
        <w:rPr>
          <w:rFonts w:ascii="Times New Roman" w:cs="Times New Roman" w:eastAsia="Times New Roman" w:hAnsi="Times New Roman"/>
          <w:sz w:val="18"/>
          <w:szCs w:val="18"/>
          <w:color w:val="auto"/>
        </w:rPr>
        <w:t xml:space="preserve">”), who, acting as experts and not arbitrators, shall calculate the Annual Fee pursuant to this </w:t>
      </w:r>
      <w:r>
        <w:rPr>
          <w:rFonts w:ascii="Times New Roman" w:cs="Times New Roman" w:eastAsia="Times New Roman" w:hAnsi="Times New Roman"/>
          <w:sz w:val="18"/>
          <w:szCs w:val="18"/>
          <w:b w:val="1"/>
          <w:bCs w:val="1"/>
          <w:color w:val="auto"/>
        </w:rPr>
        <w:t>Exhibit B</w:t>
      </w:r>
      <w:r>
        <w:rPr>
          <w:rFonts w:ascii="Times New Roman" w:cs="Times New Roman" w:eastAsia="Times New Roman" w:hAnsi="Times New Roman"/>
          <w:sz w:val="18"/>
          <w:szCs w:val="18"/>
          <w:color w:val="auto"/>
        </w:rPr>
        <w:t>. The determination of the Independent Accountant shall be final and binding on the Parties, and the fees and expenses of the Independent Accountant shall be borne equally by Licensor and Licensee. For the avoidance of doubt, during any dispute of the Annual Fee, the prior calendar year’s Annual Fee shall remain in effect until final resolution.</w:t>
      </w:r>
    </w:p>
    <w:p>
      <w:pPr>
        <w:spacing w:after="0" w:line="188" w:lineRule="exact"/>
        <w:rPr>
          <w:rFonts w:ascii="Times New Roman" w:cs="Times New Roman" w:eastAsia="Times New Roman" w:hAnsi="Times New Roman"/>
          <w:sz w:val="18"/>
          <w:szCs w:val="18"/>
          <w:color w:val="auto"/>
        </w:rPr>
      </w:pPr>
    </w:p>
    <w:p>
      <w:pPr>
        <w:ind w:left="-20" w:right="500" w:firstLine="656"/>
        <w:spacing w:after="0" w:line="282" w:lineRule="auto"/>
        <w:tabs>
          <w:tab w:leader="none" w:pos="87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in no event shall (i) the CPI Adjustment Rate exceed 10.0% for any calendar year, or (ii) the Annual Fee decrease from one calendar year to the next, including due to a negative Published CPI Rate.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40" w:top="904" w:right="359"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 NO. 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AMENDED AND RESTATED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TRADEMARK AND RECIPE LICENSE AGREEMENT</w:t>
      </w:r>
    </w:p>
    <w:p>
      <w:pPr>
        <w:spacing w:after="0" w:line="203" w:lineRule="exact"/>
        <w:rPr>
          <w:sz w:val="20"/>
          <w:szCs w:val="20"/>
          <w:color w:val="auto"/>
        </w:rPr>
      </w:pPr>
    </w:p>
    <w:p>
      <w:pPr>
        <w:ind w:firstLine="648"/>
        <w:spacing w:after="0" w:line="262" w:lineRule="auto"/>
        <w:rPr>
          <w:sz w:val="20"/>
          <w:szCs w:val="20"/>
          <w:color w:val="auto"/>
        </w:rPr>
      </w:pPr>
      <w:r>
        <w:rPr>
          <w:rFonts w:ascii="Times New Roman" w:cs="Times New Roman" w:eastAsia="Times New Roman" w:hAnsi="Times New Roman"/>
          <w:sz w:val="18"/>
          <w:szCs w:val="18"/>
          <w:color w:val="auto"/>
        </w:rPr>
        <w:t>This AMENDMENT NO. 1 TO AMENDED AND RESTATED TRADEMARK AND RECIPE LICENSE AGREEMENT (this “</w:t>
      </w:r>
      <w:r>
        <w:rPr>
          <w:rFonts w:ascii="Times New Roman" w:cs="Times New Roman" w:eastAsia="Times New Roman" w:hAnsi="Times New Roman"/>
          <w:sz w:val="18"/>
          <w:szCs w:val="18"/>
          <w:b w:val="1"/>
          <w:bCs w:val="1"/>
          <w:color w:val="auto"/>
        </w:rPr>
        <w:t>Amendment</w:t>
      </w:r>
      <w:r>
        <w:rPr>
          <w:rFonts w:ascii="Times New Roman" w:cs="Times New Roman" w:eastAsia="Times New Roman" w:hAnsi="Times New Roman"/>
          <w:sz w:val="18"/>
          <w:szCs w:val="18"/>
          <w:color w:val="auto"/>
        </w:rPr>
        <w:t>”) is dated as of March 31, 2026, by and between MC Brands LLC, a Colorado limited liability company (the “</w:t>
      </w:r>
      <w:r>
        <w:rPr>
          <w:rFonts w:ascii="Times New Roman" w:cs="Times New Roman" w:eastAsia="Times New Roman" w:hAnsi="Times New Roman"/>
          <w:sz w:val="18"/>
          <w:szCs w:val="18"/>
          <w:b w:val="1"/>
          <w:bCs w:val="1"/>
          <w:color w:val="auto"/>
        </w:rPr>
        <w:t>Licensor</w:t>
      </w:r>
      <w:r>
        <w:rPr>
          <w:rFonts w:ascii="Times New Roman" w:cs="Times New Roman" w:eastAsia="Times New Roman" w:hAnsi="Times New Roman"/>
          <w:sz w:val="18"/>
          <w:szCs w:val="18"/>
          <w:color w:val="auto"/>
        </w:rPr>
        <w:t>”), and GTI Core, LLC, a Delaware limited liability company (the “</w:t>
      </w:r>
      <w:r>
        <w:rPr>
          <w:rFonts w:ascii="Times New Roman" w:cs="Times New Roman" w:eastAsia="Times New Roman" w:hAnsi="Times New Roman"/>
          <w:sz w:val="18"/>
          <w:szCs w:val="18"/>
          <w:b w:val="1"/>
          <w:bCs w:val="1"/>
          <w:color w:val="auto"/>
        </w:rPr>
        <w:t>Licensee</w:t>
      </w:r>
      <w:r>
        <w:rPr>
          <w:rFonts w:ascii="Times New Roman" w:cs="Times New Roman" w:eastAsia="Times New Roman" w:hAnsi="Times New Roman"/>
          <w:sz w:val="18"/>
          <w:szCs w:val="18"/>
          <w:color w:val="auto"/>
        </w:rPr>
        <w:t>”). Terms used but not otherwise defined herein shall have the respective meanings ascribed to them in the License Agreement (as defined below).</w:t>
      </w:r>
    </w:p>
    <w:p>
      <w:pPr>
        <w:spacing w:after="0" w:line="180" w:lineRule="exact"/>
        <w:rPr>
          <w:sz w:val="20"/>
          <w:szCs w:val="20"/>
          <w:color w:val="auto"/>
        </w:rPr>
      </w:pPr>
    </w:p>
    <w:p>
      <w:pPr>
        <w:ind w:right="520" w:firstLine="648"/>
        <w:spacing w:after="0" w:line="282" w:lineRule="auto"/>
        <w:rPr>
          <w:sz w:val="20"/>
          <w:szCs w:val="20"/>
          <w:color w:val="auto"/>
        </w:rPr>
      </w:pPr>
      <w:r>
        <w:rPr>
          <w:rFonts w:ascii="Times New Roman" w:cs="Times New Roman" w:eastAsia="Times New Roman" w:hAnsi="Times New Roman"/>
          <w:sz w:val="18"/>
          <w:szCs w:val="18"/>
          <w:color w:val="auto"/>
        </w:rPr>
        <w:t>WHEREAS, Licensor and Licensee are parties to that certain Amended and Restated Trademark and Recipe License Agreement dated as of August 27, 2025, as amended and/or restated from time to time (the “</w:t>
      </w:r>
      <w:r>
        <w:rPr>
          <w:rFonts w:ascii="Times New Roman" w:cs="Times New Roman" w:eastAsia="Times New Roman" w:hAnsi="Times New Roman"/>
          <w:sz w:val="18"/>
          <w:szCs w:val="18"/>
          <w:b w:val="1"/>
          <w:bCs w:val="1"/>
          <w:color w:val="auto"/>
        </w:rPr>
        <w:t>License Agreement</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WHEREAS, pursuant to Section 8.5 of the License Agreement, the License Agreement may only be amended pursuant to a written instrument signed by Licensor and Licensee; and</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WHEREAS, Licensor and Licensee wish to amend the terms of the License Agreement as set forth below.</w:t>
      </w:r>
    </w:p>
    <w:p>
      <w:pPr>
        <w:spacing w:after="0" w:line="225" w:lineRule="exact"/>
        <w:rPr>
          <w:sz w:val="20"/>
          <w:szCs w:val="20"/>
          <w:color w:val="auto"/>
        </w:rPr>
      </w:pPr>
    </w:p>
    <w:p>
      <w:pPr>
        <w:ind w:right="480" w:firstLine="648"/>
        <w:spacing w:after="0" w:line="282" w:lineRule="auto"/>
        <w:rPr>
          <w:sz w:val="20"/>
          <w:szCs w:val="20"/>
          <w:color w:val="auto"/>
        </w:rPr>
      </w:pPr>
      <w:r>
        <w:rPr>
          <w:rFonts w:ascii="Times New Roman" w:cs="Times New Roman" w:eastAsia="Times New Roman" w:hAnsi="Times New Roman"/>
          <w:sz w:val="18"/>
          <w:szCs w:val="18"/>
          <w:color w:val="auto"/>
        </w:rPr>
        <w:t>NOW, THEREFORE, for good and valuable consideration, the receipt and sufficiency of which are hereby acknowledged, the parties hereto hereby agree as follows:</w:t>
      </w:r>
    </w:p>
    <w:p>
      <w:pPr>
        <w:spacing w:after="0" w:line="158" w:lineRule="exact"/>
        <w:rPr>
          <w:sz w:val="20"/>
          <w:szCs w:val="20"/>
          <w:color w:val="auto"/>
        </w:rPr>
      </w:pPr>
    </w:p>
    <w:p>
      <w:pPr>
        <w:ind w:left="840" w:hanging="184"/>
        <w:spacing w:after="0"/>
        <w:tabs>
          <w:tab w:leader="none" w:pos="84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Amendments to License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Parties hereby agree that, effective as of April 1, 2026, the License Agreement shall be amended as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follows:</w:t>
      </w:r>
    </w:p>
    <w:p>
      <w:pPr>
        <w:spacing w:after="0" w:line="207" w:lineRule="exact"/>
        <w:rPr>
          <w:sz w:val="20"/>
          <w:szCs w:val="20"/>
          <w:color w:val="auto"/>
        </w:rPr>
      </w:pPr>
    </w:p>
    <w:p>
      <w:pPr>
        <w:ind w:left="1540" w:hanging="236"/>
        <w:spacing w:after="0"/>
        <w:tabs>
          <w:tab w:leader="none" w:pos="154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2.2 of the License Agreement shall be deemed null and void and of no further force and effect.</w:t>
      </w:r>
    </w:p>
    <w:p>
      <w:pPr>
        <w:spacing w:after="0" w:line="221" w:lineRule="exact"/>
        <w:rPr>
          <w:rFonts w:ascii="Times New Roman" w:cs="Times New Roman" w:eastAsia="Times New Roman" w:hAnsi="Times New Roman"/>
          <w:sz w:val="18"/>
          <w:szCs w:val="18"/>
          <w:color w:val="auto"/>
        </w:rPr>
      </w:pPr>
    </w:p>
    <w:p>
      <w:pPr>
        <w:ind w:left="740" w:right="300" w:firstLine="564"/>
        <w:spacing w:after="0" w:line="286" w:lineRule="auto"/>
        <w:tabs>
          <w:tab w:leader="none" w:pos="1562"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Exhibit C </w:t>
      </w:r>
      <w:r>
        <w:rPr>
          <w:rFonts w:ascii="Times New Roman" w:cs="Times New Roman" w:eastAsia="Times New Roman" w:hAnsi="Times New Roman"/>
          <w:sz w:val="18"/>
          <w:szCs w:val="18"/>
          <w:color w:val="auto"/>
        </w:rPr>
        <w:t>to the License Agreement shall be deleted in its entirety and the Exhibit C set forth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Attachment 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this Amendment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be substituted in lieu thereof.</w:t>
      </w:r>
    </w:p>
    <w:p>
      <w:pPr>
        <w:spacing w:after="0" w:line="154" w:lineRule="exact"/>
        <w:rPr>
          <w:rFonts w:ascii="Times New Roman" w:cs="Times New Roman" w:eastAsia="Times New Roman" w:hAnsi="Times New Roman"/>
          <w:sz w:val="18"/>
          <w:szCs w:val="18"/>
          <w:color w:val="auto"/>
        </w:rPr>
      </w:pPr>
    </w:p>
    <w:p>
      <w:pPr>
        <w:ind w:right="520" w:firstLine="656"/>
        <w:spacing w:after="0" w:line="286" w:lineRule="auto"/>
        <w:tabs>
          <w:tab w:leader="none" w:pos="828"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Miscellaneous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Except as expressly set forth herein, the License Agreement shall remain in full force and effect. Section 8 of the License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Agreement is hereby incorporated by reference,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color w:val="auto"/>
        </w:rPr>
        <w:t>IN WITNESS WHEREOF, the parties hereto have executed this Amendment as of the date first written above.</w:t>
      </w:r>
    </w:p>
    <w:p>
      <w:pPr>
        <w:spacing w:after="0" w:line="221"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b w:val="1"/>
          <w:bCs w:val="1"/>
          <w:color w:val="auto"/>
        </w:rPr>
        <w:t>LICENSOR</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b w:val="1"/>
          <w:bCs w:val="1"/>
          <w:color w:val="auto"/>
        </w:rPr>
        <w:t>MC Brands LLC</w:t>
      </w:r>
    </w:p>
    <w:p>
      <w:pPr>
        <w:spacing w:after="0" w:line="229" w:lineRule="exact"/>
        <w:rPr>
          <w:sz w:val="20"/>
          <w:szCs w:val="20"/>
          <w:color w:val="auto"/>
        </w:rPr>
      </w:pPr>
    </w:p>
    <w:p>
      <w:pPr>
        <w:ind w:left="6100"/>
        <w:spacing w:after="0"/>
        <w:tabs>
          <w:tab w:leader="none" w:pos="66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Brad Asher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4223385</wp:posOffset>
            </wp:positionH>
            <wp:positionV relativeFrom="paragraph">
              <wp:posOffset>17145</wp:posOffset>
            </wp:positionV>
            <wp:extent cx="249428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7"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Name: Brad Asher</w:t>
      </w:r>
    </w:p>
    <w:p>
      <w:pPr>
        <w:spacing w:after="0" w:line="36" w:lineRule="exact"/>
        <w:rPr>
          <w:sz w:val="20"/>
          <w:szCs w:val="20"/>
          <w:color w:val="auto"/>
        </w:rPr>
      </w:pPr>
    </w:p>
    <w:p>
      <w:pPr>
        <w:ind w:left="6100"/>
        <w:spacing w:after="0"/>
        <w:tabs>
          <w:tab w:leader="none" w:pos="66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Authorized Signatory</w:t>
      </w:r>
    </w:p>
    <w:p>
      <w:pPr>
        <w:spacing w:after="0" w:line="203"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b w:val="1"/>
          <w:bCs w:val="1"/>
          <w:color w:val="auto"/>
        </w:rPr>
        <w:t>LICENSEE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b w:val="1"/>
          <w:bCs w:val="1"/>
          <w:color w:val="auto"/>
        </w:rPr>
        <w:t>GTI Core, LLC</w:t>
      </w:r>
    </w:p>
    <w:p>
      <w:pPr>
        <w:spacing w:after="0" w:line="229" w:lineRule="exact"/>
        <w:rPr>
          <w:sz w:val="20"/>
          <w:szCs w:val="20"/>
          <w:color w:val="auto"/>
        </w:rPr>
      </w:pPr>
    </w:p>
    <w:p>
      <w:pPr>
        <w:jc w:val="both"/>
        <w:ind w:left="6100"/>
        <w:spacing w:after="0"/>
        <w:tabs>
          <w:tab w:leader="none" w:pos="66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Anthony Georgiadis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4223385</wp:posOffset>
            </wp:positionH>
            <wp:positionV relativeFrom="paragraph">
              <wp:posOffset>17145</wp:posOffset>
            </wp:positionV>
            <wp:extent cx="249428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7"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Name: Anthony Georgiadis</w:t>
      </w:r>
    </w:p>
    <w:p>
      <w:pPr>
        <w:spacing w:after="0" w:line="36" w:lineRule="exact"/>
        <w:rPr>
          <w:sz w:val="20"/>
          <w:szCs w:val="20"/>
          <w:color w:val="auto"/>
        </w:rPr>
      </w:pPr>
    </w:p>
    <w:p>
      <w:pPr>
        <w:ind w:left="6100"/>
        <w:spacing w:after="0"/>
        <w:tabs>
          <w:tab w:leader="none" w:pos="66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Authorized Signatory</w:t>
      </w:r>
    </w:p>
    <w:p>
      <w:pPr>
        <w:spacing w:after="0" w:line="205"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Amendment No. 1 to A&amp;R Trademark and Recipe License Agreement</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3"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479"/>
          </w:cols>
          <w:pgMar w:left="980" w:top="904" w:right="1440"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u w:val="single" w:color="auto"/>
          <w:color w:val="auto"/>
        </w:rPr>
        <w:t>Attachment 1</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EXHIBIT 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CONSIDERATION</w:t>
      </w:r>
    </w:p>
    <w:p>
      <w:pPr>
        <w:spacing w:after="0" w:line="225" w:lineRule="exact"/>
        <w:rPr>
          <w:sz w:val="20"/>
          <w:szCs w:val="20"/>
          <w:color w:val="auto"/>
        </w:rPr>
      </w:pPr>
    </w:p>
    <w:p>
      <w:pPr>
        <w:ind w:left="-20" w:firstLine="656"/>
        <w:spacing w:after="0" w:line="268" w:lineRule="auto"/>
        <w:tabs>
          <w:tab w:leader="none" w:pos="873"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Consideration for the transactions contemplated under this Agreement shall be in the form of a fixed annual fee (the “</w:t>
      </w:r>
      <w:r>
        <w:rPr>
          <w:rFonts w:ascii="Times New Roman" w:cs="Times New Roman" w:eastAsia="Times New Roman" w:hAnsi="Times New Roman"/>
          <w:sz w:val="18"/>
          <w:szCs w:val="18"/>
          <w:b w:val="1"/>
          <w:bCs w:val="1"/>
          <w:color w:val="auto"/>
        </w:rPr>
        <w:t>Annual Fee</w:t>
      </w:r>
      <w:r>
        <w:rPr>
          <w:rFonts w:ascii="Times New Roman" w:cs="Times New Roman" w:eastAsia="Times New Roman" w:hAnsi="Times New Roman"/>
          <w:sz w:val="18"/>
          <w:szCs w:val="18"/>
          <w:color w:val="auto"/>
        </w:rPr>
        <w:t>”), payable in equal monthly installments by Licensee to Licensor within thirty (30) days following the end of each calendar month during the Term. Commencing on April 1, 2026, the Annual Fee for calendar year 2026 shall be $6,000,000, payable in monthly installments of $500,000.</w:t>
      </w:r>
    </w:p>
    <w:p>
      <w:pPr>
        <w:spacing w:after="0" w:line="170" w:lineRule="exact"/>
        <w:rPr>
          <w:rFonts w:ascii="Times New Roman" w:cs="Times New Roman" w:eastAsia="Times New Roman" w:hAnsi="Times New Roman"/>
          <w:sz w:val="18"/>
          <w:szCs w:val="18"/>
          <w:color w:val="auto"/>
        </w:rPr>
      </w:pPr>
    </w:p>
    <w:p>
      <w:pPr>
        <w:ind w:left="-20" w:right="140" w:firstLine="656"/>
        <w:spacing w:after="0" w:line="262" w:lineRule="auto"/>
        <w:tabs>
          <w:tab w:leader="none" w:pos="883"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Commencing on January 1, 2027, and on each anniversary thereof during the Term (each, an “</w:t>
      </w:r>
      <w:r>
        <w:rPr>
          <w:rFonts w:ascii="Times New Roman" w:cs="Times New Roman" w:eastAsia="Times New Roman" w:hAnsi="Times New Roman"/>
          <w:sz w:val="18"/>
          <w:szCs w:val="18"/>
          <w:b w:val="1"/>
          <w:bCs w:val="1"/>
          <w:color w:val="auto"/>
        </w:rPr>
        <w:t>Adjustment Date</w:t>
      </w:r>
      <w:r>
        <w:rPr>
          <w:rFonts w:ascii="Times New Roman" w:cs="Times New Roman" w:eastAsia="Times New Roman" w:hAnsi="Times New Roman"/>
          <w:sz w:val="18"/>
          <w:szCs w:val="18"/>
          <w:color w:val="auto"/>
        </w:rPr>
        <w:t>”), the Annual Fee shall be increased by an amount equal to the CPI Adjustment Rate. As used herein, the “</w:t>
      </w:r>
      <w:r>
        <w:rPr>
          <w:rFonts w:ascii="Times New Roman" w:cs="Times New Roman" w:eastAsia="Times New Roman" w:hAnsi="Times New Roman"/>
          <w:sz w:val="18"/>
          <w:szCs w:val="18"/>
          <w:b w:val="1"/>
          <w:bCs w:val="1"/>
          <w:color w:val="auto"/>
        </w:rPr>
        <w:t>CPI Adjustment Rate</w:t>
      </w:r>
      <w:r>
        <w:rPr>
          <w:rFonts w:ascii="Times New Roman" w:cs="Times New Roman" w:eastAsia="Times New Roman" w:hAnsi="Times New Roman"/>
          <w:sz w:val="18"/>
          <w:szCs w:val="18"/>
          <w:color w:val="auto"/>
        </w:rPr>
        <w:t>” shall equal the number that is two times the Published CPI Rate (as defined below). For example, for calendar year 2027, if the applicable Published CPI Rate is 2.4%, the CPI Adjustment Rate shall be 4.8% and the Annual Fee for 2027 shall be increased by an amount equal to $288,000, resulting in an Annual Fee of $6,288,000.</w:t>
      </w:r>
    </w:p>
    <w:p>
      <w:pPr>
        <w:spacing w:after="0" w:line="176" w:lineRule="exact"/>
        <w:rPr>
          <w:rFonts w:ascii="Times New Roman" w:cs="Times New Roman" w:eastAsia="Times New Roman" w:hAnsi="Times New Roman"/>
          <w:sz w:val="18"/>
          <w:szCs w:val="18"/>
          <w:color w:val="auto"/>
        </w:rPr>
      </w:pPr>
    </w:p>
    <w:p>
      <w:pPr>
        <w:ind w:left="-20" w:right="360" w:firstLine="656"/>
        <w:spacing w:after="0" w:line="262" w:lineRule="auto"/>
        <w:tabs>
          <w:tab w:leader="none" w:pos="873"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used herein, the “</w:t>
      </w:r>
      <w:r>
        <w:rPr>
          <w:rFonts w:ascii="Times New Roman" w:cs="Times New Roman" w:eastAsia="Times New Roman" w:hAnsi="Times New Roman"/>
          <w:sz w:val="18"/>
          <w:szCs w:val="18"/>
          <w:b w:val="1"/>
          <w:bCs w:val="1"/>
          <w:color w:val="auto"/>
        </w:rPr>
        <w:t>Published CPI Rate</w:t>
      </w:r>
      <w:r>
        <w:rPr>
          <w:rFonts w:ascii="Times New Roman" w:cs="Times New Roman" w:eastAsia="Times New Roman" w:hAnsi="Times New Roman"/>
          <w:sz w:val="18"/>
          <w:szCs w:val="18"/>
          <w:color w:val="auto"/>
        </w:rPr>
        <w:t>” means the year-over-year percentage change in the Consumer Price Index for All Urban Consumers, All Items, U.S. City Average, Not Seasonally Adjusted (BLS series identifier: CUUR0000SA0), as published by the U.S. Bureau of Labor Statistics (the “</w:t>
      </w:r>
      <w:r>
        <w:rPr>
          <w:rFonts w:ascii="Times New Roman" w:cs="Times New Roman" w:eastAsia="Times New Roman" w:hAnsi="Times New Roman"/>
          <w:sz w:val="18"/>
          <w:szCs w:val="18"/>
          <w:b w:val="1"/>
          <w:bCs w:val="1"/>
          <w:color w:val="auto"/>
        </w:rPr>
        <w:t>BLS</w:t>
      </w:r>
      <w:r>
        <w:rPr>
          <w:rFonts w:ascii="Times New Roman" w:cs="Times New Roman" w:eastAsia="Times New Roman" w:hAnsi="Times New Roman"/>
          <w:sz w:val="18"/>
          <w:szCs w:val="18"/>
          <w:color w:val="auto"/>
        </w:rPr>
        <w:t>”) for the month of December immediately preceding the applicable Adjustment Date. If the Published CPI Rate is not publicly available by February 1 for any given calendar year, the Parties shall use the most recently published monthly rate available as of that date.</w:t>
      </w:r>
    </w:p>
    <w:p>
      <w:pPr>
        <w:spacing w:after="0" w:line="180" w:lineRule="exact"/>
        <w:rPr>
          <w:rFonts w:ascii="Times New Roman" w:cs="Times New Roman" w:eastAsia="Times New Roman" w:hAnsi="Times New Roman"/>
          <w:sz w:val="18"/>
          <w:szCs w:val="18"/>
          <w:color w:val="auto"/>
        </w:rPr>
      </w:pPr>
    </w:p>
    <w:p>
      <w:pPr>
        <w:ind w:left="-20" w:right="20" w:firstLine="656"/>
        <w:spacing w:after="0" w:line="254" w:lineRule="auto"/>
        <w:tabs>
          <w:tab w:leader="none" w:pos="883"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February 15 following each Adjustment Date, Licensor shall notify Licensee of (i) the applicable Published CPI Rate, (ii) the resulting CPI Adjustment Rate, and (iii) the adjusted Annual Fee, which shall apply retroactively to such Adjustment Date. Licensee shall have ten (10) days following receipt of Licensor’s notice to object to such adjusted Annual Fee in writing (such objection, an “</w:t>
      </w:r>
      <w:r>
        <w:rPr>
          <w:rFonts w:ascii="Times New Roman" w:cs="Times New Roman" w:eastAsia="Times New Roman" w:hAnsi="Times New Roman"/>
          <w:sz w:val="18"/>
          <w:szCs w:val="18"/>
          <w:b w:val="1"/>
          <w:bCs w:val="1"/>
          <w:color w:val="auto"/>
        </w:rPr>
        <w:t>Objection Notice</w:t>
      </w:r>
      <w:r>
        <w:rPr>
          <w:rFonts w:ascii="Times New Roman" w:cs="Times New Roman" w:eastAsia="Times New Roman" w:hAnsi="Times New Roman"/>
          <w:sz w:val="18"/>
          <w:szCs w:val="18"/>
          <w:color w:val="auto"/>
        </w:rPr>
        <w:t>”). If Licensee timely objects, the Parties shall negotiate in good faith to resolve the dispute. If Licensee and Licensor are unable to resolve such objection within sixty (60) days after Licensee’s delivery of an Objection Notice, the matter shall be referred to an impartial nationally recognized firm of independent certified public accountants, other than Licensee’s or Licensor’s accountants, appointed by mutual agreement of the Parties (the “</w:t>
      </w:r>
      <w:r>
        <w:rPr>
          <w:rFonts w:ascii="Times New Roman" w:cs="Times New Roman" w:eastAsia="Times New Roman" w:hAnsi="Times New Roman"/>
          <w:sz w:val="18"/>
          <w:szCs w:val="18"/>
          <w:b w:val="1"/>
          <w:bCs w:val="1"/>
          <w:color w:val="auto"/>
        </w:rPr>
        <w:t>Independent Accountant</w:t>
      </w:r>
      <w:r>
        <w:rPr>
          <w:rFonts w:ascii="Times New Roman" w:cs="Times New Roman" w:eastAsia="Times New Roman" w:hAnsi="Times New Roman"/>
          <w:sz w:val="18"/>
          <w:szCs w:val="18"/>
          <w:color w:val="auto"/>
        </w:rPr>
        <w:t xml:space="preserve">”), who, acting as experts and not arbitrators, shall calculate the Annual Fee pursuant to this </w:t>
      </w:r>
      <w:r>
        <w:rPr>
          <w:rFonts w:ascii="Times New Roman" w:cs="Times New Roman" w:eastAsia="Times New Roman" w:hAnsi="Times New Roman"/>
          <w:sz w:val="18"/>
          <w:szCs w:val="18"/>
          <w:b w:val="1"/>
          <w:bCs w:val="1"/>
          <w:color w:val="auto"/>
        </w:rPr>
        <w:t>Exhibit C</w:t>
      </w:r>
      <w:r>
        <w:rPr>
          <w:rFonts w:ascii="Times New Roman" w:cs="Times New Roman" w:eastAsia="Times New Roman" w:hAnsi="Times New Roman"/>
          <w:sz w:val="18"/>
          <w:szCs w:val="18"/>
          <w:color w:val="auto"/>
        </w:rPr>
        <w:t>. The determination of the Independent Accountant shall be final and binding on the Parties, and the fees and expenses of the Independent Accountant shall be borne equally by Licensor and Licensee. For the avoidance of doubt, during any dispute of the Annual Fee, the prior calendar year’s Annual Fee shall remain in effect until final resolution.</w:t>
      </w:r>
    </w:p>
    <w:p>
      <w:pPr>
        <w:spacing w:after="0" w:line="188" w:lineRule="exact"/>
        <w:rPr>
          <w:rFonts w:ascii="Times New Roman" w:cs="Times New Roman" w:eastAsia="Times New Roman" w:hAnsi="Times New Roman"/>
          <w:sz w:val="18"/>
          <w:szCs w:val="18"/>
          <w:color w:val="auto"/>
        </w:rPr>
      </w:pPr>
    </w:p>
    <w:p>
      <w:pPr>
        <w:ind w:left="-20" w:right="500" w:firstLine="656"/>
        <w:spacing w:after="0" w:line="282" w:lineRule="auto"/>
        <w:tabs>
          <w:tab w:leader="none" w:pos="873"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in no event shall (i) the CPI Adjustment Rate exceed 10.0% for any calendar year, or (ii) the Annual Fee decrease from one calendar year to the next, including due to a negative Published CPI Rate.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40" w:top="904" w:right="359" w:bottom="1440" w:gutter="0" w:footer="0" w:header="0"/>
        </w:sectPr>
      </w:pPr>
    </w:p>
    <w:bookmarkStart w:id="10" w:name="page11"/>
    <w:bookmarkEnd w:id="10"/>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2465070</wp:posOffset>
            </wp:positionH>
            <wp:positionV relativeFrom="paragraph">
              <wp:posOffset>156845</wp:posOffset>
            </wp:positionV>
            <wp:extent cx="2211705" cy="4972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211705" cy="497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RYTHM, Inc. Announces Amendments to License Agreements with Green Thumb Industries</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ROLLING MEADOWS, IL, April 1, 2026 (GLOBE NEWSWIRE) RYTHM, Inc. (Nasdaq: RYM) (“RYTHM” or the “Company”), America’s THC Company, today announced amendments to its existing trademark and recipe license agreements with an indirect wholly-owned subsidiary of Green Thumb Industries Inc. (“Green Thumb”).</w:t>
      </w:r>
    </w:p>
    <w:p>
      <w:pPr>
        <w:spacing w:after="0" w:line="176"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RYTHM and Green Thumb have amended their existing trademark and recipe license agreements for the use of brand intellectual property which includes RYTHM, incredibles, Beboe, Dogwalkers, Doctor Solomon’s, &amp;Shine, and Good Green. Effective April 1, 2026, Green Thumb will pay RYTHM an aggregate fixed annual cash fee of $70 million, subject to an annual increase equal to two times a Consumer Price Index-based escalator.</w:t>
      </w:r>
    </w:p>
    <w:p>
      <w:pPr>
        <w:spacing w:after="0" w:line="176"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“These amendments create a framework that strengthens our licensing arrangement with Green Thumb over the long term and supports RYTHM’s Nasdaq listing,” said Ben Kovler, Chairman and Interim Chief Executive Officer of RYTHM, Inc. “We have established predictable, long-term revenue in a way that is virtually unmatched in the THC space. As the regulatory and legal landscapes evolve, this structure provides our business and investors with clarity and stability that positions us well to maximize value for our shareholders.”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RYTHM, Inc.</w:t>
      </w:r>
    </w:p>
    <w:p>
      <w:pPr>
        <w:spacing w:after="0" w:line="22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RYTHM, Inc.’s portfolio of THC brands includes the most recognized and trusted names in the cannabis and hemp industries, including RYTHM, incredibles, Dogwalkers, Beboe, Señorita THC Margaritas, &amp;Shine, Doctor Solomon’s, and Good Green. With products available in thousands of physical locations and online, supported by an iconic lineup of brands rooted in quality and safety, RYTHM, Inc. is cementing its position as America’s THC Company. Through a focus on innovation, the Company is continually shaping THC experiences to meet the evolving preferences of consumers across the country. Learn more and explore the full brand portfolio at www.RYTHMinc.com.</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the Private Securities Litigation Reform Act of 1995 concerning RYTHM, Inc. and other matters. All statements that do not relate to matters of historical fact should be considered forward-looking statements, including statements regarding the expected benefits of the license agreement amendments, and the Company’s compliance with Nasdaq listing standards. In some cases, you can identify forward-looking statements by terms such as “may,” “will,” “should,” “expects,” “plans,” “anticipates,” “could,” “intends,” “targets,” “projects,” “contemplates,” “believes,” “estimates,” “predicts,” “potential” “maintain” or “continue” or the negative of these terms or other similar expressions. These statements involve known and unknown risks, uncertainties, and other important factors that could cause actual results to differ materially from those expressed or implied, including those described under ‘Risk Factors’ in the Company’s most recent Annual Report on Form 10-K and other filings with the Securities and Exchange Commission (“SEC”), which can be obtained on the SEC website at www.sec.gov, including risks related to federal and state cannabis regulation, the Company’s relationship with Green Thumb, and general economic conditions. Except as required by applicable law, we do not plan to publicly update or revise any forward-looking statements, whether as a result of any new information, future events or otherwise. You are advised, however, to consult any further disclosures we make on related subjects in our public announcements and filings with the SEC.</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IR@RYTHMinc.com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Media@RYTHMinc.com</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1"/>
      <w:numFmt w:val="decimal"/>
      <w:start w:val="104"/>
    </w:lvl>
  </w:abstractNum>
  <w:abstractNum w:abstractNumId="2">
    <w:nsid w:val="2EB141F2"/>
    <w:multiLevelType w:val="hybridMultilevel"/>
    <w:lvl w:ilvl="0">
      <w:lvlJc w:val="left"/>
      <w:lvlText w:val="%1."/>
      <w:numFmt w:val="decimal"/>
      <w:start w:val="1"/>
    </w:lvl>
  </w:abstractNum>
  <w:abstractNum w:abstractNumId="3">
    <w:nsid w:val="41B71EFB"/>
    <w:multiLevelType w:val="hybridMultilevel"/>
    <w:lvl w:ilvl="0">
      <w:lvlJc w:val="left"/>
      <w:lvlText w:val="%1"/>
      <w:numFmt w:val="decimal"/>
      <w:start w:val="1"/>
    </w:lvl>
    <w:lvl w:ilvl="1">
      <w:lvlJc w:val="left"/>
      <w:lvlText w:val="(%2)"/>
      <w:numFmt w:val="lowerLetter"/>
      <w:start w:val="1"/>
    </w:lvl>
  </w:abstractNum>
  <w:abstractNum w:abstractNumId="4">
    <w:nsid w:val="79E2A9E3"/>
    <w:multiLevelType w:val="hybridMultilevel"/>
    <w:lvl w:ilvl="0">
      <w:lvlJc w:val="left"/>
      <w:lvlText w:val="%1."/>
      <w:numFmt w:val="decimal"/>
      <w:start w:val="2"/>
    </w:lvl>
    <w:lvl w:ilvl="1">
      <w:lvlJc w:val="left"/>
      <w:lvlText w:val="%2"/>
      <w:numFmt w:val="lowerLetter"/>
      <w:start w:val="1"/>
    </w:lvl>
  </w:abstractNum>
  <w:abstractNum w:abstractNumId="5">
    <w:nsid w:val="7545E146"/>
    <w:multiLevelType w:val="hybridMultilevel"/>
    <w:lvl w:ilvl="0">
      <w:lvlJc w:val="left"/>
      <w:lvlText w:val="(%1)"/>
      <w:numFmt w:val="lowerLetter"/>
      <w:start w:val="1"/>
    </w:lvl>
  </w:abstractNum>
  <w:abstractNum w:abstractNumId="6">
    <w:nsid w:val="515F007C"/>
    <w:multiLevelType w:val="hybridMultilevel"/>
    <w:lvl w:ilvl="0">
      <w:lvlJc w:val="left"/>
      <w:lvlText w:val="%1."/>
      <w:numFmt w:val="decimal"/>
      <w:start w:val="1"/>
    </w:lvl>
  </w:abstractNum>
  <w:abstractNum w:abstractNumId="7">
    <w:nsid w:val="5BD062C2"/>
    <w:multiLevelType w:val="hybridMultilevel"/>
    <w:lvl w:ilvl="0">
      <w:lvlJc w:val="left"/>
      <w:lvlText w:val="%1"/>
      <w:numFmt w:val="decimal"/>
      <w:start w:val="1"/>
    </w:lvl>
    <w:lvl w:ilvl="1">
      <w:lvlJc w:val="left"/>
      <w:lvlText w:val="(%2)"/>
      <w:numFmt w:val="lowerLetter"/>
      <w:start w:val="1"/>
    </w:lvl>
  </w:abstractNum>
  <w:abstractNum w:abstractNumId="8">
    <w:nsid w:val="12200854"/>
    <w:multiLevelType w:val="hybridMultilevel"/>
    <w:lvl w:ilvl="0">
      <w:lvlJc w:val="left"/>
      <w:lvlText w:val="%1."/>
      <w:numFmt w:val="decimal"/>
      <w:start w:val="2"/>
    </w:lvl>
    <w:lvl w:ilvl="1">
      <w:lvlJc w:val="left"/>
      <w:lvlText w:val="%2"/>
      <w:numFmt w:val="lowerLetter"/>
      <w:start w:val="1"/>
    </w:lvl>
  </w:abstractNum>
  <w:abstractNum w:abstractNumId="9">
    <w:nsid w:val="4DB127F8"/>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2026-04-01T06:06:56Z</dcterms:created>
  <dcterms:modified xsi:type="dcterms:W3CDTF">2026-04-01T06:06:56Z</dcterms:modified>
</cp:coreProperties>
</file>