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6123-nt10k_agrifycorp.htm"/>
      <w:bookmarkStart w:id="1" w:name="ksea176123nt10k_agrifycorp"/>
      <w:bookmarkEnd w:id="0"/>
      <w:bookmarkEnd w:id="1"/>
      <w:r>
        <w:rPr>
          <w:bdr w:val="single" w:sz="16" w:space="1" w:color="000000"/>
        </w:rPr>
        <w:t> </w:t>
      </w:r>
    </w:p>
    <w:p>
      <w:pPr>
        <w:pStyle w:val="TextBody"/>
        <w:rPr/>
      </w:pPr>
      <w:r>
        <w:rPr/>
        <w:t> </w:t>
      </w:r>
    </w:p>
    <w:tbl>
      <w:tblPr>
        <w:tblW w:w="5785" w:type="dxa"/>
        <w:jc w:val="left"/>
        <w:tblInd w:w="0" w:type="dxa"/>
        <w:tblCellMar>
          <w:top w:w="0" w:type="dxa"/>
          <w:left w:w="0" w:type="dxa"/>
          <w:bottom w:w="0" w:type="dxa"/>
          <w:right w:w="0" w:type="dxa"/>
        </w:tblCellMar>
      </w:tblPr>
      <w:tblGrid>
        <w:gridCol w:w="75"/>
        <w:gridCol w:w="4130"/>
        <w:gridCol w:w="1505"/>
        <w:gridCol w:w="75"/>
      </w:tblGrid>
      <w:tr>
        <w:trPr/>
        <w:tc>
          <w:tcPr>
            <w:tcW w:w="75" w:type="dxa"/>
            <w:tcBorders/>
            <w:shd w:fill="auto" w:val="clear"/>
            <w:vAlign w:val="center"/>
          </w:tcPr>
          <w:p>
            <w:pPr>
              <w:pStyle w:val="TableContents"/>
              <w:spacing w:before="0" w:after="283"/>
              <w:rPr/>
            </w:pPr>
            <w:r>
              <w:rPr/>
              <w:t> </w:t>
            </w:r>
          </w:p>
        </w:tc>
        <w:tc>
          <w:tcPr>
            <w:tcW w:w="4130" w:type="dxa"/>
            <w:tcBorders/>
            <w:shd w:fill="auto" w:val="clear"/>
            <w:vAlign w:val="center"/>
          </w:tcPr>
          <w:p>
            <w:pPr>
              <w:pStyle w:val="TableContents"/>
              <w:spacing w:before="0" w:after="283"/>
              <w:jc w:val="center"/>
              <w:rPr>
                <w:b/>
                <w:sz w:val="20"/>
              </w:rPr>
            </w:pPr>
            <w:r>
              <w:rPr>
                <w:b/>
                <w:sz w:val="20"/>
              </w:rPr>
              <w:t>UNITED STATES</w:t>
            </w:r>
          </w:p>
        </w:tc>
        <w:tc>
          <w:tcPr>
            <w:tcW w:w="15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30" w:type="dxa"/>
            <w:tcBorders/>
            <w:shd w:fill="auto" w:val="clear"/>
            <w:vAlign w:val="center"/>
          </w:tcPr>
          <w:p>
            <w:pPr>
              <w:pStyle w:val="TableContents"/>
              <w:spacing w:before="0" w:after="283"/>
              <w:jc w:val="center"/>
              <w:rPr>
                <w:b/>
                <w:sz w:val="20"/>
              </w:rPr>
            </w:pPr>
            <w:r>
              <w:rPr>
                <w:b/>
                <w:sz w:val="20"/>
              </w:rPr>
              <w:t>SECURITIES AND EXCHANGE COMMISSION</w:t>
            </w:r>
          </w:p>
        </w:tc>
        <w:tc>
          <w:tcPr>
            <w:tcW w:w="1505" w:type="dxa"/>
            <w:tcBorders>
              <w:top w:val="single" w:sz="12" w:space="0" w:color="000000"/>
              <w:left w:val="single" w:sz="12" w:space="0" w:color="000000"/>
              <w:right w:val="single" w:sz="12" w:space="0" w:color="000000"/>
            </w:tcBorders>
            <w:shd w:fill="auto" w:val="clear"/>
            <w:tcMar>
              <w:top w:w="28" w:type="dxa"/>
              <w:left w:w="28" w:type="dxa"/>
              <w:right w:w="28" w:type="dxa"/>
            </w:tcMar>
            <w:vAlign w:val="center"/>
          </w:tcPr>
          <w:p>
            <w:pPr>
              <w:pStyle w:val="TableContents"/>
              <w:spacing w:before="0" w:after="283"/>
              <w:jc w:val="center"/>
              <w:rPr>
                <w:b/>
                <w:sz w:val="20"/>
              </w:rPr>
            </w:pPr>
            <w:r>
              <w:rPr>
                <w:b/>
                <w:sz w:val="20"/>
              </w:rPr>
              <w:t>SEC File Number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30" w:type="dxa"/>
            <w:tcBorders/>
            <w:shd w:fill="auto" w:val="clear"/>
            <w:vAlign w:val="center"/>
          </w:tcPr>
          <w:p>
            <w:pPr>
              <w:pStyle w:val="TableContents"/>
              <w:spacing w:before="0" w:after="283"/>
              <w:jc w:val="center"/>
              <w:rPr>
                <w:b/>
                <w:sz w:val="20"/>
              </w:rPr>
            </w:pPr>
            <w:r>
              <w:rPr>
                <w:b/>
                <w:sz w:val="20"/>
              </w:rPr>
              <w:t>Washington, D.C. 20549</w:t>
            </w:r>
          </w:p>
        </w:tc>
        <w:tc>
          <w:tcPr>
            <w:tcW w:w="1505" w:type="dxa"/>
            <w:tcBorders>
              <w:left w:val="single" w:sz="12" w:space="0" w:color="000000"/>
              <w:bottom w:val="single" w:sz="12" w:space="0" w:color="000000"/>
              <w:right w:val="single" w:sz="12" w:space="0" w:color="000000"/>
            </w:tcBorders>
            <w:shd w:fill="auto" w:val="clear"/>
            <w:tcMar>
              <w:left w:w="28" w:type="dxa"/>
              <w:bottom w:w="28" w:type="dxa"/>
              <w:right w:w="28" w:type="dxa"/>
            </w:tcMar>
            <w:vAlign w:val="center"/>
          </w:tcPr>
          <w:p>
            <w:pPr>
              <w:pStyle w:val="TableContents"/>
              <w:spacing w:before="0" w:after="283"/>
              <w:jc w:val="center"/>
              <w:rPr>
                <w:sz w:val="20"/>
              </w:rPr>
            </w:pPr>
            <w:r>
              <w:rPr>
                <w:sz w:val="20"/>
              </w:rPr>
              <w:t>001-39946</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4585" w:type="dxa"/>
        <w:jc w:val="left"/>
        <w:tblInd w:w="0" w:type="dxa"/>
        <w:tblCellMar>
          <w:top w:w="0" w:type="dxa"/>
          <w:left w:w="0" w:type="dxa"/>
          <w:bottom w:w="0" w:type="dxa"/>
          <w:right w:w="0" w:type="dxa"/>
        </w:tblCellMar>
      </w:tblPr>
      <w:tblGrid>
        <w:gridCol w:w="75"/>
        <w:gridCol w:w="3110"/>
        <w:gridCol w:w="1325"/>
        <w:gridCol w:w="75"/>
      </w:tblGrid>
      <w:tr>
        <w:trPr/>
        <w:tc>
          <w:tcPr>
            <w:tcW w:w="75"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jc w:val="center"/>
              <w:rPr/>
            </w:pPr>
            <w:r>
              <w:rPr/>
              <w:t> </w:t>
            </w:r>
          </w:p>
        </w:tc>
        <w:tc>
          <w:tcPr>
            <w:tcW w:w="1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jc w:val="center"/>
              <w:rPr>
                <w:b/>
              </w:rPr>
            </w:pPr>
            <w:r>
              <w:rPr>
                <w:b/>
              </w:rPr>
              <w:t>FORM 12b-25</w:t>
            </w:r>
          </w:p>
        </w:tc>
        <w:tc>
          <w:tcPr>
            <w:tcW w:w="1325" w:type="dxa"/>
            <w:vMerge w:val="restart"/>
            <w:tcBorders>
              <w:top w:val="single" w:sz="12" w:space="0" w:color="000000"/>
              <w:left w:val="single" w:sz="12" w:space="0" w:color="000000"/>
              <w:bottom w:val="single" w:sz="12" w:space="0" w:color="000000"/>
              <w:right w:val="single" w:sz="1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00853E206</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jc w:val="center"/>
              <w:rPr/>
            </w:pPr>
            <w:r>
              <w:rPr/>
              <w:t> </w:t>
            </w:r>
          </w:p>
        </w:tc>
        <w:tc>
          <w:tcPr>
            <w:tcW w:w="1325" w:type="dxa"/>
            <w:vMerge w:val="continue"/>
            <w:tcBorders>
              <w:top w:val="single" w:sz="12" w:space="0" w:color="000000"/>
              <w:left w:val="single" w:sz="12" w:space="0" w:color="000000"/>
              <w:bottom w:val="single" w:sz="12" w:space="0" w:color="000000"/>
              <w:right w:val="single" w:sz="12" w:space="0" w:color="000000"/>
            </w:tcBorders>
            <w:shd w:fill="auto" w:val="clear"/>
            <w:tcMar>
              <w:top w:w="28" w:type="dxa"/>
              <w:left w:w="28" w:type="dxa"/>
              <w:bottom w:w="28" w:type="dxa"/>
              <w:right w:w="28" w:type="dxa"/>
            </w:tcMar>
            <w:vAlign w:val="center"/>
          </w:tcPr>
          <w:p>
            <w:pPr>
              <w:pStyle w:val="Normal"/>
              <w:rPr/>
            </w:pPr>
            <w:r>
              <w:rPr/>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283"/>
              <w:jc w:val="center"/>
              <w:rPr>
                <w:b/>
                <w:sz w:val="20"/>
              </w:rPr>
            </w:pPr>
            <w:r>
              <w:rPr>
                <w:b/>
                <w:sz w:val="20"/>
              </w:rPr>
              <w:t>NOTIFICATION OF LATE FILING</w:t>
            </w:r>
          </w:p>
        </w:tc>
        <w:tc>
          <w:tcPr>
            <w:tcW w:w="1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9490" w:type="dxa"/>
        <w:jc w:val="left"/>
        <w:tblInd w:w="0" w:type="dxa"/>
        <w:tblCellMar>
          <w:top w:w="0" w:type="dxa"/>
          <w:left w:w="0" w:type="dxa"/>
          <w:bottom w:w="0" w:type="dxa"/>
          <w:right w:w="0" w:type="dxa"/>
        </w:tblCellMar>
      </w:tblPr>
      <w:tblGrid>
        <w:gridCol w:w="1040"/>
        <w:gridCol w:w="1160"/>
        <w:gridCol w:w="1130"/>
        <w:gridCol w:w="1160"/>
        <w:gridCol w:w="1160"/>
        <w:gridCol w:w="1160"/>
        <w:gridCol w:w="1340"/>
        <w:gridCol w:w="1340"/>
      </w:tblGrid>
      <w:tr>
        <w:trPr/>
        <w:tc>
          <w:tcPr>
            <w:tcW w:w="1040" w:type="dxa"/>
            <w:tcBorders/>
            <w:shd w:fill="auto" w:val="clear"/>
            <w:vAlign w:val="center"/>
          </w:tcPr>
          <w:p>
            <w:pPr>
              <w:pStyle w:val="TableContents"/>
              <w:spacing w:before="0" w:after="283"/>
              <w:rPr>
                <w:i/>
                <w:sz w:val="20"/>
              </w:rPr>
            </w:pPr>
            <w:r>
              <w:rPr>
                <w:i/>
                <w:sz w:val="20"/>
              </w:rPr>
              <w:t>(Check One)</w:t>
            </w:r>
          </w:p>
        </w:tc>
        <w:tc>
          <w:tcPr>
            <w:tcW w:w="1160" w:type="dxa"/>
            <w:tcBorders/>
            <w:shd w:fill="auto" w:val="clear"/>
            <w:vAlign w:val="center"/>
          </w:tcPr>
          <w:p>
            <w:pPr>
              <w:pStyle w:val="TableContents"/>
              <w:spacing w:before="0" w:after="283"/>
              <w:rPr/>
            </w:pPr>
            <w:r>
              <w:rPr/>
              <w:t xml:space="preserve">☒ </w:t>
            </w:r>
            <w:r>
              <w:rPr>
                <w:sz w:val="20"/>
              </w:rPr>
              <w:t>Form 10-K</w:t>
            </w:r>
          </w:p>
        </w:tc>
        <w:tc>
          <w:tcPr>
            <w:tcW w:w="1130" w:type="dxa"/>
            <w:tcBorders/>
            <w:shd w:fill="auto" w:val="clear"/>
            <w:vAlign w:val="center"/>
          </w:tcPr>
          <w:p>
            <w:pPr>
              <w:pStyle w:val="TableContents"/>
              <w:spacing w:before="0" w:after="283"/>
              <w:rPr/>
            </w:pPr>
            <w:r>
              <w:rPr/>
              <w:t xml:space="preserve">☐ </w:t>
            </w:r>
            <w:r>
              <w:rPr>
                <w:sz w:val="20"/>
              </w:rPr>
              <w:t>Form 20-F</w:t>
            </w:r>
          </w:p>
        </w:tc>
        <w:tc>
          <w:tcPr>
            <w:tcW w:w="1160" w:type="dxa"/>
            <w:tcBorders/>
            <w:shd w:fill="auto" w:val="clear"/>
            <w:vAlign w:val="center"/>
          </w:tcPr>
          <w:p>
            <w:pPr>
              <w:pStyle w:val="TableContents"/>
              <w:spacing w:before="0" w:after="283"/>
              <w:rPr/>
            </w:pPr>
            <w:r>
              <w:rPr/>
              <w:t xml:space="preserve">☐ </w:t>
            </w:r>
            <w:r>
              <w:rPr>
                <w:sz w:val="20"/>
              </w:rPr>
              <w:t>Form 11-K</w:t>
            </w:r>
          </w:p>
        </w:tc>
        <w:tc>
          <w:tcPr>
            <w:tcW w:w="1160" w:type="dxa"/>
            <w:tcBorders/>
            <w:shd w:fill="auto" w:val="clear"/>
            <w:vAlign w:val="center"/>
          </w:tcPr>
          <w:p>
            <w:pPr>
              <w:pStyle w:val="TableContents"/>
              <w:spacing w:before="0" w:after="283"/>
              <w:rPr/>
            </w:pPr>
            <w:r>
              <w:rPr/>
              <w:t xml:space="preserve">☐ </w:t>
            </w:r>
            <w:r>
              <w:rPr>
                <w:sz w:val="20"/>
              </w:rPr>
              <w:t>Form 10-Q</w:t>
            </w:r>
          </w:p>
        </w:tc>
        <w:tc>
          <w:tcPr>
            <w:tcW w:w="1160" w:type="dxa"/>
            <w:tcBorders/>
            <w:shd w:fill="auto" w:val="clear"/>
            <w:vAlign w:val="center"/>
          </w:tcPr>
          <w:p>
            <w:pPr>
              <w:pStyle w:val="TableContents"/>
              <w:spacing w:before="0" w:after="283"/>
              <w:rPr/>
            </w:pPr>
            <w:r>
              <w:rPr/>
              <w:t xml:space="preserve">☐ </w:t>
            </w:r>
            <w:r>
              <w:rPr>
                <w:sz w:val="20"/>
              </w:rPr>
              <w:t>Form 10-D</w:t>
            </w:r>
          </w:p>
        </w:tc>
        <w:tc>
          <w:tcPr>
            <w:tcW w:w="1340" w:type="dxa"/>
            <w:tcBorders/>
            <w:shd w:fill="auto" w:val="clear"/>
            <w:vAlign w:val="center"/>
          </w:tcPr>
          <w:p>
            <w:pPr>
              <w:pStyle w:val="TableContents"/>
              <w:spacing w:before="0" w:after="283"/>
              <w:rPr/>
            </w:pPr>
            <w:r>
              <w:rPr/>
              <w:t xml:space="preserve">☐ </w:t>
            </w:r>
            <w:r>
              <w:rPr>
                <w:sz w:val="20"/>
              </w:rPr>
              <w:t>Form N-CEN</w:t>
            </w:r>
          </w:p>
        </w:tc>
        <w:tc>
          <w:tcPr>
            <w:tcW w:w="1340" w:type="dxa"/>
            <w:tcBorders/>
            <w:shd w:fill="auto" w:val="clear"/>
            <w:vAlign w:val="center"/>
          </w:tcPr>
          <w:p>
            <w:pPr>
              <w:pStyle w:val="TableContents"/>
              <w:spacing w:before="0" w:after="283"/>
              <w:rPr/>
            </w:pPr>
            <w:r>
              <w:rPr/>
              <w:t xml:space="preserve">☐ </w:t>
            </w:r>
            <w:r>
              <w:rPr>
                <w:sz w:val="20"/>
              </w:rPr>
              <w:t>Form N-CSR</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sz w:val="20"/>
              </w:rPr>
            </w:pPr>
            <w:r>
              <w:rPr>
                <w:sz w:val="20"/>
              </w:rPr>
              <w:t>For Period Ended:  </w:t>
            </w:r>
            <w:r>
              <w:rPr>
                <w:b/>
                <w:sz w:val="20"/>
              </w:rPr>
              <w:t>December 31, 2022</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pPr>
            <w:r>
              <w:rPr/>
              <w:t>☐     </w:t>
            </w:r>
            <w:r>
              <w:rPr>
                <w:sz w:val="20"/>
              </w:rPr>
              <w:t>Transition Report on Form 10-K</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pPr>
            <w:r>
              <w:rPr/>
              <w:t>☐     </w:t>
            </w:r>
            <w:r>
              <w:rPr>
                <w:sz w:val="20"/>
              </w:rPr>
              <w:t>Transition Report on Form 20-F</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pPr>
            <w:r>
              <w:rPr/>
              <w:t>☐     </w:t>
            </w:r>
            <w:r>
              <w:rPr>
                <w:sz w:val="20"/>
              </w:rPr>
              <w:t>Transition Report on Form 11-K</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pPr>
            <w:r>
              <w:rPr/>
              <w:t>☐     </w:t>
            </w:r>
            <w:r>
              <w:rPr>
                <w:sz w:val="20"/>
              </w:rPr>
              <w:t>Transition Report on Form 10-Q</w:t>
            </w:r>
          </w:p>
        </w:tc>
      </w:tr>
      <w:tr>
        <w:trPr/>
        <w:tc>
          <w:tcPr>
            <w:tcW w:w="1040" w:type="dxa"/>
            <w:tcBorders/>
            <w:shd w:fill="auto" w:val="clear"/>
            <w:vAlign w:val="center"/>
          </w:tcPr>
          <w:p>
            <w:pPr>
              <w:pStyle w:val="TableContents"/>
              <w:spacing w:before="0" w:after="283"/>
              <w:rPr/>
            </w:pPr>
            <w:r>
              <w:rPr/>
              <w:t> </w:t>
            </w:r>
          </w:p>
        </w:tc>
        <w:tc>
          <w:tcPr>
            <w:tcW w:w="8450" w:type="dxa"/>
            <w:gridSpan w:val="7"/>
            <w:tcBorders/>
            <w:shd w:fill="auto" w:val="clear"/>
            <w:vAlign w:val="center"/>
          </w:tcPr>
          <w:p>
            <w:pPr>
              <w:pStyle w:val="TableContents"/>
              <w:spacing w:before="0" w:after="283"/>
              <w:rPr>
                <w:sz w:val="20"/>
              </w:rPr>
            </w:pPr>
            <w:r>
              <w:rPr>
                <w:sz w:val="20"/>
              </w:rPr>
              <w:t>For the Transition Period Ended:</w:t>
            </w:r>
          </w:p>
        </w:tc>
      </w:tr>
      <w:tr>
        <w:trPr/>
        <w:tc>
          <w:tcPr>
            <w:tcW w:w="1040" w:type="dxa"/>
            <w:tcBorders/>
            <w:shd w:fill="auto" w:val="clear"/>
            <w:vAlign w:val="center"/>
          </w:tcPr>
          <w:p>
            <w:pPr>
              <w:pStyle w:val="TableContents"/>
              <w:spacing w:before="0" w:after="283"/>
              <w:rPr/>
            </w:pPr>
            <w:r>
              <w:rPr/>
              <w:t> </w:t>
            </w:r>
          </w:p>
        </w:tc>
        <w:tc>
          <w:tcPr>
            <w:tcW w:w="8450" w:type="dxa"/>
            <w:gridSpan w:val="7"/>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pPr>
      <w:r>
        <w:rPr/>
        <w:t> </w:t>
      </w:r>
    </w:p>
    <w:tbl>
      <w:tblPr>
        <w:tblW w:w="9155" w:type="dxa"/>
        <w:jc w:val="left"/>
        <w:tblInd w:w="0" w:type="dxa"/>
        <w:tblCellMar>
          <w:top w:w="28" w:type="dxa"/>
          <w:left w:w="57" w:type="dxa"/>
          <w:bottom w:w="28" w:type="dxa"/>
          <w:right w:w="57" w:type="dxa"/>
        </w:tblCellMar>
      </w:tblPr>
      <w:tblGrid>
        <w:gridCol w:w="9155"/>
      </w:tblGrid>
      <w:tr>
        <w:trPr/>
        <w:tc>
          <w:tcPr>
            <w:tcW w:w="91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w:t>
              <w:br/>
              <w:t>herein.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notification relates to a portion of the filing checked above, identify the Item(s) to which the notification relates: </w:t>
      </w:r>
      <w:r>
        <w:rPr>
          <w:rFonts w:ascii="Times New Roman;Times;Serif" w:hAnsi="Times New Roman;Times;Serif"/>
          <w:b/>
          <w:i w:val="false"/>
          <w:caps w:val="false"/>
          <w:smallCaps w:val="false"/>
          <w:sz w:val="20"/>
        </w:rPr>
        <w:t>N/A</w:t>
      </w:r>
    </w:p>
    <w:p>
      <w:pPr>
        <w:pStyle w:val="TextBody"/>
        <w:rPr/>
      </w:pPr>
      <w:r>
        <w:rPr/>
        <w:t> </w:t>
      </w:r>
    </w:p>
    <w:tbl>
      <w:tblPr>
        <w:tblW w:w="4925" w:type="dxa"/>
        <w:jc w:val="left"/>
        <w:tblInd w:w="0" w:type="dxa"/>
        <w:tblCellMar>
          <w:top w:w="28" w:type="dxa"/>
          <w:left w:w="0" w:type="dxa"/>
          <w:bottom w:w="0" w:type="dxa"/>
          <w:right w:w="0" w:type="dxa"/>
        </w:tblCellMar>
      </w:tblPr>
      <w:tblGrid>
        <w:gridCol w:w="4925"/>
      </w:tblGrid>
      <w:tr>
        <w:trPr/>
        <w:tc>
          <w:tcPr>
            <w:tcW w:w="4925" w:type="dxa"/>
            <w:tcBorders>
              <w:top w:val="single" w:sz="12" w:space="0" w:color="000000"/>
            </w:tcBorders>
            <w:shd w:fill="auto" w:val="clear"/>
            <w:vAlign w:val="center"/>
          </w:tcPr>
          <w:p>
            <w:pPr>
              <w:pStyle w:val="TableContents"/>
              <w:spacing w:before="0" w:after="283"/>
              <w:rPr/>
            </w:pPr>
            <w:r>
              <w:rPr/>
              <w:t> </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PART I — REGISTRANT INFORMATION</w:t>
            </w:r>
          </w:p>
        </w:tc>
      </w:tr>
      <w:tr>
        <w:trPr/>
        <w:tc>
          <w:tcPr>
            <w:tcW w:w="4925" w:type="dxa"/>
            <w:tcBorders/>
            <w:shd w:fill="auto" w:val="clear"/>
            <w:tcMar>
              <w:top w:w="0" w:type="dxa"/>
            </w:tcMar>
            <w:vAlign w:val="center"/>
          </w:tcPr>
          <w:p>
            <w:pPr>
              <w:pStyle w:val="TableContents"/>
              <w:spacing w:before="0" w:after="283"/>
              <w:rPr/>
            </w:pPr>
            <w:r>
              <w:rPr/>
              <w:t> </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Agrify Corporation</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Full Name of Registrant</w:t>
            </w:r>
          </w:p>
        </w:tc>
      </w:tr>
      <w:tr>
        <w:trPr/>
        <w:tc>
          <w:tcPr>
            <w:tcW w:w="4925" w:type="dxa"/>
            <w:tcBorders/>
            <w:shd w:fill="auto" w:val="clear"/>
            <w:tcMar>
              <w:top w:w="0" w:type="dxa"/>
            </w:tcMar>
            <w:vAlign w:val="center"/>
          </w:tcPr>
          <w:p>
            <w:pPr>
              <w:pStyle w:val="TableContents"/>
              <w:spacing w:before="0" w:after="283"/>
              <w:rPr/>
            </w:pPr>
            <w:r>
              <w:rPr/>
              <w:t> </w:t>
            </w:r>
          </w:p>
        </w:tc>
      </w:tr>
      <w:tr>
        <w:trPr/>
        <w:tc>
          <w:tcPr>
            <w:tcW w:w="4925" w:type="dxa"/>
            <w:tcBorders/>
            <w:shd w:fill="auto" w:val="clear"/>
            <w:tcMar>
              <w:top w:w="0" w:type="dxa"/>
            </w:tcMar>
            <w:vAlign w:val="center"/>
          </w:tcPr>
          <w:p>
            <w:pPr>
              <w:pStyle w:val="TableContents"/>
              <w:spacing w:before="0" w:after="283"/>
              <w:jc w:val="center"/>
              <w:rPr/>
            </w:pPr>
            <w:r>
              <w:rPr/>
              <w:t> </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Former Name if Applicable</w:t>
            </w:r>
          </w:p>
        </w:tc>
      </w:tr>
      <w:tr>
        <w:trPr/>
        <w:tc>
          <w:tcPr>
            <w:tcW w:w="4925" w:type="dxa"/>
            <w:tcBorders/>
            <w:shd w:fill="auto" w:val="clear"/>
            <w:tcMar>
              <w:top w:w="0" w:type="dxa"/>
            </w:tcMar>
            <w:vAlign w:val="center"/>
          </w:tcPr>
          <w:p>
            <w:pPr>
              <w:pStyle w:val="TableContents"/>
              <w:spacing w:before="0" w:after="283"/>
              <w:rPr/>
            </w:pPr>
            <w:r>
              <w:rPr/>
              <w:t> </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76 Treble Cove Road, Building 3</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Billerica, MA 01862</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 xml:space="preserve">Address of Principal Executive Office </w:t>
            </w:r>
            <w:r>
              <w:rPr>
                <w:b/>
                <w:i/>
                <w:sz w:val="20"/>
              </w:rPr>
              <w:t>(Street and Number)</w:t>
            </w:r>
          </w:p>
        </w:tc>
      </w:tr>
      <w:tr>
        <w:trPr/>
        <w:tc>
          <w:tcPr>
            <w:tcW w:w="4925" w:type="dxa"/>
            <w:tcBorders/>
            <w:shd w:fill="auto" w:val="clear"/>
            <w:tcMar>
              <w:top w:w="0" w:type="dxa"/>
            </w:tcMar>
            <w:vAlign w:val="center"/>
          </w:tcPr>
          <w:p>
            <w:pPr>
              <w:pStyle w:val="TableContents"/>
              <w:spacing w:before="0" w:after="283"/>
              <w:jc w:val="center"/>
              <w:rPr>
                <w:b/>
                <w:sz w:val="20"/>
              </w:rPr>
            </w:pPr>
            <w:r>
              <w:rPr>
                <w:b/>
                <w:sz w:val="20"/>
              </w:rPr>
              <w:t>City, State and 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28" w:type="dxa"/>
        </w:tblCellMar>
      </w:tblPr>
      <w:tblGrid>
        <w:gridCol w:w="245"/>
        <w:gridCol w:w="199"/>
        <w:gridCol w:w="9761"/>
      </w:tblGrid>
      <w:tr>
        <w:trPr/>
        <w:tc>
          <w:tcPr>
            <w:tcW w:w="245" w:type="dxa"/>
            <w:tcBorders>
              <w:right w:val="single" w:sz="8" w:space="0" w:color="000000"/>
            </w:tcBorders>
            <w:shd w:fill="auto" w:val="clear"/>
            <w:vAlign w:val="center"/>
          </w:tcPr>
          <w:p>
            <w:pPr>
              <w:pStyle w:val="TableContents"/>
              <w:spacing w:before="0" w:after="283"/>
              <w:jc w:val="center"/>
              <w:rPr/>
            </w:pPr>
            <w:r>
              <w:rPr/>
              <w:t> </w:t>
            </w:r>
          </w:p>
        </w:tc>
        <w:tc>
          <w:tcPr>
            <w:tcW w:w="199" w:type="dxa"/>
            <w:tcBorders/>
            <w:shd w:fill="auto" w:val="clear"/>
            <w:tcMar>
              <w:right w:w="0" w:type="dxa"/>
            </w:tcMar>
            <w:vAlign w:val="center"/>
          </w:tcPr>
          <w:p>
            <w:pPr>
              <w:pStyle w:val="TableContents"/>
              <w:spacing w:before="0" w:after="283"/>
              <w:jc w:val="center"/>
              <w:rPr>
                <w:sz w:val="20"/>
              </w:rPr>
            </w:pPr>
            <w:r>
              <w:rPr>
                <w:sz w:val="20"/>
              </w:rPr>
              <w:t>(a)</w:t>
            </w:r>
          </w:p>
        </w:tc>
        <w:tc>
          <w:tcPr>
            <w:tcW w:w="9761" w:type="dxa"/>
            <w:tcBorders/>
            <w:shd w:fill="auto" w:val="clear"/>
            <w:tcMar>
              <w:right w:w="0" w:type="dxa"/>
            </w:tcMar>
            <w:vAlign w:val="center"/>
          </w:tcPr>
          <w:p>
            <w:pPr>
              <w:pStyle w:val="TableContents"/>
              <w:spacing w:before="0" w:after="283"/>
              <w:jc w:val="both"/>
              <w:rPr>
                <w:sz w:val="20"/>
              </w:rPr>
            </w:pPr>
            <w:r>
              <w:rPr>
                <w:sz w:val="20"/>
              </w:rPr>
              <w:t>The reasons described in reasonable detail in Part III of this form could not be eliminated without unreasonable effort or expense;</w:t>
            </w:r>
          </w:p>
        </w:tc>
      </w:tr>
      <w:tr>
        <w:trPr/>
        <w:tc>
          <w:tcPr>
            <w:tcW w:w="245" w:type="dxa"/>
            <w:tcBorders>
              <w:right w:val="single" w:sz="8" w:space="0" w:color="000000"/>
            </w:tcBorders>
            <w:shd w:fill="auto" w:val="clear"/>
            <w:vAlign w:val="center"/>
          </w:tcPr>
          <w:p>
            <w:pPr>
              <w:pStyle w:val="TableContents"/>
              <w:spacing w:before="0" w:after="283"/>
              <w:jc w:val="both"/>
              <w:rPr/>
            </w:pPr>
            <w:r>
              <w:rPr/>
              <w:t>☒</w:t>
            </w:r>
          </w:p>
        </w:tc>
        <w:tc>
          <w:tcPr>
            <w:tcW w:w="199" w:type="dxa"/>
            <w:tcBorders/>
            <w:shd w:fill="auto" w:val="clear"/>
            <w:tcMar>
              <w:right w:w="0" w:type="dxa"/>
            </w:tcMar>
            <w:vAlign w:val="center"/>
          </w:tcPr>
          <w:p>
            <w:pPr>
              <w:pStyle w:val="TableContents"/>
              <w:spacing w:before="0" w:after="283"/>
              <w:jc w:val="center"/>
              <w:rPr>
                <w:sz w:val="20"/>
              </w:rPr>
            </w:pPr>
            <w:r>
              <w:rPr>
                <w:sz w:val="20"/>
              </w:rPr>
              <w:t>(b)</w:t>
            </w:r>
          </w:p>
        </w:tc>
        <w:tc>
          <w:tcPr>
            <w:tcW w:w="9761" w:type="dxa"/>
            <w:tcBorders/>
            <w:shd w:fill="auto" w:val="clear"/>
            <w:tcMar>
              <w:right w:w="0" w:type="dxa"/>
            </w:tcMar>
            <w:vAlign w:val="center"/>
          </w:tcPr>
          <w:p>
            <w:pPr>
              <w:pStyle w:val="TableContents"/>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shd w:fill="auto" w:val="clear"/>
            <w:vAlign w:val="center"/>
          </w:tcPr>
          <w:p>
            <w:pPr>
              <w:pStyle w:val="TableContents"/>
              <w:spacing w:before="0" w:after="283"/>
              <w:jc w:val="both"/>
              <w:rPr/>
            </w:pPr>
            <w:r>
              <w:rPr/>
              <w:t> </w:t>
            </w:r>
          </w:p>
        </w:tc>
        <w:tc>
          <w:tcPr>
            <w:tcW w:w="199" w:type="dxa"/>
            <w:tcBorders/>
            <w:shd w:fill="auto" w:val="clear"/>
            <w:tcMar>
              <w:right w:w="0" w:type="dxa"/>
            </w:tcMar>
            <w:vAlign w:val="center"/>
          </w:tcPr>
          <w:p>
            <w:pPr>
              <w:pStyle w:val="TableContents"/>
              <w:spacing w:before="0" w:after="283"/>
              <w:jc w:val="center"/>
              <w:rPr>
                <w:sz w:val="20"/>
              </w:rPr>
            </w:pPr>
            <w:r>
              <w:rPr>
                <w:sz w:val="20"/>
              </w:rPr>
              <w:t>(c)</w:t>
            </w:r>
          </w:p>
        </w:tc>
        <w:tc>
          <w:tcPr>
            <w:tcW w:w="9761" w:type="dxa"/>
            <w:tcBorders/>
            <w:shd w:fill="auto" w:val="clear"/>
            <w:tcMar>
              <w:right w:w="0" w:type="dxa"/>
            </w:tcMar>
            <w:vAlign w:val="center"/>
          </w:tcPr>
          <w:p>
            <w:pPr>
              <w:pStyle w:val="TableContents"/>
              <w:spacing w:before="0" w:after="283"/>
              <w:jc w:val="both"/>
              <w:rPr>
                <w:sz w:val="20"/>
              </w:rPr>
            </w:pPr>
            <w:r>
              <w:rPr>
                <w:sz w:val="20"/>
              </w:rPr>
              <w:t>The accountant’s statement or other exhibit required by Rule 12b-25(c) has been attached if applicable.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10-D, N-CEN, N-CSR or the transition report or portion thereof, could not be filed within the prescribed time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(the “Company”) is unable to file its Form 10-K for the year ended December 31, 2022 (the “Form 10-K”) in a timely manner without unreasonable effort and expense due to unanticipated delays experienced by the Company in completing its financial statements and other disclosures in the Form 10-K, primarily due to an ongoing assessment of the potential reclassification of warrants previously issued by the Company from a component equity to a derivative warrant liability, loans receivable reserve assumptions and inventory reserve assumptions. As a result, the Company is still in the process of compiling required information to complete the Form 10-K and requires additional time to complete its review of the financial statements for the year ended December 31, 2022 to be incorporated in the Form 10-K and to complete its assessment of the Company’s internal control over financial reporting. The Company presently anticipates that it will file the Form 10-K before the fifteenth calendar day following the prescribed due date.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spacing w:before="0" w:after="0"/>
        <w:ind w:left="0" w:right="0" w:hanging="0"/>
        <w:jc w:val="center"/>
        <w:rPr>
          <w:caps w:val="false"/>
          <w:smallCaps w:val="false"/>
        </w:rPr>
      </w:pPr>
      <w:r>
        <w:rPr>
          <w:caps w:val="false"/>
          <w:smallCaps w:val="false"/>
        </w:rPr>
        <w:t> </w:t>
      </w:r>
    </w:p>
    <w:tbl>
      <w:tblPr>
        <w:tblW w:w="6655" w:type="dxa"/>
        <w:jc w:val="left"/>
        <w:tblInd w:w="0" w:type="dxa"/>
        <w:tblCellMar>
          <w:top w:w="0" w:type="dxa"/>
          <w:left w:w="0" w:type="dxa"/>
          <w:bottom w:w="0" w:type="dxa"/>
          <w:right w:w="0" w:type="dxa"/>
        </w:tblCellMar>
      </w:tblPr>
      <w:tblGrid>
        <w:gridCol w:w="260"/>
        <w:gridCol w:w="6320"/>
        <w:gridCol w:w="75"/>
      </w:tblGrid>
      <w:tr>
        <w:trPr/>
        <w:tc>
          <w:tcPr>
            <w:tcW w:w="260" w:type="dxa"/>
            <w:tcBorders/>
            <w:shd w:fill="auto" w:val="clear"/>
            <w:vAlign w:val="center"/>
          </w:tcPr>
          <w:p>
            <w:pPr>
              <w:pStyle w:val="TableContents"/>
              <w:spacing w:before="0" w:after="283"/>
              <w:jc w:val="center"/>
              <w:rPr>
                <w:sz w:val="20"/>
              </w:rPr>
            </w:pPr>
            <w:r>
              <w:rPr>
                <w:sz w:val="20"/>
              </w:rPr>
              <w:t>(1)</w:t>
            </w:r>
          </w:p>
        </w:tc>
        <w:tc>
          <w:tcPr>
            <w:tcW w:w="6320" w:type="dxa"/>
            <w:tcBorders/>
            <w:shd w:fill="auto" w:val="clear"/>
            <w:vAlign w:val="center"/>
          </w:tcPr>
          <w:p>
            <w:pPr>
              <w:pStyle w:val="TableContents"/>
              <w:spacing w:before="0" w:after="283"/>
              <w:jc w:val="both"/>
              <w:rPr>
                <w:sz w:val="20"/>
              </w:rPr>
            </w:pPr>
            <w:r>
              <w:rPr>
                <w:sz w:val="20"/>
              </w:rPr>
              <w:t>Name and telephone number of person to contact in regard to this notification</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4515" w:type="dxa"/>
        <w:jc w:val="left"/>
        <w:tblInd w:w="0" w:type="dxa"/>
        <w:tblCellMar>
          <w:top w:w="0" w:type="dxa"/>
          <w:left w:w="0" w:type="dxa"/>
          <w:bottom w:w="28" w:type="dxa"/>
          <w:right w:w="0" w:type="dxa"/>
        </w:tblCellMar>
      </w:tblPr>
      <w:tblGrid>
        <w:gridCol w:w="1685"/>
        <w:gridCol w:w="60"/>
        <w:gridCol w:w="995"/>
        <w:gridCol w:w="60"/>
        <w:gridCol w:w="1715"/>
      </w:tblGrid>
      <w:tr>
        <w:trPr/>
        <w:tc>
          <w:tcPr>
            <w:tcW w:w="1685" w:type="dxa"/>
            <w:tcBorders>
              <w:bottom w:val="single" w:sz="12" w:space="0" w:color="000000"/>
            </w:tcBorders>
            <w:shd w:fill="auto" w:val="clear"/>
            <w:vAlign w:val="center"/>
          </w:tcPr>
          <w:p>
            <w:pPr>
              <w:pStyle w:val="TableContents"/>
              <w:spacing w:before="0" w:after="283"/>
              <w:jc w:val="center"/>
              <w:rPr>
                <w:b/>
                <w:sz w:val="20"/>
              </w:rPr>
            </w:pPr>
            <w:r>
              <w:rPr>
                <w:b/>
                <w:sz w:val="20"/>
              </w:rPr>
              <w:t>Raymond N. Chang</w:t>
            </w:r>
          </w:p>
        </w:tc>
        <w:tc>
          <w:tcPr>
            <w:tcW w:w="60" w:type="dxa"/>
            <w:tcBorders/>
            <w:shd w:fill="auto" w:val="clear"/>
            <w:tcMar>
              <w:bottom w:w="0" w:type="dxa"/>
            </w:tcMar>
            <w:vAlign w:val="center"/>
          </w:tcPr>
          <w:p>
            <w:pPr>
              <w:pStyle w:val="TableContents"/>
              <w:spacing w:before="0" w:after="283"/>
              <w:rPr/>
            </w:pPr>
            <w:r>
              <w:rPr/>
              <w:t> </w:t>
            </w:r>
          </w:p>
        </w:tc>
        <w:tc>
          <w:tcPr>
            <w:tcW w:w="995" w:type="dxa"/>
            <w:tcBorders>
              <w:bottom w:val="single" w:sz="12" w:space="0" w:color="000000"/>
            </w:tcBorders>
            <w:shd w:fill="auto" w:val="clear"/>
            <w:vAlign w:val="center"/>
          </w:tcPr>
          <w:p>
            <w:pPr>
              <w:pStyle w:val="TableContents"/>
              <w:spacing w:before="0" w:after="283"/>
              <w:jc w:val="center"/>
              <w:rPr>
                <w:b/>
                <w:sz w:val="20"/>
              </w:rPr>
            </w:pPr>
            <w:r>
              <w:rPr>
                <w:b/>
                <w:sz w:val="20"/>
              </w:rPr>
              <w:t>(617)</w:t>
            </w:r>
          </w:p>
        </w:tc>
        <w:tc>
          <w:tcPr>
            <w:tcW w:w="60" w:type="dxa"/>
            <w:tcBorders/>
            <w:shd w:fill="auto" w:val="clear"/>
            <w:tcMar>
              <w:bottom w:w="0" w:type="dxa"/>
            </w:tcMar>
            <w:vAlign w:val="center"/>
          </w:tcPr>
          <w:p>
            <w:pPr>
              <w:pStyle w:val="TableContents"/>
              <w:spacing w:before="0" w:after="283"/>
              <w:rPr/>
            </w:pPr>
            <w:r>
              <w:rPr/>
              <w:t> </w:t>
            </w:r>
          </w:p>
        </w:tc>
        <w:tc>
          <w:tcPr>
            <w:tcW w:w="1715" w:type="dxa"/>
            <w:tcBorders>
              <w:bottom w:val="single" w:sz="12" w:space="0" w:color="000000"/>
            </w:tcBorders>
            <w:shd w:fill="auto" w:val="clear"/>
            <w:vAlign w:val="center"/>
          </w:tcPr>
          <w:p>
            <w:pPr>
              <w:pStyle w:val="TableContents"/>
              <w:spacing w:before="0" w:after="283"/>
              <w:jc w:val="center"/>
              <w:rPr>
                <w:b/>
                <w:sz w:val="20"/>
              </w:rPr>
            </w:pPr>
            <w:r>
              <w:rPr>
                <w:b/>
                <w:sz w:val="20"/>
              </w:rPr>
              <w:t>788-9043</w:t>
            </w:r>
          </w:p>
        </w:tc>
      </w:tr>
      <w:tr>
        <w:trPr/>
        <w:tc>
          <w:tcPr>
            <w:tcW w:w="1685" w:type="dxa"/>
            <w:tcBorders/>
            <w:shd w:fill="auto" w:val="clear"/>
            <w:tcMar>
              <w:bottom w:w="0" w:type="dxa"/>
            </w:tcMar>
            <w:vAlign w:val="center"/>
          </w:tcPr>
          <w:p>
            <w:pPr>
              <w:pStyle w:val="TableContents"/>
              <w:spacing w:before="0" w:after="283"/>
              <w:jc w:val="center"/>
              <w:rPr>
                <w:sz w:val="20"/>
              </w:rPr>
            </w:pPr>
            <w:r>
              <w:rPr>
                <w:sz w:val="20"/>
              </w:rPr>
              <w:t>(Name)</w:t>
            </w:r>
          </w:p>
        </w:tc>
        <w:tc>
          <w:tcPr>
            <w:tcW w:w="60" w:type="dxa"/>
            <w:tcBorders/>
            <w:shd w:fill="auto" w:val="clear"/>
            <w:tcMar>
              <w:bottom w:w="0" w:type="dxa"/>
            </w:tcMar>
            <w:vAlign w:val="center"/>
          </w:tcPr>
          <w:p>
            <w:pPr>
              <w:pStyle w:val="TableContents"/>
              <w:spacing w:before="0" w:after="283"/>
              <w:rPr/>
            </w:pPr>
            <w:r>
              <w:rPr/>
              <w:t> </w:t>
            </w:r>
          </w:p>
        </w:tc>
        <w:tc>
          <w:tcPr>
            <w:tcW w:w="995" w:type="dxa"/>
            <w:tcBorders/>
            <w:shd w:fill="auto" w:val="clear"/>
            <w:tcMar>
              <w:bottom w:w="0" w:type="dxa"/>
            </w:tcMar>
            <w:vAlign w:val="center"/>
          </w:tcPr>
          <w:p>
            <w:pPr>
              <w:pStyle w:val="TableContents"/>
              <w:spacing w:before="0" w:after="283"/>
              <w:jc w:val="center"/>
              <w:rPr>
                <w:sz w:val="20"/>
              </w:rPr>
            </w:pPr>
            <w:r>
              <w:rPr>
                <w:sz w:val="20"/>
              </w:rPr>
              <w:t>(Area Code)</w:t>
            </w:r>
          </w:p>
        </w:tc>
        <w:tc>
          <w:tcPr>
            <w:tcW w:w="60" w:type="dxa"/>
            <w:tcBorders/>
            <w:shd w:fill="auto" w:val="clear"/>
            <w:tcMar>
              <w:bottom w:w="0" w:type="dxa"/>
            </w:tcMar>
            <w:vAlign w:val="center"/>
          </w:tcPr>
          <w:p>
            <w:pPr>
              <w:pStyle w:val="TableContents"/>
              <w:spacing w:before="0" w:after="283"/>
              <w:rPr/>
            </w:pPr>
            <w:r>
              <w:rPr/>
              <w:t> </w:t>
            </w:r>
          </w:p>
        </w:tc>
        <w:tc>
          <w:tcPr>
            <w:tcW w:w="1715" w:type="dxa"/>
            <w:tcBorders/>
            <w:shd w:fill="auto" w:val="clear"/>
            <w:tcMar>
              <w:bottom w:w="0" w:type="dxa"/>
            </w:tcMar>
            <w:vAlign w:val="center"/>
          </w:tcPr>
          <w:p>
            <w:pPr>
              <w:pStyle w:val="TableContents"/>
              <w:spacing w:before="0" w:after="283"/>
              <w:jc w:val="center"/>
              <w:rPr>
                <w:sz w:val="20"/>
              </w:rPr>
            </w:pPr>
            <w:r>
              <w:rPr>
                <w:sz w:val="20"/>
              </w:rPr>
              <w:t>(Telephone Number)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 Yes ☐ No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anticipated significant changes in its results of operations based on its preliminary unaudited results of operations are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anticipates revenue of approximately $58.3 million for the fiscal year ended December 31, 2022, compared to revenue of approximately $59.9 million for the fiscal year ended December 31, 2021. The decrease was primarily due to a reduction in facility build-out revenue resulting from the completion of a facility under the Company’s TTK Solutions, a reduction of revenue that was included in deferred revenue resulting from Bud &amp; Mary’s pending litigation and a decrease in cultivation products and service sales primarily due to migration to a VFU leasing model, and was partially offset by extraction solution sales.  The Company anticipates a net loss of approximately $184.0 million for the year ended December 31, 2022 (not including the aforementioned potential accounting adjustment for warrant liability, loans receivable reserves and inventory reserves) compared to a net loss of approximately $32.5 million for the fiscal year ended December 31, 2021.  The increase in net loss was primarily due to increased general and administrative expenses, an impairment of goodwill and intangible assets, loss on extinguishment of notes payable, and interest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results contained herein are materially correct; however, because review is ongoing, there can be no assurance that the financial and accounting information referred to in this filing will not change upon completion of the audit and filing of the Company’s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discussed in this Form 12b-25 constitute forward-looking statements within the meaning of the federal securities laws. All statements contained in this Form 12b-25 that do not relate to matters of historical fact should be considered forward-looking statements. These forward-looking statements are based on management’s current expectation and include, but are not limited to, statements regarding the Company’s beliefs and expectations relating to the filing of the Form 10-K and the results of the ongoing review.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not guarantees of future results and are subject to a number of risks and uncertainties, many of which are difficult to predict and beyond the Company’s control. Important factors that may cause actual results to differ materially from those in the forward-looking statements include, but are not limited to, a material delay in the Company’s financial reporting, including the possibility that the Company will not be able to file its Form 10-K within the fifteen-day extension permitted by the rules of the U.S. Securities and Exchange Commission, and the possibility that the ongoing audit may identify errors or control deficiencies in the Company’s accounting practices. The Company disclaims and does not undertake any obligation to update or revise any forward-looking statement in this report, except as required by applicable law or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Charter)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125" w:type="dxa"/>
        <w:jc w:val="left"/>
        <w:tblInd w:w="0" w:type="dxa"/>
        <w:tblCellMar>
          <w:top w:w="0" w:type="dxa"/>
          <w:left w:w="0" w:type="dxa"/>
          <w:bottom w:w="0" w:type="dxa"/>
          <w:right w:w="0" w:type="dxa"/>
        </w:tblCellMar>
      </w:tblPr>
      <w:tblGrid>
        <w:gridCol w:w="1805"/>
        <w:gridCol w:w="320"/>
        <w:gridCol w:w="2000"/>
      </w:tblGrid>
      <w:tr>
        <w:trPr/>
        <w:tc>
          <w:tcPr>
            <w:tcW w:w="1805" w:type="dxa"/>
            <w:tcBorders/>
            <w:shd w:fill="auto" w:val="clear"/>
            <w:vAlign w:val="center"/>
          </w:tcPr>
          <w:p>
            <w:pPr>
              <w:pStyle w:val="TableContents"/>
              <w:spacing w:before="0" w:after="283"/>
              <w:rPr>
                <w:sz w:val="20"/>
              </w:rPr>
            </w:pPr>
            <w:r>
              <w:rPr>
                <w:sz w:val="20"/>
              </w:rPr>
              <w:t>Date: March 31, 2023</w:t>
            </w:r>
          </w:p>
        </w:tc>
        <w:tc>
          <w:tcPr>
            <w:tcW w:w="320" w:type="dxa"/>
            <w:tcBorders/>
            <w:shd w:fill="auto" w:val="clear"/>
            <w:vAlign w:val="center"/>
          </w:tcPr>
          <w:p>
            <w:pPr>
              <w:pStyle w:val="TableContents"/>
              <w:spacing w:before="0" w:after="283"/>
              <w:rPr>
                <w:sz w:val="20"/>
              </w:rPr>
            </w:pPr>
            <w:r>
              <w:rPr>
                <w:sz w:val="20"/>
              </w:rPr>
              <w:t>By:</w:t>
            </w:r>
          </w:p>
        </w:tc>
        <w:tc>
          <w:tcPr>
            <w:tcW w:w="2000" w:type="dxa"/>
            <w:tcBorders>
              <w:bottom w:val="single" w:sz="12" w:space="0" w:color="000000"/>
            </w:tcBorders>
            <w:shd w:fill="auto" w:val="clear"/>
            <w:tcMar>
              <w:bottom w:w="28" w:type="dxa"/>
            </w:tcMar>
            <w:vAlign w:val="center"/>
          </w:tcPr>
          <w:p>
            <w:pPr>
              <w:pStyle w:val="TableContents"/>
              <w:spacing w:before="0" w:after="283"/>
              <w:rPr>
                <w:sz w:val="20"/>
              </w:rPr>
            </w:pPr>
            <w:r>
              <w:rPr>
                <w:sz w:val="20"/>
              </w:rPr>
              <w:t xml:space="preserve">/s/ </w:t>
            </w:r>
            <w:r>
              <w:rPr>
                <w:b/>
                <w:sz w:val="20"/>
              </w:rPr>
              <w:t>Raymond N. Chang</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sz w:val="20"/>
              </w:rPr>
            </w:pPr>
            <w:r>
              <w:rPr>
                <w:sz w:val="20"/>
              </w:rPr>
              <w:t>Raymond N. Chang</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sz w:val="20"/>
              </w:rPr>
            </w:pPr>
            <w:r>
              <w:rPr>
                <w:sz w:val="20"/>
              </w:rPr>
              <w:t xml:space="preserve">Chief Executive Officer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 MISSTATEMENTS OR OMISSIONS OF FACT CONSTITUTE FEDERAL CRIMINAL</w:t>
        <w:br/>
        <w:t>VIOLATIONS (SEE 18 U.S.C. 1001).</w:t>
      </w:r>
    </w:p>
    <w:p>
      <w:pPr>
        <w:pStyle w:val="TextBody"/>
        <w:spacing w:before="0" w:after="0"/>
        <w:jc w:val="center"/>
        <w:rPr>
          <w:caps w:val="false"/>
          <w:smallCaps w:val="false"/>
        </w:rPr>
      </w:pPr>
      <w:r>
        <w:rPr>
          <w:caps w:val="false"/>
          <w:smallCaps w:val="false"/>
        </w:rPr>
        <w:t> </w:t>
      </w:r>
    </w:p>
    <w:p>
      <w:pPr>
        <w:pStyle w:val="TextBody"/>
        <w:jc w:val="center"/>
        <w:rPr/>
      </w:pPr>
      <w:r>
        <w:rPr/>
        <w:t> </w:t>
      </w:r>
    </w:p>
    <w:p>
      <w:pPr>
        <w:pStyle w:val="TextBody"/>
        <w:jc w:val="center"/>
        <w:rPr/>
      </w:pPr>
      <w:r>
        <w:rPr/>
        <w:t>4</w:t>
      </w:r>
    </w:p>
    <w:p>
      <w:pPr>
        <w:pStyle w:val="TextBody"/>
        <w:spacing w:before="0" w:after="283"/>
        <w:rPr>
          <w:bdr w:val="single" w:sz="12" w:space="1" w:color="000000"/>
        </w:rPr>
      </w:pPr>
      <w:r>
        <w:rPr>
          <w:bdr w:val="single" w:sz="12"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1197</Words>
  <CharactersWithSpaces>7681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