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4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494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 2026</w:t>
            </w:r>
          </w:p>
        </w:tc>
        <w:tc>
          <w:tcPr>
            <w:tcW w:w="3240" w:type="dxa"/>
            <w:vAlign w:val="bottom"/>
          </w:tcPr>
          <w:p>
            <w:pPr>
              <w:spacing w:after="0"/>
              <w:rPr>
                <w:sz w:val="24"/>
                <w:szCs w:val="24"/>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324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52"/>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8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8000" w:type="dxa"/>
            <w:vAlign w:val="bottom"/>
            <w:gridSpan w:val="8"/>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2220 Hicks Road, Suite 210</w:t>
            </w:r>
          </w:p>
        </w:tc>
        <w:tc>
          <w:tcPr>
            <w:tcW w:w="3240" w:type="dxa"/>
            <w:vAlign w:val="bottom"/>
          </w:tcPr>
          <w:p>
            <w:pPr>
              <w:spacing w:after="0"/>
              <w:rPr>
                <w:sz w:val="24"/>
                <w:szCs w:val="24"/>
                <w:color w:val="auto"/>
              </w:rPr>
            </w:pPr>
          </w:p>
        </w:tc>
      </w:tr>
      <w:tr>
        <w:trPr>
          <w:trHeight w:val="245"/>
        </w:trPr>
        <w:tc>
          <w:tcPr>
            <w:tcW w:w="8000" w:type="dxa"/>
            <w:vAlign w:val="bottom"/>
            <w:gridSpan w:val="8"/>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Rolling Meadows, IL</w:t>
            </w:r>
          </w:p>
        </w:tc>
        <w:tc>
          <w:tcPr>
            <w:tcW w:w="32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5520" w:type="dxa"/>
            <w:vAlign w:val="bottom"/>
            <w:tcBorders>
              <w:top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22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RYTHM, Inc. (the “Company”) issued a press release announcing financial results for the quarter and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attached as Exhibit 99.1.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RYTHM, Inc. dated March 3, 2026</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 Reports Fourth Quarter and Full Year 2025 Results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ROLLING MEADOWS, IL, March 3, 2026 (GLOBE NEWSWIRE) RYTHM, Inc. (Nasdaq: RYM) (“RYTHM” or the “Company”), which delivers well-being to consumers through its portfolio of iconic brands and hemp-derived THC products including Señorita THC Margaritas, incredibles, and RYTHM Beverages, today announced financial results for the fourth quarter and full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fourth quarter ended December 31, 2025:</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$10.7 million, up 164% from $4.0 million in the prior quarter.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$8.0 million or 75% of revenue, up from $1.4 million or 34% of revenue in the prior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from continuing operations of $12.9 million, primarily driven by an $8.5 million non-cash impairment charge.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balance of $32.2 million.</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year end, the Company had approximately 2.1 million shares outstanding, as well as warrants convertible into 10.9 million shares, and 3.0 million shares issuable upon conversion of convertible notes (excluding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year ended December 31, 2025:</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portfolio of brand intellectual property including RYTHM, Dogwalkers, incredibles, Beboe, and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$7.8 million in licensing fees by licensing brands to cannabis operator Green Thumb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beverage retail footprint of over 6,000 locations across 18 states.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placement of Señorita THC Margaritas in over 800 Circle K stores as part of the largest U.S. convenience store rollout of hemp-derived THC beverages to date.</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Señorita THC Margaritas and RYTHM Beverages at Chicago’s United Center through a multi-year partnership, making the brands the first THC beverages available at a major U.S. arena.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“2025 was a transformational year for RYTHM, Inc., marked by a new name, a new ticker, and a new strategic direction as we expanded our role in the THC category, with RYTHM, Dogwalkers, and Señorita leading the way,” said Chairman and Interim CEO Ben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800"/>
        <w:spacing w:after="0" w:line="266" w:lineRule="auto"/>
        <w:rPr>
          <w:sz w:val="20"/>
          <w:szCs w:val="20"/>
          <w:color w:val="auto"/>
        </w:rPr>
      </w:pPr>
      <w:r>
        <w:rPr>
          <w:rFonts w:ascii="Times New Roman" w:cs="Times New Roman" w:eastAsia="Times New Roman" w:hAnsi="Times New Roman"/>
          <w:sz w:val="18"/>
          <w:szCs w:val="18"/>
          <w:color w:val="auto"/>
        </w:rPr>
        <w:t>“We exited the year with fourth quarter licensing revenue of $7.0 million, which was a key contributor to the Company’s total gross margins of approximately 75% for the quarter. The licensing revenue from our most recent brand acquisition began November 1, resulting in two months of contribution reflected in the fourth quarter.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“THC has faced persistent structural and regulatory headwinds, but consumer demand continues to rise. We believe consumers deserve access to safe, high-quality THC products where they already live, shop, and gather, and we have worked relentlessly to make that a reality. In a historic first, we launched a partnership with Chicago’s United Center, making Señorita and RYTHM the first THC beverages to be offered at a major U.S. arena. Bringing THC to the nation’s largest live arena is a powerful example of real progress with a world-class partner who recognizes evolving consumer demand.</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“Even as federal policy continues to lag consumer reality, we remain focused on providing consumers with iconic brands they trust. Our brands are performing extremely well across diverse U.S. markets at a time when THC consumption continues to grow and Americans just say no to alcohol. As the hemp and cannabis market continues to evolve globally, owning leading U.S. brands provides long-term strategic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RYTHM, Inc.’s portfolio of hemp-derived THC products delivers well-being to millions of Americans every year, and its brands are among the most recognized and trusted names in the cannabis and hemp industries, including RYTHM, incredibles, Dogwalkers, Beboe, Señorita THC Margaritas, &amp;Shine, Doctor Solomon’s and Good Green. RYTHM, Inc. products are rooted in quality, safety and innovation and are available in thousands of physical locations and online channels. The Company is deeply committed to shaping THC experiences that enhance the daily lives of American consumers. Learn more and explore the full brand portfolio at www.RYTHMinc.com.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RYTHM, Inc. and other matters. All statements contained in this press release that do not relate to matters of historical fact should be considered forward-looking statements including, without limitation, statements regarding future financial results, regulatory trends, potential annual licensing revenue, continued momentum for hemp-derived beverages, and potential trends in the hemp-derived beverage and alcohol markets.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the risk that Congress does not amend or repeal the pending federal prohibition on hemp-derived THC products prior to its November 2026 effective date as well as those described in our filings with the Securities and Exchange Commission (“SEC”), including under the caption “Risk Factors” in our most recent Annual Report on Form 10-K,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IR@RYTHMinc.com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Media@RYTHMinc.com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00" w:type="dxa"/>
            <w:vAlign w:val="bottom"/>
          </w:tcPr>
          <w:p>
            <w:pPr>
              <w:spacing w:after="0"/>
              <w:rPr>
                <w:sz w:val="18"/>
                <w:szCs w:val="18"/>
                <w:color w:val="auto"/>
              </w:rPr>
            </w:pPr>
          </w:p>
        </w:tc>
        <w:tc>
          <w:tcPr>
            <w:tcW w:w="244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244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17,283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7,093</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42,526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20,992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(18,158)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(34,740)</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(23,231)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(13,628)</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(34,740)</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(23,229)</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(13,628)</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(18,517)</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1,993,947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1,020,185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2,054,242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1,589,453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40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ind w:right="414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Unaudited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and related party prepaid license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equity</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0" w:lineRule="exact"/>
        <w:rPr>
          <w:sz w:val="20"/>
          <w:szCs w:val="20"/>
          <w:color w:val="auto"/>
        </w:rPr>
      </w:pPr>
    </w:p>
    <w:p>
      <w:pPr>
        <w:spacing w:after="0" w:line="349" w:lineRule="exact"/>
        <w:rPr>
          <w:sz w:val="20"/>
          <w:szCs w:val="20"/>
          <w:color w:val="auto"/>
        </w:rPr>
      </w:pPr>
    </w:p>
    <w:p>
      <w:pPr>
        <w:jc w:val="right"/>
        <w:ind w:right="3645"/>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3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29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27" w:lineRule="exact"/>
        <w:rPr>
          <w:sz w:val="20"/>
          <w:szCs w:val="20"/>
          <w:color w:val="auto"/>
        </w:rPr>
      </w:pPr>
    </w:p>
    <w:p>
      <w:pPr>
        <w:ind w:left="615" w:hanging="615"/>
        <w:spacing w:after="0"/>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32,218</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15,332</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9,713</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49,400</w:t>
      </w:r>
    </w:p>
    <w:p>
      <w:pPr>
        <w:spacing w:after="0" w:line="9" w:lineRule="exact"/>
        <w:rPr>
          <w:rFonts w:ascii="Times New Roman" w:cs="Times New Roman" w:eastAsia="Times New Roman" w:hAnsi="Times New Roman"/>
          <w:sz w:val="18"/>
          <w:szCs w:val="18"/>
          <w:color w:val="auto"/>
        </w:rPr>
      </w:pPr>
    </w:p>
    <w:p>
      <w:pPr>
        <w:ind w:left="9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58" w:lineRule="exact"/>
        <w:rPr>
          <w:sz w:val="20"/>
          <w:szCs w:val="20"/>
          <w:color w:val="auto"/>
        </w:rPr>
      </w:pPr>
    </w:p>
    <w:p>
      <w:pPr>
        <w:ind w:left="515" w:hanging="515"/>
        <w:spacing w:after="0"/>
        <w:tabs>
          <w:tab w:leader="none" w:pos="5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3" w:lineRule="exact"/>
        <w:rPr>
          <w:sz w:val="20"/>
          <w:szCs w:val="20"/>
          <w:color w:val="auto"/>
        </w:rPr>
      </w:pPr>
    </w:p>
    <w:p>
      <w:pPr>
        <w:ind w:left="615" w:hanging="615"/>
        <w:spacing w:after="0"/>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10,257</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3,621</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2,082</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697</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13,020</w:t>
      </w:r>
    </w:p>
    <w:p>
      <w:pPr>
        <w:spacing w:after="0" w:line="58" w:lineRule="exact"/>
        <w:rPr>
          <w:sz w:val="20"/>
          <w:szCs w:val="20"/>
          <w:color w:val="auto"/>
        </w:rPr>
      </w:pPr>
    </w:p>
    <w:p>
      <w:pPr>
        <w:ind w:left="515" w:hanging="515"/>
        <w:spacing w:after="0"/>
        <w:tabs>
          <w:tab w:leader="none" w:pos="5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5" w:space="720"/>
            <w:col w:w="1115"/>
          </w:cols>
          <w:pgMar w:left="320" w:top="33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0"/>
          <w:szCs w:val="20"/>
          <w:color w:val="auto"/>
        </w:rPr>
      </w:pPr>
    </w:p>
    <w:p>
      <w:pPr>
        <w:ind w:right="52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Unaudited Condensed Consolidated Statement of Cash Flows </w:t>
      </w:r>
      <w:r>
        <w:rPr>
          <w:rFonts w:ascii="Times New Roman" w:cs="Times New Roman" w:eastAsia="Times New Roman" w:hAnsi="Times New Roman"/>
          <w:sz w:val="18"/>
          <w:szCs w:val="18"/>
          <w:i w:val="1"/>
          <w:iCs w:val="1"/>
          <w:color w:val="auto"/>
        </w:rPr>
        <w:t>(Amounts Expressed in Thousands of United States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40" w:type="dxa"/>
            <w:vAlign w:val="bottom"/>
            <w:gridSpan w:val="3"/>
            <w:shd w:val="clear" w:color="auto" w:fill="CCEEFF"/>
          </w:tcPr>
          <w:p>
            <w:pPr>
              <w:ind w:left="4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(23,537)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464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8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2026-03-03T15:17:33Z</dcterms:created>
  <dcterms:modified xsi:type="dcterms:W3CDTF">2026-03-03T15:17:33Z</dcterms:modified>
</cp:coreProperties>
</file>