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RYTHM,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00853E404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 Kravitz</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325 West Huron Street, Suite 700,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60654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RSLGH,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shares of Common Stock purchased on May 27, 2025; (b) 7,300 shares of Common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Stock 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LLC ("RSLGH") and Double or Nothing LLC dated December 12, 2024,</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subject to a 4.99% beneficial ownership limitation; (f) 197,595 shares of Common Stock underlying warrants (the "Interest Warrants") issued as payments of interest pursuant to the November 2024 Note, the May 2025 Note and the August 2025 Note (as defined in Item 4),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a warrant (the "Conversion Warrant") issued on November 3, 2025 upon conversion of the November 2024 Note (as defined in Item 4), subject to a 49.99% beneficial ownership limitation, and (j) 141,343 shares of Common Stock underlying warrants issued pursuant to the Shared Services Agreement (as defined in Item 3)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ectPr>
          <w:pgSz w:w="11900" w:h="16838" w:orient="portrait"/>
          <w:cols w:equalWidth="0" w:num="1">
            <w:col w:w="11240"/>
          </w:cols>
          <w:pgMar w:left="320" w:top="126"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WELLNESS MGMT, LLC</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of Common Stock purchased on May 27, 2025; (b) 7,300 shares of Common Stock</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Double or Nothing LLC dated December 12, 2024, subject to a 4.99%</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beneficial ownership limitation; (f) 197,595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1" w:right="3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of Common Stock purchased on May 27, 2025; (b) 7,300 shares of Common Stock</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Double or Nothing LLC dated December 12, 2024, subject to a 4.99%</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beneficial ownership limitation; (f) 197,595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ectPr>
          <w:pgSz w:w="11900" w:h="16838"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2" w:right="339" w:bottom="0" w:gutter="0" w:footer="0" w:header="0"/>
          <w:type w:val="continuous"/>
        </w:sectPr>
      </w:pPr>
    </w:p>
    <w:bookmarkStart w:id="4" w:name="page5"/>
    <w:bookmarkEnd w:id="4"/>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VCP23, LLC</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of Common Stock purchased on May 27, 2025; (b) 7,300 shares of Common Stock purchased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on May 28, 2025; (c) 666,661 shares of Common Stock acquired on November 5, 2024; (d) 6,169,702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limitation; (e) 185,500 shares of Common Stock underlying warrants acquired pursuant to the warrant purchase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agreement between RSLGH and Double or Nothing LLC dated December 12, 2024, subject to a 4.99% beneficial</w:t>
      </w:r>
    </w:p>
    <w:p>
      <w:pPr>
        <w:spacing w:after="0" w:line="2" w:lineRule="exact"/>
        <w:rPr>
          <w:sz w:val="20"/>
          <w:szCs w:val="20"/>
          <w:color w:val="auto"/>
        </w:rPr>
      </w:pP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ownership limitation; (f) 197,595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GTI23, INC.</w:t>
      </w:r>
    </w:p>
    <w:p>
      <w:pPr>
        <w:sectPr>
          <w:pgSz w:w="11900" w:h="16871" w:orient="portrait"/>
          <w:cols w:equalWidth="0" w:num="1">
            <w:col w:w="11240"/>
          </w:cols>
          <w:pgMar w:left="320" w:top="112" w:right="339" w:bottom="0" w:gutter="0" w:footer="0" w:header="0"/>
        </w:sectPr>
      </w:pPr>
    </w:p>
    <w:bookmarkStart w:id="5" w:name="page6"/>
    <w:bookmarkEnd w:id="5"/>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shares of Common Stock purchased on May 27, 2025; (b) 7,300 shares of Common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Stock 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Double or Nothing LLC dated December 12, 2024, subject to a 4.99%</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beneficial ownership limitation; (f) 197,595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GREEN THUMB INDUSTRIES INC.</w:t>
      </w:r>
    </w:p>
    <w:p>
      <w:pPr>
        <w:sectPr>
          <w:pgSz w:w="11900" w:h="16838" w:orient="portrait"/>
          <w:cols w:equalWidth="0" w:num="1">
            <w:col w:w="11240"/>
          </w:cols>
          <w:pgMar w:left="320" w:top="111" w:right="339" w:bottom="0" w:gutter="0" w:footer="0" w:header="0"/>
        </w:sectPr>
      </w:pPr>
    </w:p>
    <w:bookmarkStart w:id="6" w:name="page7"/>
    <w:bookmarkEnd w:id="6"/>
    <w:p>
      <w:pPr>
        <w:spacing w:after="0" w:line="5"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BRITISH COLUMBIA, CANADA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13,290,387.00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of Common Stock purchased on May 27, 2025; (b) 7,300 shares of Common Stock purchased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on May 28, 2025; (c) 666,661 shares of Common Stock acquired on November 5, 2024; (d) 6,169,702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limitation; (e) 185,500 shares of Common Stock underlying warrants acquired pursuant to the warrant purchase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agreement between RSLGH and Double or Nothing LLC dated December 12, 2024, subject to a 4.99% beneficial</w:t>
      </w:r>
    </w:p>
    <w:p>
      <w:pPr>
        <w:spacing w:after="0" w:line="2" w:lineRule="exact"/>
        <w:rPr>
          <w:sz w:val="20"/>
          <w:szCs w:val="20"/>
          <w:color w:val="auto"/>
        </w:rPr>
      </w:pPr>
    </w:p>
    <w:p>
      <w:pPr>
        <w:jc w:val="both"/>
        <w:ind w:left="920"/>
        <w:spacing w:after="0" w:line="243" w:lineRule="auto"/>
        <w:rPr>
          <w:sz w:val="20"/>
          <w:szCs w:val="20"/>
          <w:color w:val="auto"/>
        </w:rPr>
      </w:pPr>
      <w:r>
        <w:rPr>
          <w:rFonts w:ascii="Times New Roman" w:cs="Times New Roman" w:eastAsia="Times New Roman" w:hAnsi="Times New Roman"/>
          <w:sz w:val="21"/>
          <w:szCs w:val="21"/>
          <w:color w:val="auto"/>
        </w:rPr>
        <w:t>ownership limitation; (f) 197,595 shares of Common Stock underlying the Interest Warrants, subject to a 49.99% beneficial ownership limitation; (g) 1,147,520 shares of Common Stock underlying the May 2025 Note (as defined in Item 4), subject to a 49.99% beneficial ownership limitation; (h) 1,526,769 shares of Common Stock underlying the August 2025 Note (as defined in item 4), subject to a 49.99% beneficial ownership limitation; (i) 3,222,997 shares of Common Stock underlying the Conversion Warrant, subject to a 49.99% beneficial ownership limitation, and (j) 141,343 shares of Common Stock underlying the SSA Warrants, subject to a 49.99% beneficial ownership limitation. The Conversion Warrant, the Interest Warrants,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RYTHM, Inc.</w:t>
      </w:r>
    </w:p>
    <w:p>
      <w:pPr>
        <w:sectPr>
          <w:pgSz w:w="11900" w:h="16844" w:orient="portrait"/>
          <w:cols w:equalWidth="0" w:num="1">
            <w:col w:w="11240"/>
          </w:cols>
          <w:pgMar w:left="320" w:top="111" w:right="339" w:bottom="0" w:gutter="0" w:footer="0" w:header="0"/>
        </w:sectPr>
      </w:pPr>
    </w:p>
    <w:bookmarkStart w:id="7" w:name="page8"/>
    <w:bookmarkEnd w:id="7"/>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2220 Hicks Road, Suite 210, Rolling Meadows, ILLINOIS , 60008.</w:t>
      </w:r>
    </w:p>
    <w:p>
      <w:pPr>
        <w:spacing w:after="0" w:line="44"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SCHEDULE  13D  -  EXPLANATORY  NOTE  This  Amendment  No.  8  to  the  statement  on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("Amendment No. 8") amends the Schedule 13D originally filed by the Reporting Persons (as defined herein)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November 13, 2024 and as amended by Amendment No. 1 thereto on December 16, 2024, Amendment No. 2 thereto on May 22, 2025, Amendment No. 3 thereto on May 29, 2025, Amendment No. 4 thereto on August 27, 2025, Amendment No. 5 thereto on October 20, 2025, Amendment No. 6 thereto on November 4, 2025, and Amendment No. 7 thereto on March 3, 2026 (as amended, the "Schedule 13D") and relates to the shares of common stock, par value $0.001 ("Common Stock") of RYTHM, Inc. (the "Company" or the "Issuer") beneficially owned by (1)</w:t>
      </w:r>
    </w:p>
    <w:p>
      <w:pPr>
        <w:spacing w:after="0" w:line="6"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In accordance with Rule 13d-2 of the Securities Exchange Act of 1934, as amended, except as specifically provided herein, this Amendment No. 8 does not modify any of the information previously reported on the Schedule 13D. Capitalized terms used but not otherwise defined in this Amendment No. 8 shall have the meanings ascribed to them in the Schedule 13D.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35"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(which shall be in addition to the information previously included in the Schedule 13D): In aggregate, the Reporting Persons are deemed to have voting and dispositive power over 13,290,387 shares of Common Stock of the Company. On March 9, 2026, the Company issued Interest Warrants exercisable for up to 78,459 shares of Common Stock as a payment of interest under the August 2025 Note. The number of shares of Common Stock underlying such Interest Warrants was determined pursuant to the terms of the August 2025 Note by dividing the dollar amount of the outstanding accrued but unpaid interest as of such date by the warrant conversion price as set forth in the August 2025 Note. As of the date of this filing, the Reporting Persons have no margin or other loans outstanding secured by Common Stock.</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(which shall be in addition to the information previously included in the Schedule 13D): --Warrant Issuance-- On March 9, 2026, the Company issued Interest Warrants exercisable for up to 78,459 shares of Common Stock as a payment of interest under the August 2025 Note. The number of shares of Common Stock underlying such Interest Warrants was determined pursuant to the terms of the August 2025 Note by dividing the dollar amount of the outstanding accrued but unpaid interest as of such date by the warrant conversion price as set forth in the August 2025 Note. --General-- 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aggregate percentage of Common Stock reported owned by each Reporting Person is based upon approximately</w:t>
      </w:r>
    </w:p>
    <w:p>
      <w:pPr>
        <w:spacing w:after="0" w:line="26" w:lineRule="exact"/>
        <w:rPr>
          <w:sz w:val="20"/>
          <w:szCs w:val="20"/>
          <w:color w:val="auto"/>
        </w:rPr>
      </w:pPr>
    </w:p>
    <w:p>
      <w:pPr>
        <w:ind w:left="920" w:right="300" w:hanging="912"/>
        <w:spacing w:after="0" w:line="237" w:lineRule="auto"/>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2,149,148 shares of Common Stock outstanding as of March 9, 2026. As of the date hereof, each Reporting Person may be deemed to beneficially own 49.99% of the outstanding shares of Common Stock of the Issuer.</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Wellness Mgmt is the sole member of RSLGH, For Success Holding is the sole member of Wellness Mgmt,</w:t>
      </w:r>
    </w:p>
    <w:p>
      <w:pPr>
        <w:sectPr>
          <w:pgSz w:w="11900" w:h="16838" w:orient="portrait"/>
          <w:cols w:equalWidth="0" w:num="1">
            <w:col w:w="11160"/>
          </w:cols>
          <w:pgMar w:left="360" w:top="111" w:right="379" w:bottom="0" w:gutter="0" w:footer="0" w:header="0"/>
        </w:sectPr>
      </w:pPr>
    </w:p>
    <w:bookmarkStart w:id="8" w:name="page9"/>
    <w:bookmarkEnd w:id="8"/>
    <w:p>
      <w:pPr>
        <w:spacing w:after="0" w:line="22" w:lineRule="exact"/>
        <w:rPr>
          <w:sz w:val="20"/>
          <w:szCs w:val="20"/>
          <w:color w:val="auto"/>
        </w:rPr>
      </w:pPr>
    </w:p>
    <w:p>
      <w:pPr>
        <w:ind w:left="920" w:right="200"/>
        <w:spacing w:after="0" w:line="254" w:lineRule="auto"/>
        <w:rPr>
          <w:sz w:val="20"/>
          <w:szCs w:val="20"/>
          <w:color w:val="auto"/>
        </w:rPr>
      </w:pPr>
      <w:r>
        <w:rPr>
          <w:rFonts w:ascii="Times New Roman" w:cs="Times New Roman" w:eastAsia="Times New Roman" w:hAnsi="Times New Roman"/>
          <w:sz w:val="21"/>
          <w:szCs w:val="21"/>
          <w:color w:val="auto"/>
        </w:rPr>
        <w:t>VCP23 is the sole shareholder of For Success Holding, GTI23 is the sole member of VCP23, and GTI is the sole shareholder of GTI23 (collectively, other than RSLGH, the "GTI Parties"), the GTI Parties are deemed to share the voting and dispositive power over the 13,290,387 shares of Common Stock directly beneficially owned by RSLGH.</w:t>
      </w:r>
    </w:p>
    <w:p>
      <w:pPr>
        <w:spacing w:after="0" w:line="17" w:lineRule="exact"/>
        <w:rPr>
          <w:sz w:val="20"/>
          <w:szCs w:val="20"/>
          <w:color w:val="auto"/>
        </w:rPr>
      </w:pPr>
    </w:p>
    <w:p>
      <w:pPr>
        <w:ind w:left="920" w:right="320" w:hanging="912"/>
        <w:spacing w:after="0" w:line="185" w:lineRule="auto"/>
        <w:tabs>
          <w:tab w:leader="none" w:pos="920" w:val="left"/>
        </w:tabs>
        <w:numPr>
          <w:ilvl w:val="0"/>
          <w:numId w:val="1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made any transactions in the Common Stock within the past 60 days other than as provided in Item 4 above, including Item 4 of the Schedule 13D, including all amendments thereto.</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60"/>
        <w:spacing w:after="0" w:line="256" w:lineRule="auto"/>
        <w:rPr>
          <w:sz w:val="20"/>
          <w:szCs w:val="20"/>
          <w:color w:val="auto"/>
        </w:rPr>
      </w:pPr>
      <w:r>
        <w:rPr>
          <w:rFonts w:ascii="Times New Roman" w:cs="Times New Roman" w:eastAsia="Times New Roman" w:hAnsi="Times New Roman"/>
          <w:sz w:val="22"/>
          <w:szCs w:val="22"/>
          <w:color w:val="auto"/>
        </w:rPr>
        <w:t>See the disclosure in Item 4 and Item 5 above and in the Schedule 13D, including all amendments thereto, which is incorporated into this Item 6, and see the joint filing agreement of the Reporting Persons.</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99.1 - Joint Filing Agreement -</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https://www.sec.gov/Archives/edgar/data/1800637/000121390025047011/ea024332701ex99-1_agrify.htm 99.2 -</w:t>
      </w:r>
    </w:p>
    <w:p>
      <w:pPr>
        <w:ind w:left="920"/>
        <w:spacing w:after="0" w:line="230" w:lineRule="auto"/>
        <w:rPr>
          <w:sz w:val="20"/>
          <w:szCs w:val="20"/>
          <w:color w:val="auto"/>
        </w:rPr>
      </w:pPr>
      <w:r>
        <w:rPr>
          <w:rFonts w:ascii="Times New Roman" w:cs="Times New Roman" w:eastAsia="Times New Roman" w:hAnsi="Times New Roman"/>
          <w:sz w:val="22"/>
          <w:szCs w:val="22"/>
          <w:color w:val="auto"/>
        </w:rPr>
        <w:t>Purchase Agreement dated November 5,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https://www.sec.gov/Archives/edgar/data/1800637/000121390024097577/ea022100501ex99-2_agrify.htm 99.3 -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Secured Convertible Note dated November 5,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https://www.sec.gov/Archives/edgar/data/1800637/000121390024094613/ea022010001ex4-1_agrify.htm 99.4 -</w:t>
      </w:r>
    </w:p>
    <w:p>
      <w:pPr>
        <w:ind w:left="920"/>
        <w:spacing w:after="0" w:line="230" w:lineRule="auto"/>
        <w:rPr>
          <w:sz w:val="20"/>
          <w:szCs w:val="20"/>
          <w:color w:val="auto"/>
        </w:rPr>
      </w:pPr>
      <w:r>
        <w:rPr>
          <w:rFonts w:ascii="Times New Roman" w:cs="Times New Roman" w:eastAsia="Times New Roman" w:hAnsi="Times New Roman"/>
          <w:sz w:val="22"/>
          <w:szCs w:val="22"/>
          <w:color w:val="auto"/>
        </w:rPr>
        <w:t>Purchase Agreement dated December 12,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https://www.sec.gov/Archives/edgar/data/1800637/000121390024109041/ea022484801ex99-4_agrify.htm 99.5 -</w:t>
      </w:r>
    </w:p>
    <w:p>
      <w:pPr>
        <w:ind w:left="920"/>
        <w:spacing w:after="0" w:line="230" w:lineRule="auto"/>
        <w:rPr>
          <w:sz w:val="20"/>
          <w:szCs w:val="20"/>
          <w:color w:val="auto"/>
        </w:rPr>
      </w:pPr>
      <w:r>
        <w:rPr>
          <w:rFonts w:ascii="Times New Roman" w:cs="Times New Roman" w:eastAsia="Times New Roman" w:hAnsi="Times New Roman"/>
          <w:sz w:val="22"/>
          <w:szCs w:val="22"/>
          <w:color w:val="auto"/>
        </w:rPr>
        <w:t>Form of Secured Convertible Note dated May 22, 2025 -</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https://www.sec.gov/Archives/edgar/data/1800637/000121390025046875/ea024318601ex4-2_agrify.htm 99.6 - Form</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Pre-Funded Common Stock Purchase Warrant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https://www.sec.gov/Archives/edgar/data/1800637/000121390025046875/ea024318601ex4-1_agrify.htm 99.7 -</w:t>
      </w:r>
    </w:p>
    <w:p>
      <w:pPr>
        <w:ind w:left="920"/>
        <w:spacing w:after="0" w:line="231" w:lineRule="auto"/>
        <w:rPr>
          <w:sz w:val="20"/>
          <w:szCs w:val="20"/>
          <w:color w:val="auto"/>
        </w:rPr>
      </w:pPr>
      <w:r>
        <w:rPr>
          <w:rFonts w:ascii="Times New Roman" w:cs="Times New Roman" w:eastAsia="Times New Roman" w:hAnsi="Times New Roman"/>
          <w:sz w:val="22"/>
          <w:szCs w:val="22"/>
          <w:color w:val="auto"/>
        </w:rPr>
        <w:t>Amendment and Waiver to Secured Convertible Note dated May 8, 2025 -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sec.gov/Archives/edgar/data/1800637/000121390025041201/ea023943501ex4-1_agrify.htm 99.8 - Second</w:t>
      </w:r>
    </w:p>
    <w:p>
      <w:pPr>
        <w:ind w:left="920"/>
        <w:spacing w:after="0" w:line="231" w:lineRule="auto"/>
        <w:rPr>
          <w:sz w:val="20"/>
          <w:szCs w:val="20"/>
          <w:color w:val="auto"/>
        </w:rPr>
      </w:pPr>
      <w:r>
        <w:rPr>
          <w:rFonts w:ascii="Times New Roman" w:cs="Times New Roman" w:eastAsia="Times New Roman" w:hAnsi="Times New Roman"/>
          <w:sz w:val="22"/>
          <w:szCs w:val="22"/>
          <w:color w:val="auto"/>
        </w:rPr>
        <w:t>Amendment to Secured Convertible Note, dated May 22, 2025 -</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https://www.sec.gov/Archives/edgar/data/1800637/000121390025046875/ea024318601ex4-3_agrify.htm 99.9 -</w:t>
      </w:r>
    </w:p>
    <w:p>
      <w:pPr>
        <w:ind w:left="920"/>
        <w:spacing w:after="0" w:line="231" w:lineRule="auto"/>
        <w:rPr>
          <w:sz w:val="20"/>
          <w:szCs w:val="20"/>
          <w:color w:val="auto"/>
        </w:rPr>
      </w:pPr>
      <w:r>
        <w:rPr>
          <w:rFonts w:ascii="Times New Roman" w:cs="Times New Roman" w:eastAsia="Times New Roman" w:hAnsi="Times New Roman"/>
          <w:sz w:val="22"/>
          <w:szCs w:val="22"/>
          <w:color w:val="auto"/>
        </w:rPr>
        <w:t>Purchase Agreement, dated May 20, 2025, by and between VCP IP Holdings, LLC and Agrify Corporation -</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https://www.sec.gov/Archives/edgar/data/1800637/000121390025046875/ea024318601ex10-1_agrify.htm 99.10 -</w:t>
      </w:r>
    </w:p>
    <w:p>
      <w:pPr>
        <w:ind w:left="920"/>
        <w:spacing w:after="0" w:line="231" w:lineRule="auto"/>
        <w:rPr>
          <w:sz w:val="20"/>
          <w:szCs w:val="20"/>
          <w:color w:val="auto"/>
        </w:rPr>
      </w:pPr>
      <w:r>
        <w:rPr>
          <w:rFonts w:ascii="Times New Roman" w:cs="Times New Roman" w:eastAsia="Times New Roman" w:hAnsi="Times New Roman"/>
          <w:sz w:val="22"/>
          <w:szCs w:val="22"/>
          <w:color w:val="auto"/>
        </w:rPr>
        <w:t>Trademark and Recipe License Agreement, dated May 20, 2025, by and between MC Brands LLC and GTI Core,</w:t>
      </w:r>
    </w:p>
    <w:p>
      <w:pPr>
        <w:ind w:left="920"/>
        <w:spacing w:after="0" w:line="230" w:lineRule="auto"/>
        <w:rPr>
          <w:sz w:val="20"/>
          <w:szCs w:val="20"/>
          <w:color w:val="auto"/>
        </w:rPr>
      </w:pPr>
      <w:r>
        <w:rPr>
          <w:rFonts w:ascii="Times New Roman" w:cs="Times New Roman" w:eastAsia="Times New Roman" w:hAnsi="Times New Roman"/>
          <w:sz w:val="22"/>
          <w:szCs w:val="22"/>
          <w:color w:val="auto"/>
        </w:rPr>
        <w:t>LLC -https://www.sec.gov/Archives/edgar/data/1800637/000121390025046875/ea024318601ex10-2_agrify.htm</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99.11 - Amended and Restated Shared Services Agreement, dated May 22, 2025, by and between Agrify Corporation</w:t>
      </w:r>
    </w:p>
    <w:p>
      <w:pPr>
        <w:ind w:left="920"/>
        <w:spacing w:after="0" w:line="231" w:lineRule="auto"/>
        <w:rPr>
          <w:sz w:val="20"/>
          <w:szCs w:val="20"/>
          <w:color w:val="auto"/>
        </w:rPr>
      </w:pPr>
      <w:r>
        <w:rPr>
          <w:rFonts w:ascii="Times New Roman" w:cs="Times New Roman" w:eastAsia="Times New Roman" w:hAnsi="Times New Roman"/>
          <w:sz w:val="22"/>
          <w:szCs w:val="22"/>
          <w:color w:val="auto"/>
        </w:rPr>
        <w:t>and Vision Management Services, LLC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https://www.sec.gov/Archives/edgar/data/1800637/000121390025046875/ea024318601ex10-5_agrify.htm 99.12 -</w:t>
      </w:r>
    </w:p>
    <w:p>
      <w:pPr>
        <w:ind w:left="920"/>
        <w:spacing w:after="0" w:line="231" w:lineRule="auto"/>
        <w:rPr>
          <w:sz w:val="20"/>
          <w:szCs w:val="20"/>
          <w:color w:val="auto"/>
        </w:rPr>
      </w:pPr>
      <w:r>
        <w:rPr>
          <w:rFonts w:ascii="Times New Roman" w:cs="Times New Roman" w:eastAsia="Times New Roman" w:hAnsi="Times New Roman"/>
          <w:sz w:val="22"/>
          <w:szCs w:val="22"/>
          <w:color w:val="auto"/>
        </w:rPr>
        <w:t>Current Report on Form 8-K dated May 20, 2025 as filed on May 22, 2025 -</w:t>
      </w: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https://www.sec.gov/Archives/edgar/data/1800637/000121390025046875/ea0243186-8k_agrify.htm 99.13 - Form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Secured Convertible Note dated August 25, 2025 -</w:t>
      </w:r>
    </w:p>
    <w:p>
      <w:pPr>
        <w:ind w:left="920"/>
        <w:spacing w:after="0" w:line="231" w:lineRule="auto"/>
        <w:rPr>
          <w:sz w:val="20"/>
          <w:szCs w:val="20"/>
          <w:color w:val="auto"/>
        </w:rPr>
      </w:pPr>
      <w:r>
        <w:rPr>
          <w:rFonts w:ascii="Times New Roman" w:cs="Times New Roman" w:eastAsia="Times New Roman" w:hAnsi="Times New Roman"/>
          <w:sz w:val="22"/>
          <w:szCs w:val="22"/>
          <w:color w:val="auto"/>
        </w:rPr>
        <w:t>sec.gov/Archives/edgar/data/1800637/000121390025081148/ea025469501ex4-1_agrify.htm 99.14 - Form of Pre-</w:t>
      </w:r>
    </w:p>
    <w:p>
      <w:pPr>
        <w:ind w:left="920"/>
        <w:spacing w:after="0" w:line="231" w:lineRule="auto"/>
        <w:rPr>
          <w:sz w:val="20"/>
          <w:szCs w:val="20"/>
          <w:color w:val="auto"/>
        </w:rPr>
      </w:pPr>
      <w:r>
        <w:rPr>
          <w:rFonts w:ascii="Times New Roman" w:cs="Times New Roman" w:eastAsia="Times New Roman" w:hAnsi="Times New Roman"/>
          <w:sz w:val="22"/>
          <w:szCs w:val="22"/>
          <w:color w:val="auto"/>
        </w:rPr>
        <w:t>Funded Common Stock Purchase Warrant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sec.gov/Archives/edgar/data/1800637/000121390025081148/ea025469501ex4-2_agrify.htm 99.15- Current Report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on Form 8-K as filed on August 27, 2025 - sec.gov/Archives/edgar/data/1800637/000121390025081148/ea0254695-</w:t>
      </w:r>
    </w:p>
    <w:p>
      <w:pPr>
        <w:ind w:left="920"/>
        <w:spacing w:after="0" w:line="231" w:lineRule="auto"/>
        <w:rPr>
          <w:sz w:val="20"/>
          <w:szCs w:val="20"/>
          <w:color w:val="auto"/>
        </w:rPr>
      </w:pPr>
      <w:r>
        <w:rPr>
          <w:rFonts w:ascii="Times New Roman" w:cs="Times New Roman" w:eastAsia="Times New Roman" w:hAnsi="Times New Roman"/>
          <w:sz w:val="22"/>
          <w:szCs w:val="22"/>
          <w:color w:val="auto"/>
        </w:rPr>
        <w:t>8k_agrify.htm 99.16 - Purchase Agreement, dated August 27, 2025, by and between VCP23, LLC and Agrify</w:t>
      </w:r>
    </w:p>
    <w:p>
      <w:pPr>
        <w:ind w:left="920"/>
        <w:spacing w:after="0" w:line="231" w:lineRule="auto"/>
        <w:rPr>
          <w:sz w:val="20"/>
          <w:szCs w:val="20"/>
          <w:color w:val="auto"/>
        </w:rPr>
      </w:pPr>
      <w:r>
        <w:rPr>
          <w:rFonts w:ascii="Times New Roman" w:cs="Times New Roman" w:eastAsia="Times New Roman" w:hAnsi="Times New Roman"/>
          <w:sz w:val="22"/>
          <w:szCs w:val="22"/>
          <w:color w:val="auto"/>
        </w:rPr>
        <w:t>Corporation - sec.gov/Archives/edgar/data/1800637/000121390025081148/ea025469501ex10-1_agrify.htm 99.17 -</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Trademark and Recipe License Agreement, dated August 27, 2025, by and between VCP IP Holdings, LLC and GTI</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Core, LLC - sec.gov/Archives/edgar/data/1800637/000121390025081148/ea025469501ex10-2_agrify.htm</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RSLGH, LLC</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 Kravitz</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Bret Kravitz/Corporate Secretary</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WELLNESS MGMT, LLC</w:t>
      </w:r>
    </w:p>
    <w:p>
      <w:pPr>
        <w:spacing w:after="0" w:line="152"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Benjamin Kovler/Authorized Signatory</w:t>
      </w:r>
    </w:p>
    <w:p>
      <w:pPr>
        <w:spacing w:after="0" w:line="44" w:lineRule="exact"/>
        <w:rPr>
          <w:sz w:val="20"/>
          <w:szCs w:val="20"/>
          <w:color w:val="auto"/>
        </w:rPr>
      </w:pPr>
    </w:p>
    <w:p>
      <w:pPr>
        <w:ind w:left="4700"/>
        <w:spacing w:after="0"/>
        <w:tabs>
          <w:tab w:leader="none" w:pos="5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Benjamin Kovler/CEO &amp; President</w:t>
      </w:r>
    </w:p>
    <w:p>
      <w:pPr>
        <w:sectPr>
          <w:pgSz w:w="11900" w:h="16860" w:orient="portrait"/>
          <w:cols w:equalWidth="0" w:num="1">
            <w:col w:w="11140"/>
          </w:cols>
          <w:pgMar w:left="360" w:top="111" w:right="399" w:bottom="0" w:gutter="0" w:footer="0" w:header="0"/>
        </w:sectPr>
      </w:pPr>
    </w:p>
    <w:bookmarkStart w:id="9" w:name="page10"/>
    <w:bookmarkEnd w:id="9"/>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VCP23,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Benjamin Kovler/Manager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GTI23, INC.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Name/Title: BenjaminSignatory Kovler/Director &amp; Authorized</w:t>
      </w:r>
    </w:p>
    <w:p>
      <w:pPr>
        <w:spacing w:after="0" w:line="32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03/10/2026</w:t>
      </w:r>
    </w:p>
    <w:p>
      <w:pPr>
        <w:spacing w:after="0" w:line="15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Benjamin Kovler</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Benjamin Kovler/Chairman and Chief Executive</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03/10/2026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880"/>
      </w:cols>
      <w:pgMar w:left="1440" w:top="12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2"/>
      <w:numFmt w:val="bullet"/>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3"/>
      <w:numFmt w:val="bullet"/>
      <w:start w:val="1"/>
    </w:lvl>
  </w:abstractNum>
  <w:abstractNum w:abstractNumId="15">
    <w:nsid w:val="519B500D"/>
    <w:multiLevelType w:val="hybridMultilevel"/>
    <w:lvl w:ilvl="0">
      <w:lvlJc w:val="left"/>
      <w:lvlText w:val="(%1)"/>
      <w:numFmt w:val="lowerLetter"/>
      <w:start w:val="3"/>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2026-03-10T15:23:10Z</dcterms:created>
  <dcterms:modified xsi:type="dcterms:W3CDTF">2026-03-10T15:23:10Z</dcterms:modified>
</cp:coreProperties>
</file>