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20"/>
        <w:spacing w:after="0"/>
        <w:rPr>
          <w:sz w:val="20"/>
          <w:szCs w:val="20"/>
          <w:color w:val="auto"/>
        </w:rPr>
      </w:pPr>
      <w:r>
        <w:rPr>
          <w:rFonts w:ascii="Arial" w:cs="Arial" w:eastAsia="Arial" w:hAnsi="Arial"/>
          <w:sz w:val="18"/>
          <w:szCs w:val="18"/>
          <w:b w:val="1"/>
          <w:bCs w:val="1"/>
          <w:color w:val="auto"/>
        </w:rPr>
        <w:t>As filed with the Securities and Exchange Commission on January 13, 2021</w:t>
      </w:r>
    </w:p>
    <w:p>
      <w:pPr>
        <w:spacing w:after="0" w:line="27" w:lineRule="exact"/>
        <w:rPr>
          <w:sz w:val="24"/>
          <w:szCs w:val="24"/>
          <w:color w:val="auto"/>
        </w:rPr>
      </w:pPr>
    </w:p>
    <w:p>
      <w:pPr>
        <w:ind w:left="6380"/>
        <w:spacing w:after="0"/>
        <w:rPr>
          <w:sz w:val="20"/>
          <w:szCs w:val="20"/>
          <w:color w:val="auto"/>
        </w:rPr>
      </w:pPr>
      <w:r>
        <w:rPr>
          <w:rFonts w:ascii="Arial" w:cs="Arial" w:eastAsia="Arial" w:hAnsi="Arial"/>
          <w:sz w:val="16"/>
          <w:szCs w:val="16"/>
          <w:b w:val="1"/>
          <w:bCs w:val="1"/>
          <w:color w:val="auto"/>
        </w:rPr>
        <w:t>Registration No. 333-251616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63500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106045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AGRIFY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680" w:type="dxa"/>
            <w:vAlign w:val="bottom"/>
            <w:gridSpan w:val="2"/>
          </w:tcPr>
          <w:p>
            <w:pPr>
              <w:ind w:left="980"/>
              <w:spacing w:after="0"/>
              <w:rPr>
                <w:sz w:val="20"/>
                <w:szCs w:val="20"/>
                <w:color w:val="auto"/>
              </w:rPr>
            </w:pPr>
            <w:r>
              <w:rPr>
                <w:rFonts w:ascii="Arial" w:cs="Arial" w:eastAsia="Arial" w:hAnsi="Arial"/>
                <w:sz w:val="18"/>
                <w:szCs w:val="18"/>
                <w:b w:val="1"/>
                <w:bCs w:val="1"/>
                <w:color w:val="auto"/>
              </w:rPr>
              <w:t>Nevada</w:t>
            </w:r>
          </w:p>
        </w:tc>
        <w:tc>
          <w:tcPr>
            <w:tcW w:w="2620" w:type="dxa"/>
            <w:vAlign w:val="bottom"/>
          </w:tcPr>
          <w:p>
            <w:pPr>
              <w:jc w:val="right"/>
              <w:ind w:right="1030"/>
              <w:spacing w:after="0"/>
              <w:rPr>
                <w:sz w:val="20"/>
                <w:szCs w:val="20"/>
                <w:color w:val="auto"/>
              </w:rPr>
            </w:pPr>
            <w:r>
              <w:rPr>
                <w:rFonts w:ascii="Arial" w:cs="Arial" w:eastAsia="Arial" w:hAnsi="Arial"/>
                <w:sz w:val="18"/>
                <w:szCs w:val="18"/>
                <w:b w:val="1"/>
                <w:bCs w:val="1"/>
                <w:color w:val="auto"/>
              </w:rPr>
              <w:t>8742</w:t>
            </w:r>
          </w:p>
        </w:tc>
        <w:tc>
          <w:tcPr>
            <w:tcW w:w="80" w:type="dxa"/>
            <w:vAlign w:val="bottom"/>
          </w:tcPr>
          <w:p>
            <w:pPr>
              <w:spacing w:after="0"/>
              <w:rPr>
                <w:sz w:val="20"/>
                <w:szCs w:val="20"/>
                <w:color w:val="auto"/>
              </w:rPr>
            </w:pPr>
          </w:p>
        </w:tc>
        <w:tc>
          <w:tcPr>
            <w:tcW w:w="2720" w:type="dxa"/>
            <w:vAlign w:val="bottom"/>
          </w:tcPr>
          <w:p>
            <w:pPr>
              <w:jc w:val="right"/>
              <w:ind w:right="830"/>
              <w:spacing w:after="0"/>
              <w:rPr>
                <w:sz w:val="20"/>
                <w:szCs w:val="20"/>
                <w:color w:val="auto"/>
              </w:rPr>
            </w:pPr>
            <w:r>
              <w:rPr>
                <w:rFonts w:ascii="Arial" w:cs="Arial" w:eastAsia="Arial" w:hAnsi="Arial"/>
                <w:sz w:val="18"/>
                <w:szCs w:val="18"/>
                <w:b w:val="1"/>
                <w:bCs w:val="1"/>
                <w:color w:val="auto"/>
              </w:rPr>
              <w:t>30-0943453</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220"/>
              <w:spacing w:after="0" w:line="195" w:lineRule="exact"/>
              <w:rPr>
                <w:sz w:val="20"/>
                <w:szCs w:val="20"/>
                <w:color w:val="auto"/>
              </w:rPr>
            </w:pPr>
            <w:r>
              <w:rPr>
                <w:rFonts w:ascii="Arial" w:cs="Arial" w:eastAsia="Arial" w:hAnsi="Arial"/>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ind w:left="280"/>
              <w:spacing w:after="0" w:line="195" w:lineRule="exact"/>
              <w:rPr>
                <w:sz w:val="20"/>
                <w:szCs w:val="20"/>
                <w:color w:val="auto"/>
              </w:rPr>
            </w:pPr>
            <w:r>
              <w:rPr>
                <w:rFonts w:ascii="Arial" w:cs="Arial" w:eastAsia="Arial" w:hAnsi="Arial"/>
                <w:sz w:val="18"/>
                <w:szCs w:val="18"/>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680" w:type="dxa"/>
            <w:vAlign w:val="bottom"/>
            <w:gridSpan w:val="2"/>
          </w:tcPr>
          <w:p>
            <w:pPr>
              <w:ind w:left="220"/>
              <w:spacing w:after="0"/>
              <w:rPr>
                <w:sz w:val="20"/>
                <w:szCs w:val="20"/>
                <w:color w:val="auto"/>
              </w:rPr>
            </w:pPr>
            <w:r>
              <w:rPr>
                <w:rFonts w:ascii="Arial" w:cs="Arial" w:eastAsia="Arial" w:hAnsi="Arial"/>
                <w:sz w:val="18"/>
                <w:szCs w:val="18"/>
                <w:color w:val="auto"/>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color w:val="auto"/>
                <w:w w:val="92"/>
              </w:rPr>
              <w:t>identification number)</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Middlesex Turnpike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Burlington, MA 01803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896-5243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Raymond Chang, Chief Executive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Middlesex Turnpike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Burlington, MA 01803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896-5243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194"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Mitchell S. Nussbaum, Esq.</w:t>
            </w:r>
          </w:p>
        </w:tc>
        <w:tc>
          <w:tcPr>
            <w:tcW w:w="444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Barry I. Grossman, Esq.</w:t>
            </w:r>
          </w:p>
        </w:tc>
      </w:tr>
      <w:tr>
        <w:trPr>
          <w:trHeight w:val="216"/>
        </w:trPr>
        <w:tc>
          <w:tcPr>
            <w:tcW w:w="22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David J. Levine, Esq.</w:t>
            </w:r>
          </w:p>
        </w:tc>
        <w:tc>
          <w:tcPr>
            <w:tcW w:w="4440" w:type="dxa"/>
            <w:vAlign w:val="bottom"/>
          </w:tcPr>
          <w:p>
            <w:pPr>
              <w:jc w:val="center"/>
              <w:ind w:left="1290"/>
              <w:spacing w:after="0"/>
              <w:rPr>
                <w:sz w:val="20"/>
                <w:szCs w:val="20"/>
                <w:color w:val="auto"/>
              </w:rPr>
            </w:pPr>
            <w:r>
              <w:rPr>
                <w:rFonts w:ascii="Arial" w:cs="Arial" w:eastAsia="Arial" w:hAnsi="Arial"/>
                <w:sz w:val="18"/>
                <w:szCs w:val="18"/>
                <w:b w:val="1"/>
                <w:bCs w:val="1"/>
                <w:color w:val="auto"/>
                <w:w w:val="88"/>
              </w:rPr>
              <w:t>Lawrence A. Rosenbloom, Esq.</w:t>
            </w:r>
          </w:p>
        </w:tc>
      </w:t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Loeb &amp; Loeb LLP</w:t>
            </w:r>
          </w:p>
        </w:tc>
        <w:tc>
          <w:tcPr>
            <w:tcW w:w="444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Ellenoff Grossman &amp; Schole LLP</w:t>
            </w:r>
          </w:p>
        </w:tc>
      </w:t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345 Park Avenue</w:t>
            </w:r>
          </w:p>
        </w:tc>
        <w:tc>
          <w:tcPr>
            <w:tcW w:w="4440" w:type="dxa"/>
            <w:vAlign w:val="bottom"/>
          </w:tcPr>
          <w:p>
            <w:pPr>
              <w:jc w:val="center"/>
              <w:ind w:left="1290"/>
              <w:spacing w:after="0" w:line="216" w:lineRule="exact"/>
              <w:rPr>
                <w:sz w:val="20"/>
                <w:szCs w:val="20"/>
                <w:color w:val="auto"/>
              </w:rPr>
            </w:pPr>
            <w:r>
              <w:rPr>
                <w:rFonts w:ascii="Arial" w:cs="Arial" w:eastAsia="Arial" w:hAnsi="Arial"/>
                <w:sz w:val="18"/>
                <w:szCs w:val="18"/>
                <w:b w:val="1"/>
                <w:bCs w:val="1"/>
                <w:color w:val="auto"/>
                <w:w w:val="89"/>
              </w:rPr>
              <w:t>1345 Avenue of the Americas, 11</w:t>
            </w:r>
            <w:r>
              <w:rPr>
                <w:rFonts w:ascii="Arial" w:cs="Arial" w:eastAsia="Arial" w:hAnsi="Arial"/>
                <w:sz w:val="20"/>
                <w:szCs w:val="20"/>
                <w:b w:val="1"/>
                <w:bCs w:val="1"/>
                <w:color w:val="auto"/>
                <w:w w:val="89"/>
                <w:vertAlign w:val="superscript"/>
              </w:rPr>
              <w:t>th</w:t>
            </w:r>
            <w:r>
              <w:rPr>
                <w:rFonts w:ascii="Arial" w:cs="Arial" w:eastAsia="Arial" w:hAnsi="Arial"/>
                <w:sz w:val="18"/>
                <w:szCs w:val="18"/>
                <w:b w:val="1"/>
                <w:bCs w:val="1"/>
                <w:color w:val="auto"/>
                <w:w w:val="89"/>
              </w:rPr>
              <w:t xml:space="preserve"> Floor</w:t>
            </w:r>
          </w:p>
        </w:tc>
      </w:t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New York, NY 10154</w:t>
            </w:r>
          </w:p>
        </w:tc>
        <w:tc>
          <w:tcPr>
            <w:tcW w:w="4440" w:type="dxa"/>
            <w:vAlign w:val="bottom"/>
          </w:tcPr>
          <w:p>
            <w:pPr>
              <w:jc w:val="center"/>
              <w:ind w:left="1290"/>
              <w:spacing w:after="0"/>
              <w:rPr>
                <w:sz w:val="20"/>
                <w:szCs w:val="20"/>
                <w:color w:val="auto"/>
              </w:rPr>
            </w:pPr>
            <w:r>
              <w:rPr>
                <w:rFonts w:ascii="Arial" w:cs="Arial" w:eastAsia="Arial" w:hAnsi="Arial"/>
                <w:sz w:val="18"/>
                <w:szCs w:val="18"/>
                <w:b w:val="1"/>
                <w:bCs w:val="1"/>
                <w:color w:val="auto"/>
                <w:w w:val="94"/>
              </w:rPr>
              <w:t>New York, NY 10105</w:t>
            </w:r>
          </w:p>
        </w:tc>
      </w:tr>
      <w:tr>
        <w:trPr>
          <w:trHeight w:val="216"/>
        </w:trPr>
        <w:tc>
          <w:tcPr>
            <w:tcW w:w="22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Tel: (212) 407-4000</w:t>
            </w:r>
          </w:p>
        </w:tc>
        <w:tc>
          <w:tcPr>
            <w:tcW w:w="444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Tel: (212) 370-1300</w:t>
            </w:r>
          </w:p>
        </w:tc>
      </w:tr>
      <w:tr>
        <w:trPr>
          <w:trHeight w:val="234"/>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Fax: (212) 937-3943</w:t>
            </w:r>
          </w:p>
        </w:tc>
        <w:tc>
          <w:tcPr>
            <w:tcW w:w="4440" w:type="dxa"/>
            <w:vAlign w:val="bottom"/>
          </w:tcPr>
          <w:p>
            <w:pPr>
              <w:jc w:val="center"/>
              <w:ind w:left="1270"/>
              <w:spacing w:after="0"/>
              <w:rPr>
                <w:sz w:val="20"/>
                <w:szCs w:val="20"/>
                <w:color w:val="auto"/>
              </w:rPr>
            </w:pPr>
            <w:r>
              <w:rPr>
                <w:rFonts w:ascii="Arial" w:cs="Arial" w:eastAsia="Arial" w:hAnsi="Arial"/>
                <w:sz w:val="18"/>
                <w:szCs w:val="18"/>
                <w:b w:val="1"/>
                <w:bCs w:val="1"/>
                <w:color w:val="auto"/>
                <w:w w:val="92"/>
              </w:rPr>
              <w:t>Fax: (212) 370-7889</w:t>
            </w:r>
          </w:p>
        </w:tc>
      </w:tr>
      <w:tr>
        <w:trPr>
          <w:trHeight w:val="432"/>
        </w:trPr>
        <w:tc>
          <w:tcPr>
            <w:tcW w:w="2240" w:type="dxa"/>
            <w:vAlign w:val="bottom"/>
          </w:tcPr>
          <w:p>
            <w:pPr>
              <w:spacing w:after="0"/>
              <w:rPr>
                <w:sz w:val="24"/>
                <w:szCs w:val="24"/>
                <w:color w:val="auto"/>
              </w:rPr>
            </w:pPr>
          </w:p>
        </w:tc>
        <w:tc>
          <w:tcPr>
            <w:tcW w:w="4440" w:type="dxa"/>
            <w:vAlign w:val="bottom"/>
          </w:tcPr>
          <w:p>
            <w:pPr>
              <w:jc w:val="right"/>
              <w:ind w:right="2710"/>
              <w:spacing w:after="0"/>
              <w:rPr>
                <w:sz w:val="20"/>
                <w:szCs w:val="20"/>
                <w:color w:val="auto"/>
              </w:rPr>
            </w:pPr>
            <w:r>
              <w:rPr>
                <w:rFonts w:ascii="Arial" w:cs="Arial" w:eastAsia="Arial" w:hAnsi="Arial"/>
                <w:sz w:val="18"/>
                <w:szCs w:val="18"/>
                <w:color w:val="auto"/>
                <w:w w:val="95"/>
              </w:rPr>
              <w:t>_________________</w:t>
            </w:r>
          </w:p>
        </w:tc>
      </w:tr>
    </w:tbl>
    <w:p>
      <w:pPr>
        <w:spacing w:after="0" w:line="36" w:lineRule="exact"/>
        <w:rPr>
          <w:sz w:val="24"/>
          <w:szCs w:val="24"/>
          <w:color w:val="auto"/>
        </w:rPr>
      </w:pPr>
    </w:p>
    <w:p>
      <w:pPr>
        <w:ind w:left="460" w:right="659" w:firstLine="432"/>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of this registration statement.</w:t>
      </w:r>
    </w:p>
    <w:p>
      <w:pPr>
        <w:spacing w:after="0" w:line="4" w:lineRule="exact"/>
        <w:rPr>
          <w:sz w:val="24"/>
          <w:szCs w:val="24"/>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w:t>
      </w:r>
    </w:p>
    <w:p>
      <w:pPr>
        <w:spacing w:after="0" w:line="8" w:lineRule="exact"/>
        <w:rPr>
          <w:sz w:val="24"/>
          <w:szCs w:val="24"/>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22" w:lineRule="exact"/>
        <w:rPr>
          <w:sz w:val="24"/>
          <w:szCs w:val="24"/>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0" w:lineRule="exact"/>
        <w:rPr>
          <w:sz w:val="24"/>
          <w:szCs w:val="24"/>
          <w:color w:val="auto"/>
        </w:rPr>
      </w:pPr>
    </w:p>
    <w:tbl>
      <w:tblPr>
        <w:tblLayout w:type="fixed"/>
        <w:tblInd w:w="460" w:type="dxa"/>
        <w:tblCellMar>
          <w:top w:w="0" w:type="dxa"/>
          <w:left w:w="0" w:type="dxa"/>
          <w:bottom w:w="0" w:type="dxa"/>
          <w:right w:w="0" w:type="dxa"/>
        </w:tblCellMar>
      </w:tblPr>
      <w:tr>
        <w:trPr>
          <w:trHeight w:val="230"/>
        </w:trPr>
        <w:tc>
          <w:tcPr>
            <w:tcW w:w="4660" w:type="dxa"/>
            <w:vAlign w:val="bottom"/>
          </w:tcPr>
          <w:p>
            <w:pPr>
              <w:ind w:left="460"/>
              <w:spacing w:after="0"/>
              <w:rPr>
                <w:sz w:val="20"/>
                <w:szCs w:val="20"/>
                <w:color w:val="auto"/>
              </w:rPr>
            </w:pPr>
            <w:r>
              <w:rPr>
                <w:rFonts w:ascii="Arial" w:cs="Arial" w:eastAsia="Arial" w:hAnsi="Arial"/>
                <w:sz w:val="18"/>
                <w:szCs w:val="18"/>
                <w:color w:val="auto"/>
              </w:rPr>
              <w:t>Large accelerated filer £</w:t>
            </w:r>
          </w:p>
        </w:tc>
        <w:tc>
          <w:tcPr>
            <w:tcW w:w="3440" w:type="dxa"/>
            <w:vAlign w:val="bottom"/>
          </w:tcPr>
          <w:p>
            <w:pPr>
              <w:ind w:left="1000"/>
              <w:spacing w:after="0"/>
              <w:rPr>
                <w:sz w:val="20"/>
                <w:szCs w:val="20"/>
                <w:color w:val="auto"/>
              </w:rPr>
            </w:pPr>
            <w:r>
              <w:rPr>
                <w:rFonts w:ascii="Arial" w:cs="Arial" w:eastAsia="Arial" w:hAnsi="Arial"/>
                <w:sz w:val="18"/>
                <w:szCs w:val="18"/>
                <w:color w:val="auto"/>
              </w:rPr>
              <w:t>Accelerated filer £</w:t>
            </w:r>
          </w:p>
        </w:tc>
      </w:tr>
      <w:tr>
        <w:trPr>
          <w:trHeight w:val="283"/>
        </w:trPr>
        <w:tc>
          <w:tcPr>
            <w:tcW w:w="4660" w:type="dxa"/>
            <w:vAlign w:val="bottom"/>
          </w:tcPr>
          <w:p>
            <w:pPr>
              <w:ind w:left="460"/>
              <w:spacing w:after="0"/>
              <w:rPr>
                <w:sz w:val="20"/>
                <w:szCs w:val="20"/>
                <w:color w:val="auto"/>
              </w:rPr>
            </w:pPr>
            <w:r>
              <w:rPr>
                <w:rFonts w:ascii="Arial" w:cs="Arial" w:eastAsia="Arial" w:hAnsi="Arial"/>
                <w:sz w:val="18"/>
                <w:szCs w:val="18"/>
                <w:color w:val="auto"/>
              </w:rPr>
              <w:t>Non-accelerated filer £</w:t>
            </w:r>
          </w:p>
        </w:tc>
        <w:tc>
          <w:tcPr>
            <w:tcW w:w="3440" w:type="dxa"/>
            <w:vAlign w:val="bottom"/>
          </w:tcPr>
          <w:p>
            <w:pPr>
              <w:ind w:left="1000"/>
              <w:spacing w:after="0"/>
              <w:rPr>
                <w:sz w:val="20"/>
                <w:szCs w:val="20"/>
                <w:color w:val="auto"/>
              </w:rPr>
            </w:pPr>
            <w:r>
              <w:rPr>
                <w:rFonts w:ascii="Arial" w:cs="Arial" w:eastAsia="Arial" w:hAnsi="Arial"/>
                <w:sz w:val="18"/>
                <w:szCs w:val="18"/>
                <w:color w:val="auto"/>
              </w:rPr>
              <w:t>Smaller reporting company S</w:t>
            </w:r>
          </w:p>
        </w:tc>
      </w:tr>
      <w:tr>
        <w:trPr>
          <w:trHeight w:val="284"/>
        </w:trPr>
        <w:tc>
          <w:tcPr>
            <w:tcW w:w="4660" w:type="dxa"/>
            <w:vAlign w:val="bottom"/>
          </w:tcPr>
          <w:p>
            <w:pPr>
              <w:ind w:left="460"/>
              <w:spacing w:after="0"/>
              <w:rPr>
                <w:sz w:val="20"/>
                <w:szCs w:val="20"/>
                <w:color w:val="auto"/>
              </w:rPr>
            </w:pPr>
            <w:r>
              <w:rPr>
                <w:rFonts w:ascii="Arial" w:cs="Arial" w:eastAsia="Arial" w:hAnsi="Arial"/>
                <w:sz w:val="18"/>
                <w:szCs w:val="18"/>
                <w:color w:val="auto"/>
              </w:rPr>
              <w:t>(Do not check if smaller reporting company)</w:t>
            </w:r>
          </w:p>
        </w:tc>
        <w:tc>
          <w:tcPr>
            <w:tcW w:w="3440" w:type="dxa"/>
            <w:vAlign w:val="bottom"/>
          </w:tcPr>
          <w:p>
            <w:pPr>
              <w:ind w:left="1000"/>
              <w:spacing w:after="0"/>
              <w:rPr>
                <w:sz w:val="20"/>
                <w:szCs w:val="20"/>
                <w:color w:val="auto"/>
              </w:rPr>
            </w:pPr>
            <w:r>
              <w:rPr>
                <w:rFonts w:ascii="Arial" w:cs="Arial" w:eastAsia="Arial" w:hAnsi="Arial"/>
                <w:sz w:val="18"/>
                <w:szCs w:val="18"/>
                <w:color w:val="auto"/>
              </w:rPr>
              <w:t>Emerging growth company S</w:t>
            </w:r>
          </w:p>
        </w:tc>
      </w:tr>
      <w:tr>
        <w:trPr>
          <w:trHeight w:val="445"/>
        </w:trPr>
        <w:tc>
          <w:tcPr>
            <w:tcW w:w="46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420" w:gutter="0" w:footer="0" w:header="0"/>
        </w:sectPr>
      </w:pPr>
    </w:p>
    <w:bookmarkStart w:id="1" w:name="page2"/>
    <w:bookmarkEnd w:id="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Proposed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Maximum</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Aggregate</w:t>
            </w:r>
          </w:p>
        </w:tc>
        <w:tc>
          <w:tcPr>
            <w:tcW w:w="140" w:type="dxa"/>
            <w:vAlign w:val="bottom"/>
          </w:tcPr>
          <w:p>
            <w:pPr>
              <w:spacing w:after="0"/>
              <w:rPr>
                <w:sz w:val="17"/>
                <w:szCs w:val="17"/>
                <w:color w:val="auto"/>
              </w:rPr>
            </w:pPr>
          </w:p>
        </w:tc>
        <w:tc>
          <w:tcPr>
            <w:tcW w:w="1140" w:type="dxa"/>
            <w:vAlign w:val="bottom"/>
          </w:tcPr>
          <w:p>
            <w:pPr>
              <w:jc w:val="center"/>
              <w:ind w:right="94"/>
              <w:spacing w:after="0"/>
              <w:rPr>
                <w:sz w:val="20"/>
                <w:szCs w:val="20"/>
                <w:color w:val="auto"/>
              </w:rPr>
            </w:pPr>
            <w:r>
              <w:rPr>
                <w:rFonts w:ascii="Arial" w:cs="Arial" w:eastAsia="Arial" w:hAnsi="Arial"/>
                <w:sz w:val="16"/>
                <w:szCs w:val="16"/>
                <w:b w:val="1"/>
                <w:bCs w:val="1"/>
                <w:color w:val="auto"/>
                <w:w w:val="94"/>
              </w:rPr>
              <w:t>Amount of</w:t>
            </w:r>
          </w:p>
        </w:tc>
      </w:tr>
      <w:tr>
        <w:trPr>
          <w:trHeight w:val="203"/>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Offering</w:t>
            </w:r>
          </w:p>
        </w:tc>
        <w:tc>
          <w:tcPr>
            <w:tcW w:w="140" w:type="dxa"/>
            <w:vAlign w:val="bottom"/>
          </w:tcPr>
          <w:p>
            <w:pPr>
              <w:spacing w:after="0"/>
              <w:rPr>
                <w:sz w:val="17"/>
                <w:szCs w:val="17"/>
                <w:color w:val="auto"/>
              </w:rPr>
            </w:pPr>
          </w:p>
        </w:tc>
        <w:tc>
          <w:tcPr>
            <w:tcW w:w="1140" w:type="dxa"/>
            <w:vAlign w:val="bottom"/>
          </w:tcPr>
          <w:p>
            <w:pPr>
              <w:jc w:val="center"/>
              <w:ind w:right="94"/>
              <w:spacing w:after="0"/>
              <w:rPr>
                <w:sz w:val="20"/>
                <w:szCs w:val="20"/>
                <w:color w:val="auto"/>
              </w:rPr>
            </w:pPr>
            <w:r>
              <w:rPr>
                <w:rFonts w:ascii="Arial" w:cs="Arial" w:eastAsia="Arial" w:hAnsi="Arial"/>
                <w:sz w:val="16"/>
                <w:szCs w:val="16"/>
                <w:b w:val="1"/>
                <w:bCs w:val="1"/>
                <w:color w:val="auto"/>
                <w:w w:val="89"/>
              </w:rPr>
              <w:t>Registration</w:t>
            </w:r>
          </w:p>
        </w:tc>
      </w:tr>
      <w:tr>
        <w:trPr>
          <w:trHeight w:val="257"/>
        </w:trPr>
        <w:tc>
          <w:tcPr>
            <w:tcW w:w="5360" w:type="dxa"/>
            <w:vAlign w:val="bottom"/>
          </w:tcPr>
          <w:p>
            <w:pPr>
              <w:spacing w:after="0"/>
              <w:rPr>
                <w:sz w:val="20"/>
                <w:szCs w:val="20"/>
                <w:color w:val="auto"/>
              </w:rPr>
            </w:pPr>
            <w:r>
              <w:rPr>
                <w:rFonts w:ascii="Arial" w:cs="Arial" w:eastAsia="Arial" w:hAnsi="Arial"/>
                <w:sz w:val="16"/>
                <w:szCs w:val="16"/>
                <w:b w:val="1"/>
                <w:bCs w:val="1"/>
                <w:color w:val="auto"/>
              </w:rPr>
              <w:t>Title of Each Class of Security Being Registered</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center"/>
              <w:ind w:right="260"/>
              <w:spacing w:after="0" w:line="256" w:lineRule="exact"/>
              <w:rPr>
                <w:sz w:val="20"/>
                <w:szCs w:val="20"/>
                <w:color w:val="auto"/>
              </w:rPr>
            </w:pPr>
            <w:r>
              <w:rPr>
                <w:rFonts w:ascii="Arial" w:cs="Arial" w:eastAsia="Arial" w:hAnsi="Arial"/>
                <w:sz w:val="29"/>
                <w:szCs w:val="29"/>
                <w:b w:val="1"/>
                <w:bCs w:val="1"/>
                <w:color w:val="auto"/>
                <w:w w:val="83"/>
                <w:vertAlign w:val="subscript"/>
              </w:rPr>
              <w:t>Price</w:t>
            </w:r>
            <w:r>
              <w:rPr>
                <w:rFonts w:ascii="Arial" w:cs="Arial" w:eastAsia="Arial" w:hAnsi="Arial"/>
                <w:sz w:val="9"/>
                <w:szCs w:val="9"/>
                <w:b w:val="1"/>
                <w:bCs w:val="1"/>
                <w:color w:val="auto"/>
                <w:w w:val="83"/>
              </w:rPr>
              <w:t>(1)(2)</w:t>
            </w:r>
          </w:p>
        </w:tc>
        <w:tc>
          <w:tcPr>
            <w:tcW w:w="140" w:type="dxa"/>
            <w:vAlign w:val="bottom"/>
          </w:tcPr>
          <w:p>
            <w:pPr>
              <w:spacing w:after="0"/>
              <w:rPr>
                <w:sz w:val="22"/>
                <w:szCs w:val="22"/>
                <w:color w:val="auto"/>
              </w:rPr>
            </w:pPr>
          </w:p>
        </w:tc>
        <w:tc>
          <w:tcPr>
            <w:tcW w:w="1140" w:type="dxa"/>
            <w:vAlign w:val="bottom"/>
          </w:tcPr>
          <w:p>
            <w:pPr>
              <w:jc w:val="center"/>
              <w:ind w:right="54"/>
              <w:spacing w:after="0"/>
              <w:rPr>
                <w:sz w:val="20"/>
                <w:szCs w:val="20"/>
                <w:color w:val="auto"/>
              </w:rPr>
            </w:pPr>
            <w:r>
              <w:rPr>
                <w:rFonts w:ascii="Arial" w:cs="Arial" w:eastAsia="Arial" w:hAnsi="Arial"/>
                <w:sz w:val="16"/>
                <w:szCs w:val="16"/>
                <w:b w:val="1"/>
                <w:bCs w:val="1"/>
                <w:color w:val="auto"/>
                <w:w w:val="85"/>
              </w:rPr>
              <w:t>Fee</w:t>
            </w:r>
            <w:r>
              <w:rPr>
                <w:rFonts w:ascii="Arial" w:cs="Arial" w:eastAsia="Arial" w:hAnsi="Arial"/>
                <w:sz w:val="18"/>
                <w:szCs w:val="18"/>
                <w:b w:val="1"/>
                <w:bCs w:val="1"/>
                <w:color w:val="auto"/>
                <w:w w:val="85"/>
                <w:vertAlign w:val="superscript"/>
              </w:rPr>
              <w:t>(3)</w:t>
            </w:r>
          </w:p>
        </w:tc>
      </w:tr>
      <w:tr>
        <w:trPr>
          <w:trHeight w:val="243"/>
        </w:trPr>
        <w:tc>
          <w:tcPr>
            <w:tcW w:w="53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$0.001 par value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28,750,000.00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3,136.63</w:t>
            </w:r>
          </w:p>
        </w:tc>
      </w:tr>
      <w:tr>
        <w:trPr>
          <w:trHeight w:val="284"/>
        </w:trPr>
        <w:tc>
          <w:tcPr>
            <w:tcW w:w="5360" w:type="dxa"/>
            <w:vAlign w:val="bottom"/>
          </w:tcPr>
          <w:p>
            <w:pPr>
              <w:spacing w:after="0"/>
              <w:rPr>
                <w:sz w:val="20"/>
                <w:szCs w:val="20"/>
                <w:color w:val="auto"/>
              </w:rPr>
            </w:pPr>
            <w:r>
              <w:rPr>
                <w:rFonts w:ascii="Arial" w:cs="Arial" w:eastAsia="Arial" w:hAnsi="Arial"/>
                <w:sz w:val="18"/>
                <w:szCs w:val="18"/>
                <w:color w:val="auto"/>
              </w:rPr>
              <w:t>Representative’s warrants to purchase common stock</w:t>
            </w:r>
            <w:r>
              <w:rPr>
                <w:rFonts w:ascii="Arial" w:cs="Arial" w:eastAsia="Arial" w:hAnsi="Arial"/>
                <w:sz w:val="20"/>
                <w:szCs w:val="20"/>
                <w:color w:val="auto"/>
                <w:vertAlign w:val="superscript"/>
              </w:rPr>
              <w:t>(4)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Common stock underlying Representative’s warrants</w:t>
            </w:r>
            <w:r>
              <w:rPr>
                <w:rFonts w:ascii="Arial" w:cs="Arial" w:eastAsia="Arial" w:hAnsi="Arial"/>
                <w:sz w:val="20"/>
                <w:szCs w:val="20"/>
                <w:color w:val="auto"/>
                <w:vertAlign w:val="superscript"/>
              </w:rPr>
              <w:t>(5)</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1,437,500.00</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156.83</w:t>
            </w: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30,187,500.00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3,293.46</w:t>
            </w: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819" w:hanging="426"/>
        <w:spacing w:after="0" w:line="266"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common stock that may be issued upon exercise of a 45-day option granted to the underwriters to cover over-allotments, if any.</w:t>
      </w:r>
    </w:p>
    <w:p>
      <w:pPr>
        <w:spacing w:after="0" w:line="1" w:lineRule="exact"/>
        <w:rPr>
          <w:rFonts w:ascii="Arial" w:cs="Arial" w:eastAsia="Arial" w:hAnsi="Arial"/>
          <w:sz w:val="16"/>
          <w:szCs w:val="16"/>
          <w:color w:val="auto"/>
        </w:rPr>
      </w:pPr>
    </w:p>
    <w:p>
      <w:pPr>
        <w:ind w:left="880" w:right="499" w:hanging="42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457(o) under the Securities Act of 1933, as amended.</w:t>
      </w:r>
    </w:p>
    <w:p>
      <w:pPr>
        <w:ind w:left="880" w:right="1039" w:hanging="42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$2,727.50 was previously paid. The balance is paid herewith. Calculated pursuant to Rule 457(o) based on an estimate of the proposed maximum aggregate offering price.</w:t>
      </w:r>
    </w:p>
    <w:p>
      <w:pPr>
        <w:ind w:left="880" w:right="799" w:hanging="42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457(g) under the Securities Act, because the shares of the registrant’s shares of common stock underlying the representative’s warrants are registered hereby, no separate registration fee is required with respect to the warrants registered hereby.</w:t>
      </w:r>
    </w:p>
    <w:p>
      <w:pPr>
        <w:ind w:left="880" w:right="499" w:hanging="426"/>
        <w:spacing w:after="0" w:line="270" w:lineRule="auto"/>
        <w:tabs>
          <w:tab w:leader="none" w:pos="871"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estimated solely for the purpose of calculating the registration fee pursuant to Rule 457(g) under the Securities Act. The warrants issued to the representative of the underwriters are exercisable at a per share exercise price equal to 110% of the public offering price. As estimated solely for the purpose of calculating the registration fee pursuant to Rule 457(g) under the Securities Act, the proposed maximum aggregate offering price of the representative’s warrant is $1,437,500 (which is equal to 5% of $28,750,000).</w:t>
      </w:r>
    </w:p>
    <w:p>
      <w:pPr>
        <w:spacing w:after="0" w:line="100"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306705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349885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624205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9" w:lineRule="exact"/>
        <w:rPr>
          <w:sz w:val="20"/>
          <w:szCs w:val="20"/>
          <w:color w:val="auto"/>
        </w:rPr>
      </w:pPr>
    </w:p>
    <w:p>
      <w:pPr>
        <w:ind w:left="460" w:right="539"/>
        <w:spacing w:after="0" w:line="335" w:lineRule="auto"/>
        <w:rPr>
          <w:sz w:val="20"/>
          <w:szCs w:val="20"/>
          <w:color w:val="auto"/>
        </w:rPr>
      </w:pPr>
      <w:r>
        <w:rPr>
          <w:rFonts w:ascii="Arial" w:cs="Arial" w:eastAsia="Arial" w:hAnsi="Arial"/>
          <w:sz w:val="14"/>
          <w:szCs w:val="14"/>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41" w:lineRule="exact"/>
        <w:rPr>
          <w:sz w:val="20"/>
          <w:szCs w:val="20"/>
          <w:color w:val="auto"/>
        </w:rPr>
      </w:pPr>
    </w:p>
    <w:p>
      <w:pPr>
        <w:ind w:left="460"/>
        <w:spacing w:after="0"/>
        <w:tabs>
          <w:tab w:leader="none" w:pos="384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7"/>
          <w:szCs w:val="17"/>
          <w:b w:val="1"/>
          <w:bCs w:val="1"/>
          <w:color w:val="D2232A"/>
        </w:rPr>
        <w:t>SUBJECT TO COMPLETION, DATED JANUARY 13, 2021</w:t>
      </w:r>
    </w:p>
    <w:p>
      <w:pPr>
        <w:spacing w:after="0" w:line="261" w:lineRule="exact"/>
        <w:rPr>
          <w:sz w:val="20"/>
          <w:szCs w:val="20"/>
          <w:color w:val="auto"/>
        </w:rPr>
      </w:pPr>
    </w:p>
    <w:p>
      <w:pPr>
        <w:ind w:left="3600"/>
        <w:spacing w:after="0"/>
        <w:rPr>
          <w:sz w:val="20"/>
          <w:szCs w:val="20"/>
          <w:color w:val="auto"/>
        </w:rPr>
      </w:pPr>
      <w:r>
        <w:rPr>
          <w:rFonts w:ascii="Arial" w:cs="Arial" w:eastAsia="Arial" w:hAnsi="Arial"/>
          <w:sz w:val="25"/>
          <w:szCs w:val="25"/>
          <w:b w:val="1"/>
          <w:bCs w:val="1"/>
          <w:color w:val="auto"/>
        </w:rPr>
        <w:t>2,777,778 Shares</w:t>
      </w:r>
    </w:p>
    <w:p>
      <w:pPr>
        <w:spacing w:after="0" w:line="226" w:lineRule="exact"/>
        <w:rPr>
          <w:sz w:val="20"/>
          <w:szCs w:val="20"/>
          <w:color w:val="auto"/>
        </w:rPr>
      </w:pPr>
    </w:p>
    <w:p>
      <w:pPr>
        <w:ind w:left="36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157480</wp:posOffset>
            </wp:positionV>
            <wp:extent cx="3051810" cy="84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181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This is the initial public offering of Agrify Corporation. No public market currently exists for our common stock. We are offering 2,777,778 shares of our common stock and anticipate the initial public offering price will be between $8.00 and $10.00 per share.</w:t>
      </w:r>
    </w:p>
    <w:p>
      <w:pPr>
        <w:spacing w:after="0" w:line="157" w:lineRule="exact"/>
        <w:rPr>
          <w:sz w:val="20"/>
          <w:szCs w:val="20"/>
          <w:color w:val="auto"/>
        </w:rPr>
      </w:pPr>
    </w:p>
    <w:p>
      <w:pPr>
        <w:jc w:val="both"/>
        <w:ind w:left="460" w:right="979" w:firstLine="432"/>
        <w:spacing w:after="0" w:line="263" w:lineRule="auto"/>
        <w:rPr>
          <w:sz w:val="20"/>
          <w:szCs w:val="20"/>
          <w:color w:val="auto"/>
        </w:rPr>
      </w:pPr>
      <w:r>
        <w:rPr>
          <w:rFonts w:ascii="Arial" w:cs="Arial" w:eastAsia="Arial" w:hAnsi="Arial"/>
          <w:sz w:val="18"/>
          <w:szCs w:val="18"/>
          <w:color w:val="auto"/>
        </w:rPr>
        <w:t>We have applied to have our shares of common stock approved for listing on the NASDAQ Capital Market (or NASDAQ) under the symbol “AGFY.” We will not proceed with this offering in the event our common stock is not approved for listing on NASDAQ.</w:t>
      </w:r>
    </w:p>
    <w:p>
      <w:pPr>
        <w:spacing w:after="0" w:line="180" w:lineRule="exact"/>
        <w:rPr>
          <w:sz w:val="20"/>
          <w:szCs w:val="20"/>
          <w:color w:val="auto"/>
        </w:rPr>
      </w:pPr>
    </w:p>
    <w:p>
      <w:pPr>
        <w:jc w:val="both"/>
        <w:ind w:left="460" w:right="639" w:firstLine="432"/>
        <w:spacing w:after="0" w:line="289" w:lineRule="auto"/>
        <w:rPr>
          <w:sz w:val="20"/>
          <w:szCs w:val="20"/>
          <w:color w:val="auto"/>
        </w:rPr>
      </w:pPr>
      <w:r>
        <w:rPr>
          <w:rFonts w:ascii="Arial" w:cs="Arial" w:eastAsia="Arial" w:hAnsi="Arial"/>
          <w:sz w:val="17"/>
          <w:szCs w:val="17"/>
          <w:b w:val="1"/>
          <w:bCs w:val="1"/>
          <w:color w:val="auto"/>
        </w:rPr>
        <w:t>We are an “emerging growth company” as defined in the Jumpstart Our Business Startups Act of 2012 and, as such, may elect to comply with certain reduced reporting requirements after this offering. See “Prospectus Summary — Emerging Growth Company Status.”</w:t>
      </w:r>
    </w:p>
    <w:p>
      <w:pPr>
        <w:spacing w:after="0" w:line="117"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8"/>
          <w:szCs w:val="18"/>
          <w:b w:val="1"/>
          <w:bCs w:val="1"/>
          <w:color w:val="auto"/>
        </w:rPr>
        <w:t>Investing in our securities is speculative and involves a high degree of risk. You should carefully consider the risk factors beginning on page 17 of this prospectus before purchasing shares of our common stock.</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ind w:left="140"/>
              <w:spacing w:after="0"/>
              <w:rPr>
                <w:sz w:val="20"/>
                <w:szCs w:val="20"/>
                <w:color w:val="auto"/>
              </w:rPr>
            </w:pPr>
            <w:r>
              <w:rPr>
                <w:rFonts w:ascii="Arial" w:cs="Arial" w:eastAsia="Arial" w:hAnsi="Arial"/>
                <w:sz w:val="16"/>
                <w:szCs w:val="16"/>
                <w:b w:val="1"/>
                <w:bCs w:val="1"/>
                <w:color w:val="auto"/>
              </w:rPr>
              <w:t>Underwriting</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ind w:left="120"/>
              <w:spacing w:after="0"/>
              <w:rPr>
                <w:sz w:val="20"/>
                <w:szCs w:val="20"/>
                <w:color w:val="auto"/>
              </w:rPr>
            </w:pPr>
            <w:r>
              <w:rPr>
                <w:rFonts w:ascii="Arial" w:cs="Arial" w:eastAsia="Arial" w:hAnsi="Arial"/>
                <w:sz w:val="16"/>
                <w:szCs w:val="16"/>
                <w:b w:val="1"/>
                <w:bCs w:val="1"/>
                <w:color w:val="auto"/>
              </w:rPr>
              <w:t>Discounts and</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53"/>
        </w:trPr>
        <w:tc>
          <w:tcPr>
            <w:tcW w:w="402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Price to Public</w:t>
            </w:r>
          </w:p>
        </w:tc>
        <w:tc>
          <w:tcPr>
            <w:tcW w:w="1260" w:type="dxa"/>
            <w:vAlign w:val="bottom"/>
          </w:tcPr>
          <w:p>
            <w:pPr>
              <w:ind w:left="120"/>
              <w:spacing w:after="0"/>
              <w:rPr>
                <w:sz w:val="20"/>
                <w:szCs w:val="20"/>
                <w:color w:val="auto"/>
              </w:rPr>
            </w:pPr>
            <w:r>
              <w:rPr>
                <w:rFonts w:ascii="Arial" w:cs="Arial" w:eastAsia="Arial" w:hAnsi="Arial"/>
                <w:sz w:val="16"/>
                <w:szCs w:val="16"/>
                <w:b w:val="1"/>
                <w:bCs w:val="1"/>
                <w:color w:val="auto"/>
                <w:w w:val="93"/>
              </w:rPr>
              <w:t>Commissions</w:t>
            </w:r>
            <w:r>
              <w:rPr>
                <w:rFonts w:ascii="Arial" w:cs="Arial" w:eastAsia="Arial" w:hAnsi="Arial"/>
                <w:sz w:val="18"/>
                <w:szCs w:val="18"/>
                <w:b w:val="1"/>
                <w:bCs w:val="1"/>
                <w:color w:val="auto"/>
                <w:w w:val="93"/>
                <w:vertAlign w:val="superscript"/>
              </w:rPr>
              <w:t>(1)</w:t>
            </w:r>
          </w:p>
        </w:tc>
        <w:tc>
          <w:tcPr>
            <w:tcW w:w="120" w:type="dxa"/>
            <w:vAlign w:val="bottom"/>
          </w:tcPr>
          <w:p>
            <w:pPr>
              <w:spacing w:after="0"/>
              <w:rPr>
                <w:sz w:val="21"/>
                <w:szCs w:val="21"/>
                <w:color w:val="auto"/>
              </w:rPr>
            </w:pPr>
          </w:p>
        </w:tc>
        <w:tc>
          <w:tcPr>
            <w:tcW w:w="1360" w:type="dxa"/>
            <w:vAlign w:val="bottom"/>
          </w:tcPr>
          <w:p>
            <w:pPr>
              <w:jc w:val="right"/>
              <w:ind w:right="103"/>
              <w:spacing w:after="0"/>
              <w:rPr>
                <w:sz w:val="20"/>
                <w:szCs w:val="20"/>
                <w:color w:val="auto"/>
              </w:rPr>
            </w:pPr>
            <w:r>
              <w:rPr>
                <w:rFonts w:ascii="Arial" w:cs="Arial" w:eastAsia="Arial" w:hAnsi="Arial"/>
                <w:sz w:val="16"/>
                <w:szCs w:val="16"/>
                <w:b w:val="1"/>
                <w:bCs w:val="1"/>
                <w:color w:val="auto"/>
                <w:w w:val="99"/>
              </w:rPr>
              <w:t>Proceeds to Us</w:t>
            </w:r>
          </w:p>
        </w:tc>
      </w:tr>
      <w:tr>
        <w:trPr>
          <w:trHeight w:val="248"/>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240" w:type="dxa"/>
            <w:vAlign w:val="bottom"/>
            <w:tcBorders>
              <w:top w:val="single" w:sz="8" w:color="auto"/>
              <w:bottom w:val="single" w:sz="8" w:color="CCEEFF"/>
            </w:tcBorders>
            <w:shd w:val="clear" w:color="auto" w:fill="CCEEFF"/>
          </w:tcPr>
          <w:p>
            <w:pPr>
              <w:jc w:val="right"/>
              <w:ind w:right="1084"/>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1075"/>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203"/>
              <w:spacing w:after="0"/>
              <w:rPr>
                <w:sz w:val="20"/>
                <w:szCs w:val="20"/>
                <w:color w:val="auto"/>
              </w:rPr>
            </w:pPr>
            <w:r>
              <w:rPr>
                <w:rFonts w:ascii="Arial" w:cs="Arial" w:eastAsia="Arial" w:hAnsi="Arial"/>
                <w:sz w:val="15"/>
                <w:szCs w:val="15"/>
                <w:color w:val="auto"/>
                <w:w w:val="71"/>
              </w:rPr>
              <w:t>$</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jc w:val="right"/>
              <w:ind w:right="1084"/>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1260" w:type="dxa"/>
            <w:vAlign w:val="bottom"/>
          </w:tcPr>
          <w:p>
            <w:pPr>
              <w:jc w:val="right"/>
              <w:ind w:right="1075"/>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3"/>
              <w:spacing w:after="0"/>
              <w:rPr>
                <w:sz w:val="20"/>
                <w:szCs w:val="20"/>
                <w:color w:val="auto"/>
              </w:rPr>
            </w:pPr>
            <w:r>
              <w:rPr>
                <w:rFonts w:ascii="Arial" w:cs="Arial" w:eastAsia="Arial" w:hAnsi="Arial"/>
                <w:sz w:val="18"/>
                <w:szCs w:val="18"/>
                <w:color w:val="auto"/>
              </w:rPr>
              <w:t>$</w:t>
            </w:r>
          </w:p>
        </w:tc>
      </w:tr>
      <w:tr>
        <w:trPr>
          <w:trHeight w:val="291"/>
        </w:trPr>
        <w:tc>
          <w:tcPr>
            <w:tcW w:w="4020" w:type="dxa"/>
            <w:vAlign w:val="bottom"/>
          </w:tcPr>
          <w:p>
            <w:pPr>
              <w:spacing w:after="0"/>
              <w:rPr>
                <w:sz w:val="20"/>
                <w:szCs w:val="20"/>
                <w:color w:val="auto"/>
              </w:rPr>
            </w:pPr>
            <w:r>
              <w:rPr>
                <w:rFonts w:ascii="Arial" w:cs="Arial" w:eastAsia="Arial" w:hAnsi="Arial"/>
                <w:sz w:val="16"/>
                <w:szCs w:val="16"/>
                <w:color w:val="auto"/>
              </w:rPr>
              <w:t>____________</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91" w:lineRule="exact"/>
        <w:rPr>
          <w:sz w:val="20"/>
          <w:szCs w:val="20"/>
          <w:color w:val="auto"/>
        </w:rPr>
      </w:pPr>
    </w:p>
    <w:p>
      <w:pPr>
        <w:ind w:left="880" w:right="619" w:hanging="426"/>
        <w:spacing w:after="0" w:line="293" w:lineRule="auto"/>
        <w:tabs>
          <w:tab w:leader="none" w:pos="88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 addition to the underwriting discount of 8.0% of the public offering price (which does not take into account an underwriting discount of 3.5% of the public offering price as applied to shares sold to certain investors), we have agreed to issue warrants to purchase shares of common stock to the underwriters and reimburse the underwriters for certain expenses in connection with this offering. See “Underwriting” for additional information regarding total underwriting compensation, including information on underwriting discounts.</w:t>
      </w:r>
    </w:p>
    <w:p>
      <w:pPr>
        <w:spacing w:after="0" w:line="212"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We have granted the representative of the underwriters the right to purchase an additional 416,667 shares of our common stock to cover over-allotments.</w:t>
      </w:r>
    </w:p>
    <w:p>
      <w:pPr>
        <w:spacing w:after="0" w:line="193" w:lineRule="exact"/>
        <w:rPr>
          <w:sz w:val="20"/>
          <w:szCs w:val="20"/>
          <w:color w:val="auto"/>
        </w:rPr>
      </w:pPr>
    </w:p>
    <w:p>
      <w:pPr>
        <w:ind w:left="460" w:right="519" w:firstLine="432"/>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20"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w w:val="92"/>
              </w:rPr>
              <w:t>The underwriters expect to deliver the shares of common stock to purchasers on</w:t>
            </w:r>
          </w:p>
        </w:tc>
        <w:tc>
          <w:tcPr>
            <w:tcW w:w="70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364"/>
        </w:trPr>
        <w:tc>
          <w:tcPr>
            <w:tcW w:w="5960" w:type="dxa"/>
            <w:vAlign w:val="bottom"/>
          </w:tcPr>
          <w:p>
            <w:pPr>
              <w:ind w:left="2460"/>
              <w:spacing w:after="0"/>
              <w:rPr>
                <w:sz w:val="20"/>
                <w:szCs w:val="20"/>
                <w:color w:val="auto"/>
              </w:rPr>
            </w:pPr>
            <w:r>
              <w:rPr>
                <w:rFonts w:ascii="Arial" w:cs="Arial" w:eastAsia="Arial" w:hAnsi="Arial"/>
                <w:sz w:val="18"/>
                <w:szCs w:val="18"/>
                <w:b w:val="1"/>
                <w:bCs w:val="1"/>
                <w:i w:val="1"/>
                <w:iCs w:val="1"/>
                <w:color w:val="auto"/>
              </w:rPr>
              <w:t>Joint Book-Running Managers</w:t>
            </w:r>
          </w:p>
        </w:tc>
        <w:tc>
          <w:tcPr>
            <w:tcW w:w="700" w:type="dxa"/>
            <w:vAlign w:val="bottom"/>
          </w:tcPr>
          <w:p>
            <w:pPr>
              <w:spacing w:after="0"/>
              <w:rPr>
                <w:sz w:val="24"/>
                <w:szCs w:val="24"/>
                <w:color w:val="auto"/>
              </w:rPr>
            </w:pPr>
          </w:p>
        </w:tc>
      </w:tr>
    </w:tbl>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328"/>
        </w:trPr>
        <w:tc>
          <w:tcPr>
            <w:tcW w:w="4760" w:type="dxa"/>
            <w:vAlign w:val="bottom"/>
          </w:tcPr>
          <w:p>
            <w:pPr>
              <w:ind w:left="900"/>
              <w:spacing w:after="0"/>
              <w:rPr>
                <w:sz w:val="20"/>
                <w:szCs w:val="20"/>
                <w:color w:val="auto"/>
              </w:rPr>
            </w:pPr>
            <w:r>
              <w:rPr>
                <w:rFonts w:ascii="Arial" w:cs="Arial" w:eastAsia="Arial" w:hAnsi="Arial"/>
                <w:sz w:val="25"/>
                <w:szCs w:val="25"/>
                <w:b w:val="1"/>
                <w:bCs w:val="1"/>
                <w:color w:val="auto"/>
              </w:rPr>
              <w:t>Maxim Group LLC</w:t>
            </w:r>
          </w:p>
        </w:tc>
        <w:tc>
          <w:tcPr>
            <w:tcW w:w="3340" w:type="dxa"/>
            <w:vAlign w:val="bottom"/>
          </w:tcPr>
          <w:p>
            <w:pPr>
              <w:jc w:val="right"/>
              <w:ind w:right="732"/>
              <w:spacing w:after="0"/>
              <w:rPr>
                <w:sz w:val="20"/>
                <w:szCs w:val="20"/>
                <w:color w:val="auto"/>
              </w:rPr>
            </w:pPr>
            <w:r>
              <w:rPr>
                <w:rFonts w:ascii="Arial" w:cs="Arial" w:eastAsia="Arial" w:hAnsi="Arial"/>
                <w:sz w:val="25"/>
                <w:szCs w:val="25"/>
                <w:b w:val="1"/>
                <w:bCs w:val="1"/>
                <w:color w:val="auto"/>
                <w:w w:val="97"/>
              </w:rPr>
              <w:t>Roth Capital Partners</w:t>
            </w:r>
          </w:p>
        </w:tc>
      </w:tr>
      <w:tr>
        <w:trPr>
          <w:trHeight w:val="450"/>
        </w:trPr>
        <w:tc>
          <w:tcPr>
            <w:tcW w:w="4760" w:type="dxa"/>
            <w:vAlign w:val="bottom"/>
          </w:tcPr>
          <w:p>
            <w:pPr>
              <w:ind w:left="2560"/>
              <w:spacing w:after="0"/>
              <w:rPr>
                <w:sz w:val="20"/>
                <w:szCs w:val="20"/>
                <w:color w:val="auto"/>
              </w:rPr>
            </w:pPr>
            <w:r>
              <w:rPr>
                <w:rFonts w:ascii="Arial" w:cs="Arial" w:eastAsia="Arial" w:hAnsi="Arial"/>
                <w:sz w:val="18"/>
                <w:szCs w:val="18"/>
                <w:color w:val="auto"/>
                <w:w w:val="92"/>
              </w:rPr>
              <w:t>The date of this prospectus is</w:t>
            </w:r>
          </w:p>
        </w:tc>
        <w:tc>
          <w:tcPr>
            <w:tcW w:w="3340" w:type="dxa"/>
            <w:vAlign w:val="bottom"/>
          </w:tcPr>
          <w:p>
            <w:pPr>
              <w:jc w:val="right"/>
              <w:ind w:right="2472"/>
              <w:spacing w:after="0"/>
              <w:rPr>
                <w:sz w:val="20"/>
                <w:szCs w:val="20"/>
                <w:color w:val="auto"/>
              </w:rPr>
            </w:pPr>
            <w:r>
              <w:rPr>
                <w:rFonts w:ascii="Arial" w:cs="Arial" w:eastAsia="Arial" w:hAnsi="Arial"/>
                <w:sz w:val="18"/>
                <w:szCs w:val="18"/>
                <w:color w:val="auto"/>
              </w:rPr>
              <w:t>, 2021</w:t>
            </w:r>
          </w:p>
        </w:tc>
      </w:tr>
      <w:tr>
        <w:trPr>
          <w:trHeight w:val="391"/>
        </w:trPr>
        <w:tc>
          <w:tcPr>
            <w:tcW w:w="47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3" w:name="page4"/>
    <w:bookmarkEnd w:id="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7"/>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Summary Financial and Other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Cautionary Note Regarding Forward-Looking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Market, Industry and Other Data</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Use of Proceeds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Dividend Policy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Selected Historical Financial and Operating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Business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Corporate Governance</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89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Executive Compensation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Certain Relationships and Related-Party Transactions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99</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Security Ownership of Certain Beneficial Owners and 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Description of Securities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103</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Shares Eligible for Future Sale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Underwriting</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Legal Matters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115</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Experts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115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Where You Can Find Additional Information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115</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Index to Financial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8"/>
              </w:rPr>
              <w:t>F-1</w:t>
            </w:r>
          </w:p>
        </w:tc>
      </w:tr>
    </w:tbl>
    <w:p>
      <w:pPr>
        <w:spacing w:after="0" w:line="20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You should rely only on the information contained in this prospectus and in any free writing prospectus. We and the underwriters have not authorized anyone to provide you with information different from that contained in this prospectus. We and the underwriters are offering to sell, and seeking offers to buy, shares of our common stock only in jurisdictions where offers and sales are permitted. The information in this prospectus is accurate only as of the date of this prospectus, regardless of the time of delivery of this prospectus or any sale of shares of our common stock.</w:t>
      </w:r>
    </w:p>
    <w:p>
      <w:pPr>
        <w:spacing w:after="0" w:line="125"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05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810514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540" w:right="759" w:firstLine="432"/>
        <w:spacing w:after="0" w:line="259" w:lineRule="auto"/>
        <w:rPr>
          <w:sz w:val="20"/>
          <w:szCs w:val="20"/>
          <w:color w:val="auto"/>
        </w:rPr>
      </w:pPr>
      <w:r>
        <w:rPr>
          <w:rFonts w:ascii="Arial" w:cs="Arial" w:eastAsia="Arial" w:hAnsi="Arial"/>
          <w:sz w:val="18"/>
          <w:szCs w:val="18"/>
          <w:i w:val="1"/>
          <w:iCs w:val="1"/>
          <w:color w:val="auto"/>
        </w:rPr>
        <w:t>This summary highlights certain information appearing elsewhere in this prospectus. For a more complete understanding of this offering, you should read the entire prospectus carefully, including the information under “Risk Factors,” “Business” and our financial statements and the related notes included elsewhere in this prospectus before investing in our common stock.</w:t>
      </w:r>
    </w:p>
    <w:p>
      <w:pPr>
        <w:spacing w:after="0" w:line="119" w:lineRule="exact"/>
        <w:rPr>
          <w:sz w:val="20"/>
          <w:szCs w:val="20"/>
          <w:color w:val="auto"/>
        </w:rPr>
      </w:pPr>
    </w:p>
    <w:p>
      <w:pPr>
        <w:jc w:val="both"/>
        <w:ind w:left="540" w:right="879" w:firstLine="432"/>
        <w:spacing w:after="0" w:line="263" w:lineRule="auto"/>
        <w:rPr>
          <w:sz w:val="20"/>
          <w:szCs w:val="20"/>
          <w:color w:val="auto"/>
        </w:rPr>
      </w:pPr>
      <w:r>
        <w:rPr>
          <w:rFonts w:ascii="Arial" w:cs="Arial" w:eastAsia="Arial" w:hAnsi="Arial"/>
          <w:sz w:val="18"/>
          <w:szCs w:val="18"/>
          <w:i w:val="1"/>
          <w:iCs w:val="1"/>
          <w:color w:val="auto"/>
        </w:rPr>
        <w:t>In this prospectus, unless otherwise stated or the context otherwise requires, references to “Agrify, “Company,” “we,” “us,” “our,” or similar references mean Agrify Corporation and its subsidiaries on a consolidated basis.</w:t>
      </w:r>
    </w:p>
    <w:p>
      <w:pPr>
        <w:spacing w:after="0" w:line="103" w:lineRule="exact"/>
        <w:rPr>
          <w:sz w:val="20"/>
          <w:szCs w:val="20"/>
          <w:color w:val="auto"/>
        </w:rPr>
      </w:pPr>
    </w:p>
    <w:p>
      <w:pPr>
        <w:ind w:left="540" w:right="639" w:firstLine="432"/>
        <w:spacing w:after="0" w:line="263" w:lineRule="auto"/>
        <w:rPr>
          <w:sz w:val="20"/>
          <w:szCs w:val="20"/>
          <w:color w:val="auto"/>
        </w:rPr>
      </w:pPr>
      <w:r>
        <w:rPr>
          <w:rFonts w:ascii="Arial" w:cs="Arial" w:eastAsia="Arial" w:hAnsi="Arial"/>
          <w:sz w:val="18"/>
          <w:szCs w:val="18"/>
          <w:i w:val="1"/>
          <w:iCs w:val="1"/>
          <w:color w:val="auto"/>
        </w:rPr>
        <w:t>On January 12, 2021, we implemented 1-for-1.581804 reverse stock split of our outstanding common stock. Unless the context expressly dictates otherwise, all references to share and per share amounts referred to herein reflect the reverse stock split.</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Structure</w:t>
      </w:r>
    </w:p>
    <w:p>
      <w:pPr>
        <w:spacing w:after="0" w:line="162" w:lineRule="exact"/>
        <w:rPr>
          <w:sz w:val="20"/>
          <w:szCs w:val="20"/>
          <w:color w:val="auto"/>
        </w:rPr>
      </w:pPr>
    </w:p>
    <w:p>
      <w:pPr>
        <w:ind w:left="540" w:right="899" w:firstLine="432"/>
        <w:spacing w:after="0" w:line="263" w:lineRule="auto"/>
        <w:rPr>
          <w:sz w:val="20"/>
          <w:szCs w:val="20"/>
          <w:color w:val="auto"/>
        </w:rPr>
      </w:pPr>
      <w:r>
        <w:rPr>
          <w:rFonts w:ascii="Arial" w:cs="Arial" w:eastAsia="Arial" w:hAnsi="Arial"/>
          <w:sz w:val="18"/>
          <w:szCs w:val="18"/>
          <w:color w:val="auto"/>
        </w:rPr>
        <w:t>We were incorporated on June 6, 2016 in the State of Nevada as Agrinamics, Inc. and subsequently changed our name to Agrify Corporation on September 16, 2019. The following diagram represents our corporate structure and the entities that we consolidate: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purpose and function of each of these entities is as follows:</w:t>
      </w:r>
    </w:p>
    <w:p>
      <w:pPr>
        <w:spacing w:after="0" w:line="144" w:lineRule="exact"/>
        <w:rPr>
          <w:sz w:val="20"/>
          <w:szCs w:val="20"/>
          <w:color w:val="auto"/>
        </w:rPr>
      </w:pPr>
    </w:p>
    <w:p>
      <w:pPr>
        <w:ind w:left="540" w:right="639" w:firstLine="432"/>
        <w:spacing w:after="0" w:line="263" w:lineRule="auto"/>
        <w:rPr>
          <w:sz w:val="20"/>
          <w:szCs w:val="20"/>
          <w:color w:val="auto"/>
        </w:rPr>
      </w:pPr>
      <w:r>
        <w:rPr>
          <w:rFonts w:ascii="Arial" w:cs="Arial" w:eastAsia="Arial" w:hAnsi="Arial"/>
          <w:sz w:val="18"/>
          <w:szCs w:val="18"/>
          <w:i w:val="1"/>
          <w:iCs w:val="1"/>
          <w:color w:val="auto"/>
        </w:rPr>
        <w:t>TriGrow Systems, LLC</w:t>
      </w:r>
      <w:r>
        <w:rPr>
          <w:rFonts w:ascii="Arial" w:cs="Arial" w:eastAsia="Arial" w:hAnsi="Arial"/>
          <w:sz w:val="18"/>
          <w:szCs w:val="18"/>
          <w:color w:val="auto"/>
        </w:rPr>
        <w:t>: We acquired TriGrow Systems, Inc. (“TriGrow”) in January 2020. TriGrow</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sole distributor of our vertical farming units. Following the acquisition of TriGrow, we began selling our products directly to end customers.</w:t>
      </w:r>
    </w:p>
    <w:p>
      <w:pPr>
        <w:spacing w:after="0" w:line="116" w:lineRule="exact"/>
        <w:rPr>
          <w:sz w:val="20"/>
          <w:szCs w:val="20"/>
          <w:color w:val="auto"/>
        </w:rPr>
      </w:pPr>
    </w:p>
    <w:p>
      <w:pPr>
        <w:ind w:left="540" w:right="1399" w:firstLine="432"/>
        <w:spacing w:after="0" w:line="342" w:lineRule="auto"/>
        <w:rPr>
          <w:sz w:val="20"/>
          <w:szCs w:val="20"/>
          <w:color w:val="auto"/>
        </w:rPr>
      </w:pPr>
      <w:r>
        <w:rPr>
          <w:rFonts w:ascii="Arial" w:cs="Arial" w:eastAsia="Arial" w:hAnsi="Arial"/>
          <w:sz w:val="16"/>
          <w:szCs w:val="16"/>
          <w:i w:val="1"/>
          <w:iCs w:val="1"/>
          <w:color w:val="auto"/>
        </w:rPr>
        <w:t>AGM Service Company LLC</w:t>
      </w:r>
      <w:r>
        <w:rPr>
          <w:rFonts w:ascii="Arial" w:cs="Arial" w:eastAsia="Arial" w:hAnsi="Arial"/>
          <w:sz w:val="16"/>
          <w:szCs w:val="16"/>
          <w:color w:val="auto"/>
        </w:rPr>
        <w:t>: AGM Service Company LLC serves as our human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handling employment, benefits and other personnel matters for our company.</w:t>
      </w:r>
    </w:p>
    <w:p>
      <w:pPr>
        <w:spacing w:after="0" w:line="56" w:lineRule="exact"/>
        <w:rPr>
          <w:sz w:val="20"/>
          <w:szCs w:val="20"/>
          <w:color w:val="auto"/>
        </w:rPr>
      </w:pPr>
    </w:p>
    <w:p>
      <w:pPr>
        <w:jc w:val="both"/>
        <w:ind w:left="540" w:right="699" w:firstLine="432"/>
        <w:spacing w:after="0" w:line="263" w:lineRule="auto"/>
        <w:rPr>
          <w:sz w:val="20"/>
          <w:szCs w:val="20"/>
          <w:color w:val="auto"/>
        </w:rPr>
      </w:pPr>
      <w:r>
        <w:rPr>
          <w:rFonts w:ascii="Arial" w:cs="Arial" w:eastAsia="Arial" w:hAnsi="Arial"/>
          <w:sz w:val="18"/>
          <w:szCs w:val="18"/>
          <w:i w:val="1"/>
          <w:iCs w:val="1"/>
          <w:color w:val="auto"/>
        </w:rPr>
        <w:t>Agrify-Valiant, LLC</w:t>
      </w:r>
      <w:r>
        <w:rPr>
          <w:rFonts w:ascii="Arial" w:cs="Arial" w:eastAsia="Arial" w:hAnsi="Arial"/>
          <w:sz w:val="18"/>
          <w:szCs w:val="18"/>
          <w:color w:val="auto"/>
        </w:rPr>
        <w:t>: In December 2019, we established Agrify-Valiant, LLC as a joint venture with</w:t>
      </w:r>
      <w:r>
        <w:rPr>
          <w:rFonts w:ascii="Arial" w:cs="Arial" w:eastAsia="Arial" w:hAnsi="Arial"/>
          <w:sz w:val="18"/>
          <w:szCs w:val="18"/>
          <w:i w:val="1"/>
          <w:iCs w:val="1"/>
          <w:color w:val="auto"/>
        </w:rPr>
        <w:t xml:space="preserve"> </w:t>
      </w:r>
      <w:r>
        <w:rPr>
          <w:rFonts w:ascii="Arial" w:cs="Arial" w:eastAsia="Arial" w:hAnsi="Arial"/>
          <w:sz w:val="18"/>
          <w:szCs w:val="18"/>
          <w:color w:val="auto"/>
        </w:rPr>
        <w:t>Valiant-America. Agrify Valiant, LLC was formed to expand our product offering to include various facility build-out, design, engineering and consulting services.</w:t>
      </w:r>
    </w:p>
    <w:p>
      <w:pPr>
        <w:spacing w:after="0" w:line="103" w:lineRule="exact"/>
        <w:rPr>
          <w:sz w:val="20"/>
          <w:szCs w:val="20"/>
          <w:color w:val="auto"/>
        </w:rPr>
      </w:pPr>
    </w:p>
    <w:p>
      <w:pPr>
        <w:jc w:val="both"/>
        <w:ind w:left="540" w:right="859" w:firstLine="432"/>
        <w:spacing w:after="0" w:line="263" w:lineRule="auto"/>
        <w:rPr>
          <w:sz w:val="20"/>
          <w:szCs w:val="20"/>
          <w:color w:val="auto"/>
        </w:rPr>
      </w:pPr>
      <w:r>
        <w:rPr>
          <w:rFonts w:ascii="Arial" w:cs="Arial" w:eastAsia="Arial" w:hAnsi="Arial"/>
          <w:sz w:val="18"/>
          <w:szCs w:val="18"/>
          <w:i w:val="1"/>
          <w:iCs w:val="1"/>
          <w:color w:val="auto"/>
        </w:rPr>
        <w:t>Agrify Brands, LLC</w:t>
      </w:r>
      <w:r>
        <w:rPr>
          <w:rFonts w:ascii="Arial" w:cs="Arial" w:eastAsia="Arial" w:hAnsi="Arial"/>
          <w:sz w:val="18"/>
          <w:szCs w:val="18"/>
          <w:color w:val="auto"/>
        </w:rPr>
        <w:t>: As part of the acquisition of TriGrow, we received TriGrow’s 75%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Agrify Brands, LLC (formerly TriGrow Brands, LLC), a licensor of an established portfolio of consumer brands that utilize our grow technology.</w:t>
      </w:r>
    </w:p>
    <w:p>
      <w:pPr>
        <w:spacing w:after="0" w:line="116" w:lineRule="exact"/>
        <w:rPr>
          <w:sz w:val="20"/>
          <w:szCs w:val="20"/>
          <w:color w:val="auto"/>
        </w:rPr>
      </w:pPr>
    </w:p>
    <w:p>
      <w:pPr>
        <w:ind w:left="540" w:right="1359" w:firstLine="432"/>
        <w:spacing w:after="0" w:line="277" w:lineRule="auto"/>
        <w:rPr>
          <w:sz w:val="20"/>
          <w:szCs w:val="20"/>
          <w:color w:val="auto"/>
        </w:rPr>
      </w:pPr>
      <w:r>
        <w:rPr>
          <w:rFonts w:ascii="Arial" w:cs="Arial" w:eastAsia="Arial" w:hAnsi="Arial"/>
          <w:sz w:val="18"/>
          <w:szCs w:val="18"/>
          <w:i w:val="1"/>
          <w:iCs w:val="1"/>
          <w:color w:val="auto"/>
        </w:rPr>
        <w:t>Ariafy Finance, LLC</w:t>
      </w:r>
      <w:r>
        <w:rPr>
          <w:rFonts w:ascii="Arial" w:cs="Arial" w:eastAsia="Arial" w:hAnsi="Arial"/>
          <w:sz w:val="18"/>
          <w:szCs w:val="18"/>
          <w:color w:val="auto"/>
        </w:rPr>
        <w:t>: Ariafy Finance, LLC was set up to be used as the entity that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financing to our customers.</w:t>
      </w:r>
    </w:p>
    <w:p>
      <w:pPr>
        <w:spacing w:after="0" w:line="103" w:lineRule="exact"/>
        <w:rPr>
          <w:sz w:val="20"/>
          <w:szCs w:val="20"/>
          <w:color w:val="auto"/>
        </w:rPr>
      </w:pPr>
    </w:p>
    <w:p>
      <w:pPr>
        <w:ind w:left="540" w:right="899" w:firstLine="432"/>
        <w:spacing w:after="0" w:line="308" w:lineRule="auto"/>
        <w:rPr>
          <w:sz w:val="20"/>
          <w:szCs w:val="20"/>
          <w:color w:val="auto"/>
        </w:rPr>
      </w:pPr>
      <w:r>
        <w:rPr>
          <w:rFonts w:ascii="Arial" w:cs="Arial" w:eastAsia="Arial" w:hAnsi="Arial"/>
          <w:sz w:val="17"/>
          <w:szCs w:val="17"/>
          <w:i w:val="1"/>
          <w:iCs w:val="1"/>
          <w:color w:val="auto"/>
        </w:rPr>
        <w:t>Agxiom, LLC</w:t>
      </w:r>
      <w:r>
        <w:rPr>
          <w:rFonts w:ascii="Arial" w:cs="Arial" w:eastAsia="Arial" w:hAnsi="Arial"/>
          <w:sz w:val="17"/>
          <w:szCs w:val="17"/>
          <w:color w:val="auto"/>
        </w:rPr>
        <w:t>: Agxiom, LLC houses the data that is collected by the</w:t>
      </w:r>
      <w:r>
        <w:rPr>
          <w:rFonts w:ascii="Arial" w:cs="Arial" w:eastAsia="Arial" w:hAnsi="Arial"/>
          <w:sz w:val="17"/>
          <w:szCs w:val="17"/>
          <w:i w:val="1"/>
          <w:iCs w:val="1"/>
          <w:color w:val="auto"/>
        </w:rPr>
        <w:t xml:space="preserve"> Agrify Vertical Farming Unit (AVFU)</w:t>
      </w:r>
      <w:r>
        <w:rPr>
          <w:rFonts w:ascii="Arial" w:cs="Arial" w:eastAsia="Arial" w:hAnsi="Arial"/>
          <w:sz w:val="17"/>
          <w:szCs w:val="17"/>
          <w:color w:val="auto"/>
        </w:rPr>
        <w:t>, and integrates the data on behalf of growers with required state reporting platforms.</w:t>
      </w:r>
    </w:p>
    <w:p>
      <w:pPr>
        <w:spacing w:after="0" w:line="65" w:lineRule="exact"/>
        <w:rPr>
          <w:sz w:val="20"/>
          <w:szCs w:val="20"/>
          <w:color w:val="auto"/>
        </w:rPr>
      </w:pPr>
    </w:p>
    <w:p>
      <w:pPr>
        <w:ind w:left="540" w:right="1119" w:firstLine="432"/>
        <w:spacing w:after="0" w:line="277" w:lineRule="auto"/>
        <w:rPr>
          <w:sz w:val="20"/>
          <w:szCs w:val="20"/>
          <w:color w:val="auto"/>
        </w:rPr>
      </w:pPr>
      <w:r>
        <w:rPr>
          <w:rFonts w:ascii="Arial" w:cs="Arial" w:eastAsia="Arial" w:hAnsi="Arial"/>
          <w:sz w:val="18"/>
          <w:szCs w:val="18"/>
          <w:i w:val="1"/>
          <w:iCs w:val="1"/>
          <w:color w:val="auto"/>
        </w:rPr>
        <w:t>Harbor Mountain Holdings, LLC</w:t>
      </w:r>
      <w:r>
        <w:rPr>
          <w:rFonts w:ascii="Arial" w:cs="Arial" w:eastAsia="Arial" w:hAnsi="Arial"/>
          <w:sz w:val="18"/>
          <w:szCs w:val="18"/>
          <w:color w:val="auto"/>
        </w:rPr>
        <w:t>: In July 2020, we acquired Harbor Mountain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(HMH”), a company that has been producing and assembling many of our products.</w:t>
      </w:r>
    </w:p>
    <w:p>
      <w:pPr>
        <w:spacing w:after="0" w:line="103" w:lineRule="exact"/>
        <w:rPr>
          <w:sz w:val="20"/>
          <w:szCs w:val="20"/>
          <w:color w:val="auto"/>
        </w:rPr>
      </w:pPr>
    </w:p>
    <w:p>
      <w:pPr>
        <w:ind w:left="540" w:right="599" w:firstLine="432"/>
        <w:spacing w:after="0" w:line="272" w:lineRule="auto"/>
        <w:rPr>
          <w:sz w:val="20"/>
          <w:szCs w:val="20"/>
          <w:color w:val="auto"/>
        </w:rPr>
      </w:pPr>
      <w:r>
        <w:rPr>
          <w:rFonts w:ascii="Arial" w:cs="Arial" w:eastAsia="Arial" w:hAnsi="Arial"/>
          <w:sz w:val="17"/>
          <w:szCs w:val="17"/>
          <w:color w:val="auto"/>
        </w:rPr>
        <w:t>In addition to our subsidiaries described in our corporate structure diagram, in December 2018, we acquired the right to acquire a 50% interest in Teejan Podponics, LLC (“TPI”) as an ancillary component of an agreement with FoodHUB Atlanta, LLC. Under this agreement, in order to effect and formalize the transfer of the ownership interest to us, we are responsible to obtain TPI’s consent to the assignment and to make the necessary filings in the country of Oman, where TPI was formed. To date, we have not taken any such action to effectuate and formalize the transfer. Our relationship with TPI is solely as a vendor, providing software and related services in support of TPI’s container farms in Oman.</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 w:name="page6"/>
    <w:bookmarkEnd w:id="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933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7933690"/>
                    </a:xfrm>
                    <a:prstGeom prst="rect">
                      <a:avLst/>
                    </a:prstGeom>
                    <a:noFill/>
                  </pic:spPr>
                </pic:pic>
              </a:graphicData>
            </a:graphic>
          </wp:anchor>
        </w:drawing>
      </w:r>
    </w:p>
    <w:p>
      <w:pPr>
        <w:spacing w:after="0" w:line="327" w:lineRule="exact"/>
        <w:rPr>
          <w:sz w:val="20"/>
          <w:szCs w:val="20"/>
          <w:color w:val="auto"/>
        </w:rPr>
      </w:pPr>
    </w:p>
    <w:p>
      <w:pPr>
        <w:ind w:left="540" w:right="619" w:firstLine="432"/>
        <w:spacing w:after="0" w:line="269" w:lineRule="auto"/>
        <w:rPr>
          <w:sz w:val="20"/>
          <w:szCs w:val="20"/>
          <w:color w:val="auto"/>
        </w:rPr>
      </w:pPr>
      <w:r>
        <w:rPr>
          <w:rFonts w:ascii="Arial" w:cs="Arial" w:eastAsia="Arial" w:hAnsi="Arial"/>
          <w:sz w:val="17"/>
          <w:szCs w:val="17"/>
          <w:color w:val="auto"/>
        </w:rPr>
        <w:t>ASC 810-10-25-38, “Consolidation of Variable Interest Entities” requires a variable interest entity (“VIE”) to be consolidated by a company if that company absorbs a majority of the VIE’s expected losses and/or receives a majority of the entity’s expected residual returns as a result of holding variable interests. Agrify-Valiant, LLC and Agrify Brands, LLC are VIEs as defined by ASC 810-10-25-38. While we own 60% of Agrify-Valiant, LLC’s equity interests and 75% of Agrify Brands, LLC’s equity interests, the remaining equity interests in Agrify Valiant, LLC and Agrify Brands, LLC are owned by unrelated third parties, and the agreement with these third parties provides us with greater voting rights. Accordingly, we consolidate the financial statements of Agrify-Valiant, LLC and Agrify Brands, LLC under the VIE rules and reflects the third parties’ interests in the consolidated financial statements as a non-controlling interest. In addition, we hold the right to acquire a 50% interest in TPI since December 2018. TPI is treated as an equity investment as we cannot exercise significant influence.</w:t>
      </w:r>
    </w:p>
    <w:p>
      <w:pPr>
        <w:spacing w:after="0" w:line="114" w:lineRule="exact"/>
        <w:rPr>
          <w:sz w:val="20"/>
          <w:szCs w:val="20"/>
          <w:color w:val="auto"/>
        </w:rPr>
      </w:pPr>
    </w:p>
    <w:p>
      <w:pPr>
        <w:ind w:left="540" w:right="739" w:firstLine="432"/>
        <w:spacing w:after="0" w:line="286" w:lineRule="auto"/>
        <w:rPr>
          <w:sz w:val="20"/>
          <w:szCs w:val="20"/>
          <w:color w:val="auto"/>
        </w:rPr>
      </w:pPr>
      <w:r>
        <w:rPr>
          <w:rFonts w:ascii="Arial" w:cs="Arial" w:eastAsia="Arial" w:hAnsi="Arial"/>
          <w:sz w:val="17"/>
          <w:szCs w:val="17"/>
          <w:color w:val="auto"/>
        </w:rPr>
        <w:t xml:space="preserve">Our principal address is 101 Middlesex Turnpike, Suite 6, PMB 326, Burlington, MA 01803. Our telephone number is (617) 896-5243. We maintain a website at </w:t>
      </w:r>
      <w:r>
        <w:rPr>
          <w:rFonts w:ascii="Arial" w:cs="Arial" w:eastAsia="Arial" w:hAnsi="Arial"/>
          <w:sz w:val="17"/>
          <w:szCs w:val="17"/>
          <w:i w:val="1"/>
          <w:iCs w:val="1"/>
          <w:color w:val="auto"/>
        </w:rPr>
        <w:t>www.agrify.com</w:t>
      </w:r>
      <w:r>
        <w:rPr>
          <w:rFonts w:ascii="Arial" w:cs="Arial" w:eastAsia="Arial" w:hAnsi="Arial"/>
          <w:sz w:val="17"/>
          <w:szCs w:val="17"/>
          <w:color w:val="auto"/>
        </w:rPr>
        <w:t>. The information contained on our website is not, and should not be interpreted to be, a part of this prospectus.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540" w:right="599" w:firstLine="432"/>
        <w:spacing w:after="0" w:line="269" w:lineRule="auto"/>
        <w:rPr>
          <w:sz w:val="20"/>
          <w:szCs w:val="20"/>
          <w:color w:val="auto"/>
        </w:rPr>
      </w:pPr>
      <w:r>
        <w:rPr>
          <w:rFonts w:ascii="Arial" w:cs="Arial" w:eastAsia="Arial" w:hAnsi="Arial"/>
          <w:sz w:val="17"/>
          <w:szCs w:val="17"/>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also believe our </w:t>
      </w:r>
      <w:r>
        <w:rPr>
          <w:rFonts w:ascii="Arial" w:cs="Arial" w:eastAsia="Arial" w:hAnsi="Arial"/>
          <w:sz w:val="17"/>
          <w:szCs w:val="17"/>
          <w:i w:val="1"/>
          <w:iCs w:val="1"/>
          <w:color w:val="auto"/>
        </w:rPr>
        <w:t>Agrify “Precision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Elevated™” </w:t>
      </w:r>
      <w:r>
        <w:rPr>
          <w:rFonts w:ascii="Arial" w:cs="Arial" w:eastAsia="Arial" w:hAnsi="Arial"/>
          <w:sz w:val="17"/>
          <w:szCs w:val="17"/>
          <w:color w:val="auto"/>
        </w:rPr>
        <w:t>cultivation solution is vastly differentiated from anything else on the market in that it combines</w:t>
      </w:r>
      <w:r>
        <w:rPr>
          <w:rFonts w:ascii="Arial" w:cs="Arial" w:eastAsia="Arial" w:hAnsi="Arial"/>
          <w:sz w:val="17"/>
          <w:szCs w:val="17"/>
          <w:i w:val="1"/>
          <w:iCs w:val="1"/>
          <w:color w:val="auto"/>
        </w:rPr>
        <w:t xml:space="preserve"> </w:t>
      </w:r>
      <w:r>
        <w:rPr>
          <w:rFonts w:ascii="Arial" w:cs="Arial" w:eastAsia="Arial" w:hAnsi="Arial"/>
          <w:sz w:val="17"/>
          <w:szCs w:val="17"/>
          <w:color w:val="auto"/>
        </w:rPr>
        <w:t>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118" w:lineRule="exact"/>
        <w:rPr>
          <w:sz w:val="20"/>
          <w:szCs w:val="20"/>
          <w:color w:val="auto"/>
        </w:rPr>
      </w:pPr>
    </w:p>
    <w:p>
      <w:pPr>
        <w:ind w:left="540" w:right="559" w:firstLine="432"/>
        <w:spacing w:after="0" w:line="269" w:lineRule="auto"/>
        <w:rPr>
          <w:sz w:val="20"/>
          <w:szCs w:val="20"/>
          <w:color w:val="auto"/>
        </w:rPr>
      </w:pPr>
      <w:r>
        <w:rPr>
          <w:rFonts w:ascii="Arial" w:cs="Arial" w:eastAsia="Arial" w:hAnsi="Arial"/>
          <w:sz w:val="17"/>
          <w:szCs w:val="17"/>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18" w:lineRule="exact"/>
        <w:rPr>
          <w:sz w:val="20"/>
          <w:szCs w:val="20"/>
          <w:color w:val="auto"/>
        </w:rPr>
      </w:pPr>
    </w:p>
    <w:p>
      <w:pPr>
        <w:ind w:left="540" w:right="579" w:firstLine="432"/>
        <w:spacing w:after="0" w:line="291" w:lineRule="auto"/>
        <w:rPr>
          <w:sz w:val="20"/>
          <w:szCs w:val="20"/>
          <w:color w:val="auto"/>
        </w:rPr>
      </w:pPr>
      <w:r>
        <w:rPr>
          <w:rFonts w:ascii="Arial" w:cs="Arial" w:eastAsia="Arial" w:hAnsi="Arial"/>
          <w:sz w:val="16"/>
          <w:szCs w:val="16"/>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85" w:lineRule="exact"/>
        <w:rPr>
          <w:sz w:val="20"/>
          <w:szCs w:val="20"/>
          <w:color w:val="auto"/>
        </w:rPr>
      </w:pPr>
    </w:p>
    <w:p>
      <w:pPr>
        <w:ind w:left="540" w:right="559" w:firstLine="432"/>
        <w:spacing w:after="0" w:line="270" w:lineRule="auto"/>
        <w:rPr>
          <w:sz w:val="20"/>
          <w:szCs w:val="20"/>
          <w:color w:val="auto"/>
        </w:rPr>
      </w:pPr>
      <w:r>
        <w:rPr>
          <w:rFonts w:ascii="Arial" w:cs="Arial" w:eastAsia="Arial" w:hAnsi="Arial"/>
          <w:sz w:val="17"/>
          <w:szCs w:val="17"/>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a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w:t>
      </w:r>
      <w:r>
        <w:rPr>
          <w:rFonts w:ascii="Arial" w:cs="Arial" w:eastAsia="Arial" w:hAnsi="Arial"/>
          <w:sz w:val="17"/>
          <w:szCs w:val="17"/>
          <w:i w:val="1"/>
          <w:iCs w:val="1"/>
          <w:color w:val="auto"/>
        </w:rPr>
        <w:t>AVFU</w:t>
      </w:r>
      <w:r>
        <w:rPr>
          <w:rFonts w:ascii="Arial" w:cs="Arial" w:eastAsia="Arial" w:hAnsi="Arial"/>
          <w:sz w:val="17"/>
          <w:szCs w:val="17"/>
          <w:color w:val="auto"/>
        </w:rPr>
        <w:t xml:space="preserve">, as well as our proprietary Software as a Service (“SaaS”) product </w:t>
      </w:r>
      <w:r>
        <w:rPr>
          <w:rFonts w:ascii="Arial" w:cs="Arial" w:eastAsia="Arial" w:hAnsi="Arial"/>
          <w:sz w:val="17"/>
          <w:szCs w:val="17"/>
          <w:i w:val="1"/>
          <w:iCs w:val="1"/>
          <w:color w:val="auto"/>
        </w:rPr>
        <w:t>Agrify Insights</w:t>
      </w:r>
      <w:r>
        <w:rPr>
          <w:rFonts w:ascii="Arial" w:cs="Arial" w:eastAsia="Arial" w:hAnsi="Arial"/>
          <w:sz w:val="17"/>
          <w:szCs w:val="17"/>
          <w:color w:val="auto"/>
        </w:rPr>
        <w:t>™. SaaS (also known as subscribeware or rentware) is a software licensing and delivery model wherein software is licensed on a subscription basis and is centrally hosted.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976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7976235"/>
                    </a:xfrm>
                    <a:prstGeom prst="rect">
                      <a:avLst/>
                    </a:prstGeom>
                    <a:noFill/>
                  </pic:spPr>
                </pic:pic>
              </a:graphicData>
            </a:graphic>
          </wp:anchor>
        </w:drawing>
      </w:r>
    </w:p>
    <w:p>
      <w:pPr>
        <w:spacing w:after="0" w:line="327" w:lineRule="exact"/>
        <w:rPr>
          <w:sz w:val="20"/>
          <w:szCs w:val="20"/>
          <w:color w:val="auto"/>
        </w:rPr>
      </w:pPr>
    </w:p>
    <w:p>
      <w:pPr>
        <w:ind w:left="540" w:right="579" w:firstLine="432"/>
        <w:spacing w:after="0" w:line="279" w:lineRule="auto"/>
        <w:rPr>
          <w:sz w:val="20"/>
          <w:szCs w:val="20"/>
          <w:color w:val="auto"/>
        </w:rPr>
      </w:pPr>
      <w:r>
        <w:rPr>
          <w:rFonts w:ascii="Arial" w:cs="Arial" w:eastAsia="Arial" w:hAnsi="Arial"/>
          <w:sz w:val="17"/>
          <w:szCs w:val="17"/>
          <w:color w:val="auto"/>
        </w:rPr>
        <w:t>Our core business model includes substantial equipment sales for the AVFUs as well as recurring SaaS revenues for Agrify Insights™, as our software is licensed by customers through a subscription that allows us to charge monthly fees for its continued use. Additionally, we are able to drive even more revenue and new business through our service offerings and complementary products.</w:t>
      </w:r>
    </w:p>
    <w:p>
      <w:pPr>
        <w:spacing w:after="0" w:line="104" w:lineRule="exact"/>
        <w:rPr>
          <w:sz w:val="20"/>
          <w:szCs w:val="20"/>
          <w:color w:val="auto"/>
        </w:rPr>
      </w:pPr>
    </w:p>
    <w:p>
      <w:pPr>
        <w:ind w:left="540" w:right="559" w:firstLine="432"/>
        <w:spacing w:after="0" w:line="259" w:lineRule="auto"/>
        <w:rPr>
          <w:sz w:val="20"/>
          <w:szCs w:val="20"/>
          <w:color w:val="auto"/>
        </w:rPr>
      </w:pPr>
      <w:r>
        <w:rPr>
          <w:rFonts w:ascii="Arial" w:cs="Arial" w:eastAsia="Arial" w:hAnsi="Arial"/>
          <w:sz w:val="18"/>
          <w:szCs w:val="18"/>
          <w:color w:val="auto"/>
        </w:rPr>
        <w:t>All of our AVFU-related revenue has come from sales of the first three generations of our AVFU, which has substantially similar functionality as the AVFU version 3.5. We have also been selling LED lights, a small amount of environmental threat mitigation products from Bluezone Products, Inc. and Enozo Technologies, Inc. and other grow and ancillary equipment.</w:t>
      </w:r>
    </w:p>
    <w:p>
      <w:pPr>
        <w:spacing w:after="0" w:line="106" w:lineRule="exact"/>
        <w:rPr>
          <w:sz w:val="20"/>
          <w:szCs w:val="20"/>
          <w:color w:val="auto"/>
        </w:rPr>
      </w:pPr>
    </w:p>
    <w:p>
      <w:pPr>
        <w:ind w:left="540" w:right="779" w:firstLine="432"/>
        <w:spacing w:after="0" w:line="293" w:lineRule="auto"/>
        <w:rPr>
          <w:sz w:val="20"/>
          <w:szCs w:val="20"/>
          <w:color w:val="auto"/>
        </w:rPr>
      </w:pPr>
      <w:r>
        <w:rPr>
          <w:rFonts w:ascii="Arial" w:cs="Arial" w:eastAsia="Arial" w:hAnsi="Arial"/>
          <w:sz w:val="16"/>
          <w:szCs w:val="16"/>
          <w:color w:val="auto"/>
        </w:rPr>
        <w:t>As of December 31, 2020, our backlog, which consists of purchase orders or purchase commitments, was $59.3 million. We expect to recognize revenue of approximately $40 million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w:t>
      </w:r>
    </w:p>
    <w:p>
      <w:pPr>
        <w:spacing w:after="0" w:line="97" w:lineRule="exact"/>
        <w:rPr>
          <w:sz w:val="20"/>
          <w:szCs w:val="20"/>
          <w:color w:val="auto"/>
        </w:rPr>
      </w:pPr>
    </w:p>
    <w:p>
      <w:pPr>
        <w:ind w:left="540" w:right="619" w:firstLine="432"/>
        <w:spacing w:after="0" w:line="291" w:lineRule="auto"/>
        <w:rPr>
          <w:sz w:val="20"/>
          <w:szCs w:val="20"/>
          <w:color w:val="auto"/>
        </w:rPr>
      </w:pPr>
      <w:r>
        <w:rPr>
          <w:rFonts w:ascii="Arial" w:cs="Arial" w:eastAsia="Arial" w:hAnsi="Arial"/>
          <w:sz w:val="16"/>
          <w:szCs w:val="16"/>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$2.3 million and $11.1 million.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99" w:lineRule="exact"/>
        <w:rPr>
          <w:sz w:val="20"/>
          <w:szCs w:val="20"/>
          <w:color w:val="auto"/>
        </w:rPr>
      </w:pPr>
    </w:p>
    <w:p>
      <w:pPr>
        <w:ind w:left="540" w:right="619" w:firstLine="432"/>
        <w:spacing w:after="0" w:line="289" w:lineRule="auto"/>
        <w:rPr>
          <w:sz w:val="20"/>
          <w:szCs w:val="20"/>
          <w:color w:val="auto"/>
        </w:rPr>
      </w:pPr>
      <w:r>
        <w:rPr>
          <w:rFonts w:ascii="Arial" w:cs="Arial" w:eastAsia="Arial" w:hAnsi="Arial"/>
          <w:sz w:val="16"/>
          <w:szCs w:val="16"/>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Product: the Agrify “Precision Elevated™” Cultivation Solution</w:t>
      </w:r>
    </w:p>
    <w:p>
      <w:pPr>
        <w:spacing w:after="0" w:line="148" w:lineRule="exact"/>
        <w:rPr>
          <w:sz w:val="20"/>
          <w:szCs w:val="20"/>
          <w:color w:val="auto"/>
        </w:rPr>
      </w:pPr>
    </w:p>
    <w:p>
      <w:pPr>
        <w:ind w:left="540" w:right="619" w:firstLine="432"/>
        <w:spacing w:after="0" w:line="273" w:lineRule="auto"/>
        <w:rPr>
          <w:sz w:val="20"/>
          <w:szCs w:val="20"/>
          <w:color w:val="auto"/>
        </w:rPr>
      </w:pPr>
      <w:r>
        <w:rPr>
          <w:rFonts w:ascii="Arial" w:cs="Arial" w:eastAsia="Arial" w:hAnsi="Arial"/>
          <w:sz w:val="17"/>
          <w:szCs w:val="17"/>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110" w:lineRule="exact"/>
        <w:rPr>
          <w:sz w:val="20"/>
          <w:szCs w:val="20"/>
          <w:color w:val="auto"/>
        </w:rPr>
      </w:pPr>
    </w:p>
    <w:p>
      <w:pPr>
        <w:jc w:val="both"/>
        <w:ind w:left="540" w:right="579" w:firstLine="432"/>
        <w:spacing w:after="0" w:line="301" w:lineRule="auto"/>
        <w:rPr>
          <w:sz w:val="20"/>
          <w:szCs w:val="20"/>
          <w:color w:val="auto"/>
        </w:rPr>
      </w:pPr>
      <w:r>
        <w:rPr>
          <w:rFonts w:ascii="Arial" w:cs="Arial" w:eastAsia="Arial" w:hAnsi="Arial"/>
          <w:sz w:val="16"/>
          <w:szCs w:val="16"/>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90" w:lineRule="exact"/>
        <w:rPr>
          <w:sz w:val="20"/>
          <w:szCs w:val="20"/>
          <w:color w:val="auto"/>
        </w:rPr>
      </w:pPr>
    </w:p>
    <w:p>
      <w:pPr>
        <w:ind w:left="540" w:right="579" w:firstLine="432"/>
        <w:spacing w:after="0" w:line="253" w:lineRule="auto"/>
        <w:rPr>
          <w:sz w:val="20"/>
          <w:szCs w:val="20"/>
          <w:color w:val="auto"/>
        </w:rPr>
      </w:pPr>
      <w:r>
        <w:rPr>
          <w:rFonts w:ascii="Arial" w:cs="Arial" w:eastAsia="Arial" w:hAnsi="Arial"/>
          <w:sz w:val="18"/>
          <w:szCs w:val="18"/>
          <w:color w:val="auto"/>
        </w:rPr>
        <w:t>Beyond our core bundled and integrated offering, we have several other products we are actively marketing, such as Agrify Integrated Grow Racks, environmental threat mitigation solutions from Bluezone and Enozo, as well as LED lights specifically designed for horticulture applications. Additionally, we offer various facility build-out, design, engineering and consulting services through our joint venture with Valiant-America, and we have an equipment financing vehicle that assists customers with the buying process. All of these ancillary products and services can be utilized on their own, offering valuable touchpoints to potentially seed relationships and convert them into more lucrative land-and-expand engagements in the future, or they can serve as complements to our core offering to form a novel, fully integrated approach for indoor cultivation.</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44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0448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759" w:firstLine="432"/>
        <w:spacing w:after="0" w:line="259" w:lineRule="auto"/>
        <w:rPr>
          <w:sz w:val="20"/>
          <w:szCs w:val="20"/>
          <w:color w:val="auto"/>
        </w:rPr>
      </w:pPr>
      <w:r>
        <w:rPr>
          <w:rFonts w:ascii="Arial" w:cs="Arial" w:eastAsia="Arial" w:hAnsi="Arial"/>
          <w:sz w:val="18"/>
          <w:szCs w:val="18"/>
          <w:color w:val="auto"/>
        </w:rPr>
        <w:t>Our core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Agrify Vertical Farming Unit</w:t>
      </w:r>
    </w:p>
    <w:p>
      <w:pPr>
        <w:spacing w:after="0" w:line="162" w:lineRule="exact"/>
        <w:rPr>
          <w:sz w:val="20"/>
          <w:szCs w:val="20"/>
          <w:color w:val="auto"/>
        </w:rPr>
      </w:pPr>
    </w:p>
    <w:p>
      <w:pPr>
        <w:ind w:left="540" w:right="619" w:firstLine="432"/>
        <w:spacing w:after="0" w:line="269" w:lineRule="auto"/>
        <w:rPr>
          <w:sz w:val="20"/>
          <w:szCs w:val="20"/>
          <w:color w:val="auto"/>
        </w:rPr>
      </w:pPr>
      <w:r>
        <w:rPr>
          <w:rFonts w:ascii="Arial" w:cs="Arial" w:eastAsia="Arial" w:hAnsi="Arial"/>
          <w:sz w:val="17"/>
          <w:szCs w:val="17"/>
          <w:color w:val="auto"/>
        </w:rPr>
        <w:t>We believe that our AVFU is the only product on the market that offers a modular, compartmentalized micro-climate growing system for indoor vertical farming. These 8.5 ft. long x 4 ft. wide x 9.3 ft. tall units each have two tiers of growing space. They are designed to line up horizontally in rows, and they can be stacked vertically up to 3 units tall allowing a total of 6 layers of canopy, effectively taking advantage of previously unused indoor vertical space. 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Agrify Insights™</w:t>
      </w:r>
    </w:p>
    <w:p>
      <w:pPr>
        <w:sectPr>
          <w:pgSz w:w="11900" w:h="16838" w:orient="portrait"/>
          <w:cols w:equalWidth="0" w:num="1">
            <w:col w:w="9019"/>
          </w:cols>
          <w:pgMar w:left="1440" w:top="274" w:right="1440" w:bottom="1440" w:gutter="0" w:footer="0" w:header="0"/>
          <w:type w:val="continuous"/>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284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28484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56" w:lineRule="exact"/>
        <w:rPr>
          <w:sz w:val="20"/>
          <w:szCs w:val="20"/>
          <w:color w:val="auto"/>
        </w:rPr>
      </w:pPr>
    </w:p>
    <w:p>
      <w:pPr>
        <w:ind w:left="540" w:right="599" w:firstLine="432"/>
        <w:spacing w:after="0" w:line="270" w:lineRule="auto"/>
        <w:rPr>
          <w:sz w:val="20"/>
          <w:szCs w:val="20"/>
          <w:color w:val="auto"/>
        </w:rPr>
      </w:pPr>
      <w:r>
        <w:rPr>
          <w:rFonts w:ascii="Arial" w:cs="Arial" w:eastAsia="Arial" w:hAnsi="Arial"/>
          <w:sz w:val="17"/>
          <w:szCs w:val="17"/>
          <w:color w:val="auto"/>
        </w:rPr>
        <w:t>A key component of our cultivation solution is our proprietary software, Agrify Insights™, which has been developed in-house. This cloud-based software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73" w:lineRule="exact"/>
        <w:rPr>
          <w:sz w:val="20"/>
          <w:szCs w:val="20"/>
          <w:color w:val="auto"/>
        </w:rPr>
      </w:pPr>
    </w:p>
    <w:p>
      <w:pPr>
        <w:ind w:left="540" w:right="579" w:firstLine="432"/>
        <w:spacing w:after="0" w:line="269" w:lineRule="auto"/>
        <w:rPr>
          <w:sz w:val="20"/>
          <w:szCs w:val="20"/>
          <w:color w:val="auto"/>
        </w:rPr>
      </w:pPr>
      <w:r>
        <w:rPr>
          <w:rFonts w:ascii="Arial" w:cs="Arial" w:eastAsia="Arial" w:hAnsi="Arial"/>
          <w:sz w:val="17"/>
          <w:szCs w:val="17"/>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 While Agrify Insights™ is currently only available to customers who intend to use it in tandem with the AVFUs, we have been receiving considerable interest in our software as a standalone product, and we may revisit the possibility of offering it independently in the future.</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Economic Implications of Our Agrify Vertical Farming Unit Cultivation Solution</w:t>
      </w:r>
    </w:p>
    <w:p>
      <w:pPr>
        <w:spacing w:after="0" w:line="121" w:lineRule="exact"/>
        <w:rPr>
          <w:sz w:val="20"/>
          <w:szCs w:val="20"/>
          <w:color w:val="auto"/>
        </w:rPr>
      </w:pPr>
    </w:p>
    <w:p>
      <w:pPr>
        <w:jc w:val="both"/>
        <w:ind w:left="540" w:right="679" w:firstLine="432"/>
        <w:spacing w:after="0" w:line="286" w:lineRule="auto"/>
        <w:rPr>
          <w:sz w:val="20"/>
          <w:szCs w:val="20"/>
          <w:color w:val="auto"/>
        </w:rPr>
      </w:pPr>
      <w:r>
        <w:rPr>
          <w:rFonts w:ascii="Arial" w:cs="Arial" w:eastAsia="Arial" w:hAnsi="Arial"/>
          <w:sz w:val="17"/>
          <w:szCs w:val="17"/>
          <w:color w:val="auto"/>
        </w:rPr>
        <w:t>To further illustrate the benefit of going with the AVFU infrastructure versus a more traditional indoor cultivation setup with conventional LED lights or conventional high pressure sodium (HPS) lights, we have conducted a comparative analysis internally on an actual 45,082 square foot facility.</w:t>
      </w:r>
    </w:p>
    <w:p>
      <w:pPr>
        <w:spacing w:after="0" w:line="57" w:lineRule="exact"/>
        <w:rPr>
          <w:sz w:val="20"/>
          <w:szCs w:val="20"/>
          <w:color w:val="auto"/>
        </w:rPr>
      </w:pPr>
    </w:p>
    <w:p>
      <w:pPr>
        <w:ind w:left="540" w:right="599" w:firstLine="432"/>
        <w:spacing w:after="0" w:line="257" w:lineRule="auto"/>
        <w:rPr>
          <w:sz w:val="20"/>
          <w:szCs w:val="20"/>
          <w:color w:val="auto"/>
        </w:rPr>
      </w:pPr>
      <w:r>
        <w:rPr>
          <w:rFonts w:ascii="Arial" w:cs="Arial" w:eastAsia="Arial" w:hAnsi="Arial"/>
          <w:sz w:val="18"/>
          <w:szCs w:val="18"/>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 w:name="page10"/>
    <w:bookmarkEnd w:id="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762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7762240"/>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Facility with AVFU Setup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Facility with Traditional Grow Room</w:t>
      </w:r>
    </w:p>
    <w:p>
      <w:pPr>
        <w:spacing w:after="0" w:line="67" w:lineRule="exact"/>
        <w:rPr>
          <w:sz w:val="20"/>
          <w:szCs w:val="20"/>
          <w:color w:val="auto"/>
        </w:rPr>
      </w:pPr>
    </w:p>
    <w:p>
      <w:pPr>
        <w:ind w:left="540" w:right="127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three different approaches in what we believe to be our conservative and defensible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32" w:lineRule="exact"/>
        <w:rPr>
          <w:sz w:val="20"/>
          <w:szCs w:val="20"/>
          <w:color w:val="auto"/>
        </w:rPr>
      </w:pPr>
    </w:p>
    <w:p>
      <w:pPr>
        <w:ind w:left="940" w:hanging="396"/>
        <w:spacing w:after="0"/>
        <w:tabs>
          <w:tab w:leader="none" w:pos="9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15.</w:t>
      </w:r>
    </w:p>
    <w:p>
      <w:pPr>
        <w:spacing w:after="0" w:line="392" w:lineRule="exact"/>
        <w:rPr>
          <w:rFonts w:ascii="Arial" w:cs="Arial" w:eastAsia="Arial" w:hAnsi="Arial"/>
          <w:sz w:val="16"/>
          <w:szCs w:val="16"/>
          <w:i w:val="1"/>
          <w:iCs w:val="1"/>
          <w:color w:val="auto"/>
        </w:rPr>
      </w:pPr>
    </w:p>
    <w:p>
      <w:pPr>
        <w:ind w:left="4460"/>
        <w:spacing w:after="0"/>
        <w:rPr>
          <w:rFonts w:ascii="Arial" w:cs="Arial" w:eastAsia="Arial" w:hAnsi="Arial"/>
          <w:sz w:val="16"/>
          <w:szCs w:val="16"/>
          <w:i w:val="1"/>
          <w:iCs w:val="1"/>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 w:name="page11"/>
    <w:bookmarkEnd w:id="10"/>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99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579" w:firstLine="432"/>
        <w:spacing w:after="0" w:line="268" w:lineRule="auto"/>
        <w:rPr>
          <w:sz w:val="20"/>
          <w:szCs w:val="20"/>
          <w:color w:val="auto"/>
        </w:rPr>
      </w:pPr>
      <w:r>
        <w:rPr>
          <w:rFonts w:ascii="Arial" w:cs="Arial" w:eastAsia="Arial" w:hAnsi="Arial"/>
          <w:sz w:val="17"/>
          <w:szCs w:val="17"/>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540" w:right="1119" w:firstLine="432"/>
        <w:spacing w:after="0" w:line="277" w:lineRule="auto"/>
        <w:rPr>
          <w:sz w:val="20"/>
          <w:szCs w:val="20"/>
          <w:color w:val="auto"/>
        </w:rPr>
      </w:pPr>
      <w:r>
        <w:rPr>
          <w:rFonts w:ascii="Arial" w:cs="Arial" w:eastAsia="Arial" w:hAnsi="Arial"/>
          <w:sz w:val="18"/>
          <w:szCs w:val="18"/>
          <w:color w:val="auto"/>
        </w:rPr>
        <w:t>We believe our business has, and our future success will be driven by, the following competitive strengths:</w:t>
      </w:r>
    </w:p>
    <w:p>
      <w:pPr>
        <w:spacing w:after="0" w:line="89" w:lineRule="exact"/>
        <w:rPr>
          <w:sz w:val="20"/>
          <w:szCs w:val="20"/>
          <w:color w:val="auto"/>
        </w:rPr>
      </w:pPr>
    </w:p>
    <w:p>
      <w:pPr>
        <w:ind w:left="1400" w:right="599" w:hanging="424"/>
        <w:spacing w:after="0" w:line="271" w:lineRule="auto"/>
        <w:tabs>
          <w:tab w:leader="none" w:pos="1391"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Innovative Technology in an Attractive Growing Industry</w:t>
      </w:r>
      <w:r>
        <w:rPr>
          <w:rFonts w:ascii="Arial" w:cs="Arial" w:eastAsia="Arial" w:hAnsi="Arial"/>
          <w:sz w:val="17"/>
          <w:szCs w:val="17"/>
          <w:color w:val="auto"/>
        </w:rPr>
        <w:t>. Our innovative solutions are aimed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large and growing U.S. domestic and global markets. We believe we are the only provider of a fully integrated end-to-end hardware and software turnkey solution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110" w:lineRule="exact"/>
        <w:rPr>
          <w:rFonts w:ascii="Arial" w:cs="Arial" w:eastAsia="Arial" w:hAnsi="Arial"/>
          <w:sz w:val="17"/>
          <w:szCs w:val="17"/>
          <w:color w:val="auto"/>
        </w:rPr>
      </w:pPr>
    </w:p>
    <w:p>
      <w:pPr>
        <w:ind w:left="1400" w:right="859" w:hanging="424"/>
        <w:spacing w:after="0" w:line="259"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Proprietary Components. </w:t>
      </w:r>
      <w:r>
        <w:rPr>
          <w:rFonts w:ascii="Arial" w:cs="Arial" w:eastAsia="Arial" w:hAnsi="Arial"/>
          <w:sz w:val="18"/>
          <w:szCs w:val="18"/>
          <w:color w:val="auto"/>
        </w:rPr>
        <w:t>We design and create our own hardware, software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pacing w:after="0" w:line="119" w:lineRule="exact"/>
        <w:rPr>
          <w:rFonts w:ascii="Arial" w:cs="Arial" w:eastAsia="Arial" w:hAnsi="Arial"/>
          <w:sz w:val="18"/>
          <w:szCs w:val="18"/>
          <w:color w:val="auto"/>
        </w:rPr>
      </w:pPr>
    </w:p>
    <w:p>
      <w:pPr>
        <w:ind w:left="1400" w:right="559" w:hanging="424"/>
        <w:spacing w:after="0" w:line="290" w:lineRule="auto"/>
        <w:tabs>
          <w:tab w:leader="none" w:pos="1391"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Emphasis on Precision and Consistency Through Our Proprietary Grow Solutions. </w:t>
      </w:r>
      <w:r>
        <w:rPr>
          <w:rFonts w:ascii="Arial" w:cs="Arial" w:eastAsia="Arial" w:hAnsi="Arial"/>
          <w:sz w:val="16"/>
          <w:szCs w:val="16"/>
          <w:color w:val="auto"/>
        </w:rPr>
        <w:t>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being 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repeatability from anywhere similar to any other consumer product company that provides a branded food or drink product.</w:t>
      </w:r>
    </w:p>
    <w:p>
      <w:pPr>
        <w:spacing w:after="0" w:line="84" w:lineRule="exact"/>
        <w:rPr>
          <w:rFonts w:ascii="Arial" w:cs="Arial" w:eastAsia="Arial" w:hAnsi="Arial"/>
          <w:sz w:val="16"/>
          <w:szCs w:val="16"/>
          <w:color w:val="auto"/>
        </w:rPr>
      </w:pPr>
    </w:p>
    <w:p>
      <w:pPr>
        <w:ind w:left="1400" w:right="559" w:hanging="424"/>
        <w:spacing w:after="0" w:line="255"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Knowledge and Understanding. </w:t>
      </w:r>
      <w:r>
        <w:rPr>
          <w:rFonts w:ascii="Arial" w:cs="Arial" w:eastAsia="Arial" w:hAnsi="Arial"/>
          <w:sz w:val="18"/>
          <w:szCs w:val="18"/>
          <w:color w:val="auto"/>
        </w:rPr>
        <w:t>We have extensive experience with controlled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agriculture 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24" w:lineRule="exact"/>
        <w:rPr>
          <w:rFonts w:ascii="Arial" w:cs="Arial" w:eastAsia="Arial" w:hAnsi="Arial"/>
          <w:sz w:val="18"/>
          <w:szCs w:val="18"/>
          <w:color w:val="auto"/>
        </w:rPr>
      </w:pPr>
    </w:p>
    <w:p>
      <w:pPr>
        <w:ind w:left="1400" w:right="559" w:hanging="424"/>
        <w:spacing w:after="0" w:line="293" w:lineRule="auto"/>
        <w:tabs>
          <w:tab w:leader="none" w:pos="1391"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Business Model. </w:t>
      </w:r>
      <w:r>
        <w:rPr>
          <w:rFonts w:ascii="Arial" w:cs="Arial" w:eastAsia="Arial" w:hAnsi="Arial"/>
          <w:sz w:val="16"/>
          <w:szCs w:val="16"/>
          <w:color w:val="auto"/>
        </w:rPr>
        <w:t>Unlike many of our competitors, we offer a diversified mix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96" w:lineRule="exact"/>
        <w:rPr>
          <w:rFonts w:ascii="Arial" w:cs="Arial" w:eastAsia="Arial" w:hAnsi="Arial"/>
          <w:sz w:val="16"/>
          <w:szCs w:val="16"/>
          <w:color w:val="auto"/>
        </w:rPr>
      </w:pPr>
    </w:p>
    <w:p>
      <w:pPr>
        <w:ind w:left="1400" w:right="559" w:hanging="424"/>
        <w:spacing w:after="0" w:line="272" w:lineRule="auto"/>
        <w:tabs>
          <w:tab w:leader="none" w:pos="1391"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Strategic Investment from and Deep Integration with Large Asian Manufacturer</w:t>
      </w:r>
      <w:r>
        <w:rPr>
          <w:rFonts w:ascii="Arial" w:cs="Arial" w:eastAsia="Arial" w:hAnsi="Arial"/>
          <w:sz w:val="17"/>
          <w:szCs w:val="17"/>
          <w:color w:val="auto"/>
        </w:rPr>
        <w: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base includes Inventronics Inc.,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Although we are not a party to a definitive agreement that governs our relationship with Inventronics, we believe our</w:t>
      </w:r>
    </w:p>
    <w:p>
      <w:pPr>
        <w:sectPr>
          <w:pgSz w:w="11900" w:h="16838" w:orient="portrait"/>
          <w:cols w:equalWidth="0" w:num="1">
            <w:col w:w="9019"/>
          </w:cols>
          <w:pgMar w:left="1440" w:top="274" w:right="1440" w:bottom="1440" w:gutter="0" w:footer="0" w:header="0"/>
          <w:type w:val="continuous"/>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 w:name="page12"/>
    <w:bookmarkEnd w:id="11"/>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962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80962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579"/>
        <w:spacing w:after="0" w:line="254" w:lineRule="auto"/>
        <w:rPr>
          <w:sz w:val="20"/>
          <w:szCs w:val="20"/>
          <w:color w:val="auto"/>
        </w:rPr>
      </w:pPr>
      <w:r>
        <w:rPr>
          <w:rFonts w:ascii="Arial" w:cs="Arial" w:eastAsia="Arial" w:hAnsi="Arial"/>
          <w:sz w:val="18"/>
          <w:szCs w:val="18"/>
          <w:color w:val="auto"/>
        </w:rPr>
        <w:t>long-term relationship with this large manufacturer will allow us to incorporate the most advanced LED driver technology into our products and gain research and development support for any custom power supply needs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127" w:lineRule="exact"/>
        <w:rPr>
          <w:sz w:val="20"/>
          <w:szCs w:val="20"/>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Joint Venture with Experienced Consulting and General Contractor of Industrial</w:t>
      </w:r>
    </w:p>
    <w:p>
      <w:pPr>
        <w:spacing w:after="0" w:line="23" w:lineRule="exact"/>
        <w:rPr>
          <w:rFonts w:ascii="Arial" w:cs="Arial" w:eastAsia="Arial" w:hAnsi="Arial"/>
          <w:sz w:val="18"/>
          <w:szCs w:val="18"/>
          <w:color w:val="auto"/>
        </w:rPr>
      </w:pPr>
    </w:p>
    <w:p>
      <w:pPr>
        <w:ind w:left="1400" w:right="579"/>
        <w:spacing w:after="0" w:line="285" w:lineRule="auto"/>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Facilities. </w:t>
      </w:r>
      <w:r>
        <w:rPr>
          <w:rFonts w:ascii="Arial" w:cs="Arial" w:eastAsia="Arial" w:hAnsi="Arial"/>
          <w:sz w:val="16"/>
          <w:szCs w:val="16"/>
          <w:color w:val="auto"/>
        </w:rPr>
        <w:t>We formed a joint venture with Valiant-America in December 2019 recognizing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 Our joint venture with Valiant-America has generated 40.2% (or $3,108,000) in total revenue in the first nine months of 2020.</w:t>
      </w:r>
    </w:p>
    <w:p>
      <w:pPr>
        <w:spacing w:after="0" w:line="90" w:lineRule="exact"/>
        <w:rPr>
          <w:rFonts w:ascii="Arial" w:cs="Arial" w:eastAsia="Arial" w:hAnsi="Arial"/>
          <w:sz w:val="18"/>
          <w:szCs w:val="18"/>
          <w:color w:val="auto"/>
        </w:rPr>
      </w:pPr>
    </w:p>
    <w:p>
      <w:pPr>
        <w:ind w:left="1400" w:right="659" w:hanging="424"/>
        <w:spacing w:after="0" w:line="275" w:lineRule="auto"/>
        <w:tabs>
          <w:tab w:leader="none" w:pos="1391"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Equipment Financing Solution. </w:t>
      </w:r>
      <w:r>
        <w:rPr>
          <w:rFonts w:ascii="Arial" w:cs="Arial" w:eastAsia="Arial" w:hAnsi="Arial"/>
          <w:sz w:val="17"/>
          <w:szCs w:val="17"/>
          <w:color w:val="auto"/>
        </w:rPr>
        <w:t>Limited access to outside capital is a significant issue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cultivators as it can inhibit growth and cultivation facility expansion. We help solve this problem by offering equipment financing plans for select good credit customers, which we believe further enables us to become a vendor of choice. Qualified customers pay approximately 30%-50% upfront and finance the balance through a two-year payment plan.</w:t>
      </w:r>
    </w:p>
    <w:p>
      <w:pPr>
        <w:spacing w:after="0" w:line="108" w:lineRule="exact"/>
        <w:rPr>
          <w:rFonts w:ascii="Arial" w:cs="Arial" w:eastAsia="Arial" w:hAnsi="Arial"/>
          <w:sz w:val="17"/>
          <w:szCs w:val="17"/>
          <w:color w:val="auto"/>
        </w:rPr>
      </w:pPr>
    </w:p>
    <w:p>
      <w:pPr>
        <w:ind w:left="1400" w:right="719" w:hanging="424"/>
        <w:spacing w:after="0" w:line="259"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and Proven Management Team. </w:t>
      </w:r>
      <w:r>
        <w:rPr>
          <w:rFonts w:ascii="Arial" w:cs="Arial" w:eastAsia="Arial" w:hAnsi="Arial"/>
          <w:sz w:val="18"/>
          <w:szCs w:val="18"/>
          <w:color w:val="auto"/>
        </w:rPr>
        <w:t>Our leadership team has entrepreneurial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technical expertise, and a track record of scaling up businesses and operating public companies. Additionally, our team is supported by strong advisors and leading strategic and institutional investors.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Industry Overview</w:t>
      </w:r>
    </w:p>
    <w:p>
      <w:pPr>
        <w:spacing w:after="0" w:line="148" w:lineRule="exact"/>
        <w:rPr>
          <w:sz w:val="20"/>
          <w:szCs w:val="20"/>
          <w:color w:val="auto"/>
        </w:rPr>
      </w:pPr>
    </w:p>
    <w:p>
      <w:pPr>
        <w:ind w:left="540" w:right="639" w:firstLine="432"/>
        <w:spacing w:after="0" w:line="255" w:lineRule="auto"/>
        <w:rPr>
          <w:sz w:val="20"/>
          <w:szCs w:val="20"/>
          <w:color w:val="auto"/>
        </w:rPr>
      </w:pPr>
      <w:r>
        <w:rPr>
          <w:rFonts w:ascii="Arial" w:cs="Arial" w:eastAsia="Arial" w:hAnsi="Arial"/>
          <w:sz w:val="18"/>
          <w:szCs w:val="18"/>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compounded annual growth rate, or CAGR, of 3.4%.</w:t>
      </w:r>
    </w:p>
    <w:p>
      <w:pPr>
        <w:spacing w:after="0" w:line="111" w:lineRule="exact"/>
        <w:rPr>
          <w:sz w:val="20"/>
          <w:szCs w:val="20"/>
          <w:color w:val="auto"/>
        </w:rPr>
      </w:pPr>
    </w:p>
    <w:p>
      <w:pPr>
        <w:ind w:left="540" w:right="579" w:firstLine="432"/>
        <w:spacing w:after="0" w:line="291" w:lineRule="auto"/>
        <w:rPr>
          <w:sz w:val="20"/>
          <w:szCs w:val="20"/>
          <w:color w:val="auto"/>
        </w:rPr>
      </w:pPr>
      <w:r>
        <w:rPr>
          <w:rFonts w:ascii="Arial" w:cs="Arial" w:eastAsia="Arial" w:hAnsi="Arial"/>
          <w:sz w:val="16"/>
          <w:szCs w:val="16"/>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72" w:lineRule="exact"/>
        <w:rPr>
          <w:sz w:val="20"/>
          <w:szCs w:val="20"/>
          <w:color w:val="auto"/>
        </w:rPr>
      </w:pPr>
    </w:p>
    <w:p>
      <w:pPr>
        <w:ind w:left="540" w:right="599" w:firstLine="432"/>
        <w:spacing w:after="0" w:line="289" w:lineRule="auto"/>
        <w:rPr>
          <w:sz w:val="20"/>
          <w:szCs w:val="20"/>
          <w:color w:val="auto"/>
        </w:rPr>
      </w:pPr>
      <w:r>
        <w:rPr>
          <w:rFonts w:ascii="Arial" w:cs="Arial" w:eastAsia="Arial" w:hAnsi="Arial"/>
          <w:sz w:val="16"/>
          <w:szCs w:val="16"/>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typical operating expenses (or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ectPr>
          <w:pgSz w:w="11900" w:h="16838" w:orient="portrait"/>
          <w:cols w:equalWidth="0" w:num="1">
            <w:col w:w="9019"/>
          </w:cols>
          <w:pgMar w:left="1440" w:top="274" w:right="1440" w:bottom="1440" w:gutter="0" w:footer="0" w:header="0"/>
          <w:type w:val="continuous"/>
        </w:sect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3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33628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56" w:lineRule="exact"/>
        <w:rPr>
          <w:sz w:val="20"/>
          <w:szCs w:val="20"/>
          <w:color w:val="auto"/>
        </w:rPr>
      </w:pPr>
    </w:p>
    <w:p>
      <w:pPr>
        <w:ind w:left="540" w:right="559" w:firstLine="432"/>
        <w:spacing w:after="0" w:line="254" w:lineRule="auto"/>
        <w:rPr>
          <w:sz w:val="20"/>
          <w:szCs w:val="20"/>
          <w:color w:val="auto"/>
        </w:rPr>
      </w:pPr>
      <w:r>
        <w:rPr>
          <w:rFonts w:ascii="Arial" w:cs="Arial" w:eastAsia="Arial" w:hAnsi="Arial"/>
          <w:sz w:val="18"/>
          <w:szCs w:val="18"/>
          <w:color w:val="auto"/>
        </w:rPr>
        <w:t>One popular branch of indoor agriculture involves vertical farming. 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Additional Market Opportunity</w:t>
      </w:r>
    </w:p>
    <w:p>
      <w:pPr>
        <w:spacing w:after="0" w:line="144" w:lineRule="exact"/>
        <w:rPr>
          <w:sz w:val="20"/>
          <w:szCs w:val="20"/>
          <w:color w:val="auto"/>
        </w:rPr>
      </w:pPr>
    </w:p>
    <w:p>
      <w:pPr>
        <w:ind w:left="540" w:right="739" w:firstLine="432"/>
        <w:spacing w:after="0" w:line="263" w:lineRule="auto"/>
        <w:rPr>
          <w:sz w:val="20"/>
          <w:szCs w:val="20"/>
          <w:color w:val="auto"/>
        </w:rPr>
      </w:pPr>
      <w:r>
        <w:rPr>
          <w:rFonts w:ascii="Arial" w:cs="Arial" w:eastAsia="Arial" w:hAnsi="Arial"/>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16" w:lineRule="exact"/>
        <w:rPr>
          <w:sz w:val="20"/>
          <w:szCs w:val="20"/>
          <w:color w:val="auto"/>
        </w:rPr>
      </w:pPr>
    </w:p>
    <w:p>
      <w:pPr>
        <w:ind w:left="540" w:right="579" w:firstLine="432"/>
        <w:spacing w:after="0" w:line="285" w:lineRule="auto"/>
        <w:rPr>
          <w:sz w:val="20"/>
          <w:szCs w:val="20"/>
          <w:color w:val="auto"/>
        </w:rPr>
      </w:pPr>
      <w:r>
        <w:rPr>
          <w:rFonts w:ascii="Arial" w:cs="Arial" w:eastAsia="Arial" w:hAnsi="Arial"/>
          <w:sz w:val="16"/>
          <w:szCs w:val="16"/>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w:t>
      </w:r>
    </w:p>
    <w:p>
      <w:pPr>
        <w:spacing w:after="0" w:line="109" w:lineRule="exact"/>
        <w:rPr>
          <w:sz w:val="20"/>
          <w:szCs w:val="20"/>
          <w:color w:val="auto"/>
        </w:rPr>
      </w:pPr>
    </w:p>
    <w:p>
      <w:pPr>
        <w:ind w:left="540" w:right="599" w:firstLine="432"/>
        <w:spacing w:after="0" w:line="272" w:lineRule="auto"/>
        <w:rPr>
          <w:sz w:val="20"/>
          <w:szCs w:val="20"/>
          <w:color w:val="auto"/>
        </w:rPr>
      </w:pPr>
      <w:r>
        <w:rPr>
          <w:rFonts w:ascii="Arial" w:cs="Arial" w:eastAsia="Arial" w:hAnsi="Arial"/>
          <w:sz w:val="17"/>
          <w:szCs w:val="17"/>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96" w:lineRule="exact"/>
        <w:rPr>
          <w:sz w:val="20"/>
          <w:szCs w:val="20"/>
          <w:color w:val="auto"/>
        </w:rPr>
      </w:pPr>
    </w:p>
    <w:p>
      <w:pPr>
        <w:ind w:left="540" w:right="559" w:firstLine="432"/>
        <w:spacing w:after="0" w:line="288" w:lineRule="auto"/>
        <w:rPr>
          <w:sz w:val="20"/>
          <w:szCs w:val="20"/>
          <w:color w:val="auto"/>
        </w:rPr>
      </w:pPr>
      <w:r>
        <w:rPr>
          <w:rFonts w:ascii="Arial" w:cs="Arial" w:eastAsia="Arial" w:hAnsi="Arial"/>
          <w:sz w:val="16"/>
          <w:szCs w:val="16"/>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Growth Strategy</w:t>
      </w:r>
    </w:p>
    <w:p>
      <w:pPr>
        <w:spacing w:after="0" w:line="162" w:lineRule="exact"/>
        <w:rPr>
          <w:sz w:val="20"/>
          <w:szCs w:val="20"/>
          <w:color w:val="auto"/>
        </w:rPr>
      </w:pPr>
    </w:p>
    <w:p>
      <w:pPr>
        <w:ind w:left="540" w:right="599" w:firstLine="432"/>
        <w:spacing w:after="0" w:line="254" w:lineRule="auto"/>
        <w:rPr>
          <w:sz w:val="20"/>
          <w:szCs w:val="20"/>
          <w:color w:val="auto"/>
        </w:rPr>
      </w:pPr>
      <w:r>
        <w:rPr>
          <w:rFonts w:ascii="Arial" w:cs="Arial" w:eastAsia="Arial" w:hAnsi="Arial"/>
          <w:sz w:val="18"/>
          <w:szCs w:val="18"/>
          <w:color w:val="auto"/>
        </w:rPr>
        <w:t>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 Based on our current standing in the market and our future goals, we have developed a multi-pronged growth strategy to help us capitalize on the sizable opportunity at hand. Through methodical sales and marketing efforts, our joint venture with Valiant-America, scale-up manufacturing, and equipment financing,</w:t>
      </w:r>
    </w:p>
    <w:p>
      <w:pPr>
        <w:sectPr>
          <w:pgSz w:w="11900" w:h="16838" w:orient="portrait"/>
          <w:cols w:equalWidth="0" w:num="1">
            <w:col w:w="9019"/>
          </w:cols>
          <w:pgMar w:left="1440" w:top="274" w:right="1440" w:bottom="1440" w:gutter="0" w:footer="0" w:header="0"/>
          <w:type w:val="continuous"/>
        </w:sect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 w:name="page14"/>
    <w:bookmarkEnd w:id="13"/>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45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779"/>
        <w:spacing w:after="0" w:line="263" w:lineRule="auto"/>
        <w:rPr>
          <w:sz w:val="20"/>
          <w:szCs w:val="20"/>
          <w:color w:val="auto"/>
        </w:rPr>
      </w:pPr>
      <w:r>
        <w:rPr>
          <w:rFonts w:ascii="Arial" w:cs="Arial" w:eastAsia="Arial" w:hAnsi="Arial"/>
          <w:sz w:val="18"/>
          <w:szCs w:val="18"/>
          <w:color w:val="auto"/>
        </w:rPr>
        <w:t>we believe we have implemented several key initiatives we can use to grow our business more effectively. We also intend to opportunistically pursue the strategies described below to continue our upward trajectory and enhance shareholder value:</w:t>
      </w:r>
    </w:p>
    <w:p>
      <w:pPr>
        <w:spacing w:after="0" w:line="116" w:lineRule="exact"/>
        <w:rPr>
          <w:sz w:val="20"/>
          <w:szCs w:val="20"/>
          <w:color w:val="auto"/>
        </w:rPr>
      </w:pPr>
    </w:p>
    <w:p>
      <w:pPr>
        <w:ind w:left="1400" w:right="61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Adhere to our rigorous sales process and continue to put a strong infrastructure in place to enable revenue growth;</w:t>
      </w:r>
    </w:p>
    <w:p>
      <w:pPr>
        <w:spacing w:after="0" w:line="89" w:lineRule="exact"/>
        <w:rPr>
          <w:rFonts w:ascii="Arial" w:cs="Arial" w:eastAsia="Arial" w:hAnsi="Arial"/>
          <w:sz w:val="18"/>
          <w:szCs w:val="18"/>
          <w:color w:val="auto"/>
        </w:rPr>
      </w:pPr>
    </w:p>
    <w:p>
      <w:pPr>
        <w:ind w:left="1400" w:right="85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Align our marketing team with our sales force to maximize our industry visibility and create a robust lead generation engine to drive revenue;</w:t>
      </w:r>
    </w:p>
    <w:p>
      <w:pPr>
        <w:spacing w:after="0" w:line="102" w:lineRule="exact"/>
        <w:rPr>
          <w:rFonts w:ascii="Arial" w:cs="Arial" w:eastAsia="Arial" w:hAnsi="Arial"/>
          <w:sz w:val="18"/>
          <w:szCs w:val="18"/>
          <w:color w:val="auto"/>
        </w:rPr>
      </w:pPr>
    </w:p>
    <w:p>
      <w:pPr>
        <w:ind w:left="1400" w:right="699" w:hanging="424"/>
        <w:spacing w:after="0" w:line="25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our joint venture with Valiant-America, which we believe will give us a credible and complementary channel partner with extensive industry relationships to help us gain additional market share, as a result of having a full turnkey offering with integrated hardware and software products as well as a wide range of associated services such as consulting, engineering, and construction;</w:t>
      </w:r>
    </w:p>
    <w:p>
      <w:pPr>
        <w:spacing w:after="0" w:line="120" w:lineRule="exact"/>
        <w:rPr>
          <w:rFonts w:ascii="Arial" w:cs="Arial" w:eastAsia="Arial" w:hAnsi="Arial"/>
          <w:sz w:val="18"/>
          <w:szCs w:val="18"/>
          <w:color w:val="auto"/>
        </w:rPr>
      </w:pPr>
    </w:p>
    <w:p>
      <w:pPr>
        <w:ind w:left="1400" w:right="79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protocols, processes, and partnerships for scale-up manufacturing in order to meet the increasing demand for our grow solutions; and</w:t>
      </w:r>
    </w:p>
    <w:p>
      <w:pPr>
        <w:spacing w:after="0" w:line="89" w:lineRule="exact"/>
        <w:rPr>
          <w:rFonts w:ascii="Arial" w:cs="Arial" w:eastAsia="Arial" w:hAnsi="Arial"/>
          <w:sz w:val="18"/>
          <w:szCs w:val="18"/>
          <w:color w:val="auto"/>
        </w:rPr>
      </w:pPr>
    </w:p>
    <w:p>
      <w:pPr>
        <w:ind w:left="1400" w:right="879" w:hanging="424"/>
        <w:spacing w:after="0" w:line="286"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Capitalize on our equipment financing program, which we believe is novel in the indoor agriculture space, and is an instrumental factor in removing certain points of friction from the sales cycle and may tip the scales in our favor with certain prospects.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Summary Risk Factors</w:t>
      </w:r>
    </w:p>
    <w:p>
      <w:pPr>
        <w:spacing w:after="0" w:line="162" w:lineRule="exact"/>
        <w:rPr>
          <w:sz w:val="20"/>
          <w:szCs w:val="20"/>
          <w:color w:val="auto"/>
        </w:rPr>
      </w:pPr>
    </w:p>
    <w:p>
      <w:pPr>
        <w:ind w:left="540" w:right="559" w:firstLine="432"/>
        <w:spacing w:after="0" w:line="263" w:lineRule="auto"/>
        <w:rPr>
          <w:sz w:val="20"/>
          <w:szCs w:val="20"/>
          <w:color w:val="auto"/>
        </w:rPr>
      </w:pPr>
      <w:r>
        <w:rPr>
          <w:rFonts w:ascii="Arial" w:cs="Arial" w:eastAsia="Arial" w:hAnsi="Arial"/>
          <w:sz w:val="18"/>
          <w:szCs w:val="18"/>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116" w:lineRule="exact"/>
        <w:rPr>
          <w:sz w:val="20"/>
          <w:szCs w:val="20"/>
          <w:color w:val="auto"/>
        </w:rPr>
      </w:pPr>
    </w:p>
    <w:p>
      <w:pPr>
        <w:ind w:left="1400" w:right="599" w:hanging="424"/>
        <w:spacing w:after="0" w:line="259"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losses and we expect significant increases in our costs and expenses to result in continuing losses for at least the foreseeable future, and as a result, our management has identified and our auditors agreed that there is a substantial doubt about our ability to continue as a going concern;</w:t>
      </w:r>
    </w:p>
    <w:p>
      <w:pPr>
        <w:spacing w:after="0" w:line="105" w:lineRule="exact"/>
        <w:rPr>
          <w:rFonts w:ascii="Arial" w:cs="Arial" w:eastAsia="Arial" w:hAnsi="Arial"/>
          <w:sz w:val="18"/>
          <w:szCs w:val="18"/>
          <w:color w:val="auto"/>
        </w:rPr>
      </w:pPr>
    </w:p>
    <w:p>
      <w:pPr>
        <w:ind w:left="1400" w:right="839" w:hanging="424"/>
        <w:spacing w:after="0" w:line="27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limited operating history makes evaluating our business and future prospects difficult, and may increase the risk of your investment;</w:t>
      </w:r>
    </w:p>
    <w:p>
      <w:pPr>
        <w:spacing w:after="0" w:line="102" w:lineRule="exact"/>
        <w:rPr>
          <w:rFonts w:ascii="Arial" w:cs="Arial" w:eastAsia="Arial" w:hAnsi="Arial"/>
          <w:sz w:val="18"/>
          <w:szCs w:val="18"/>
          <w:color w:val="auto"/>
        </w:rPr>
      </w:pPr>
    </w:p>
    <w:p>
      <w:pPr>
        <w:ind w:left="1400" w:right="899" w:hanging="424"/>
        <w:spacing w:after="0" w:line="308" w:lineRule="auto"/>
        <w:tabs>
          <w:tab w:leader="none" w:pos="1391"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limited capital resources will require us to raise additional capital even after this offering, which could result in substantial dilution or significant debt service obligations;</w:t>
      </w:r>
    </w:p>
    <w:p>
      <w:pPr>
        <w:spacing w:after="0" w:line="78" w:lineRule="exact"/>
        <w:rPr>
          <w:rFonts w:ascii="Arial" w:cs="Arial" w:eastAsia="Arial" w:hAnsi="Arial"/>
          <w:sz w:val="17"/>
          <w:szCs w:val="17"/>
          <w:color w:val="auto"/>
        </w:rPr>
      </w:pPr>
    </w:p>
    <w:p>
      <w:pPr>
        <w:ind w:left="1400" w:right="639" w:hanging="424"/>
        <w:spacing w:after="0" w:line="308" w:lineRule="auto"/>
        <w:tabs>
          <w:tab w:leader="none" w:pos="139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COVID-19 pandemic and the efforts to mitigate its impact may have an adverse effect on our business, liquidity, results of operations, financial condition and price of our securities;</w:t>
      </w:r>
    </w:p>
    <w:p>
      <w:pPr>
        <w:spacing w:after="0" w:line="65" w:lineRule="exact"/>
        <w:rPr>
          <w:rFonts w:ascii="Arial" w:cs="Arial" w:eastAsia="Arial" w:hAnsi="Arial"/>
          <w:sz w:val="17"/>
          <w:szCs w:val="17"/>
          <w:color w:val="auto"/>
        </w:rPr>
      </w:pPr>
    </w:p>
    <w:p>
      <w:pPr>
        <w:ind w:left="1400" w:right="1159" w:hanging="424"/>
        <w:spacing w:after="0" w:line="27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company with clients operating in the cannabis industry, we face many particular and evolving risks associated with that industry;</w:t>
      </w:r>
    </w:p>
    <w:p>
      <w:pPr>
        <w:spacing w:after="0" w:line="102" w:lineRule="exact"/>
        <w:rPr>
          <w:rFonts w:ascii="Arial" w:cs="Arial" w:eastAsia="Arial" w:hAnsi="Arial"/>
          <w:sz w:val="18"/>
          <w:szCs w:val="18"/>
          <w:color w:val="auto"/>
        </w:rPr>
      </w:pPr>
    </w:p>
    <w:p>
      <w:pPr>
        <w:ind w:left="1400" w:right="899" w:hanging="424"/>
        <w:spacing w:after="0" w:line="342" w:lineRule="auto"/>
        <w:tabs>
          <w:tab w:leader="none" w:pos="1391"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concentration of customers exposes us to risks associated with the potential loss of one or more of these significant customers which could adversely affect our financial results;</w:t>
      </w:r>
    </w:p>
    <w:p>
      <w:pPr>
        <w:spacing w:after="0" w:line="56" w:lineRule="exact"/>
        <w:rPr>
          <w:rFonts w:ascii="Arial" w:cs="Arial" w:eastAsia="Arial" w:hAnsi="Arial"/>
          <w:sz w:val="16"/>
          <w:szCs w:val="16"/>
          <w:color w:val="auto"/>
        </w:rPr>
      </w:pPr>
    </w:p>
    <w:p>
      <w:pPr>
        <w:ind w:left="1400" w:right="699" w:hanging="424"/>
        <w:spacing w:after="0" w:line="27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a limited base of suppliers on certain of our products may result in disruptions to our supply chain and business and adversely affect our financial results;</w:t>
      </w:r>
    </w:p>
    <w:p>
      <w:pPr>
        <w:spacing w:after="0" w:line="89" w:lineRule="exact"/>
        <w:rPr>
          <w:rFonts w:ascii="Arial" w:cs="Arial" w:eastAsia="Arial" w:hAnsi="Arial"/>
          <w:sz w:val="18"/>
          <w:szCs w:val="18"/>
          <w:color w:val="auto"/>
        </w:rPr>
      </w:pPr>
    </w:p>
    <w:p>
      <w:pPr>
        <w:ind w:left="1400" w:right="659" w:hanging="424"/>
        <w:spacing w:after="0" w:line="263"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long-term results of operations are difficult to predict and depend on the commercial success of our clients, the continued growth of the cannabis industry generally and the regulatory environment within which the cannabis industry operates;</w:t>
      </w:r>
    </w:p>
    <w:p>
      <w:pPr>
        <w:spacing w:after="0" w:line="116" w:lineRule="exact"/>
        <w:rPr>
          <w:rFonts w:ascii="Arial" w:cs="Arial" w:eastAsia="Arial" w:hAnsi="Arial"/>
          <w:sz w:val="18"/>
          <w:szCs w:val="18"/>
          <w:color w:val="auto"/>
        </w:rPr>
      </w:pPr>
    </w:p>
    <w:p>
      <w:pPr>
        <w:ind w:left="1400" w:right="819" w:hanging="424"/>
        <w:spacing w:after="0" w:line="27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intense competition that could prohibit us from developing or increasing our customer base;</w:t>
      </w:r>
    </w:p>
    <w:p>
      <w:pPr>
        <w:spacing w:after="0" w:line="89" w:lineRule="exact"/>
        <w:rPr>
          <w:rFonts w:ascii="Arial" w:cs="Arial" w:eastAsia="Arial" w:hAnsi="Arial"/>
          <w:sz w:val="18"/>
          <w:szCs w:val="18"/>
          <w:color w:val="auto"/>
        </w:rPr>
      </w:pPr>
    </w:p>
    <w:p>
      <w:pPr>
        <w:ind w:left="1400" w:right="559" w:hanging="424"/>
        <w:spacing w:after="0" w:line="263"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growth and success of our business depends on the continued contributions of Raymond Chang, as our key executive officer, as well as our ability to attract and retain qualified personnel; and</w:t>
      </w:r>
    </w:p>
    <w:p>
      <w:pPr>
        <w:spacing w:after="0" w:line="116" w:lineRule="exact"/>
        <w:rPr>
          <w:rFonts w:ascii="Arial" w:cs="Arial" w:eastAsia="Arial" w:hAnsi="Arial"/>
          <w:sz w:val="18"/>
          <w:szCs w:val="18"/>
          <w:color w:val="auto"/>
        </w:rPr>
      </w:pPr>
    </w:p>
    <w:p>
      <w:pPr>
        <w:ind w:left="1400" w:hanging="424"/>
        <w:spacing w:after="0"/>
        <w:tabs>
          <w:tab w:leader="none" w:pos="1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success depends in part on our ability to protect our core technology and intellectual property.</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518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651891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62" w:lineRule="exact"/>
        <w:rPr>
          <w:sz w:val="20"/>
          <w:szCs w:val="20"/>
          <w:color w:val="auto"/>
        </w:rPr>
      </w:pPr>
    </w:p>
    <w:p>
      <w:pPr>
        <w:ind w:left="540" w:right="579" w:firstLine="432"/>
        <w:spacing w:after="0" w:line="272"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we have included detailed compensation information for only our three most highly compensated executive officers and have not included a compensation discussion and analysis, or CD&amp;A, of our executive compensation programs in this prospectus. In addition, for so long as we are an “emerging growth company,” we will not be required to:</w:t>
      </w:r>
    </w:p>
    <w:p>
      <w:pPr>
        <w:spacing w:after="0" w:line="110" w:lineRule="exact"/>
        <w:rPr>
          <w:sz w:val="20"/>
          <w:szCs w:val="20"/>
          <w:color w:val="auto"/>
        </w:rPr>
      </w:pPr>
    </w:p>
    <w:p>
      <w:pPr>
        <w:ind w:left="1400" w:right="1359" w:hanging="424"/>
        <w:spacing w:after="0" w:line="342" w:lineRule="auto"/>
        <w:tabs>
          <w:tab w:leader="none" w:pos="1391" w:val="left"/>
        </w:tabs>
        <w:numPr>
          <w:ilvl w:val="0"/>
          <w:numId w:val="8"/>
        </w:numPr>
        <w:rPr>
          <w:rFonts w:ascii="Arial" w:cs="Arial" w:eastAsia="Arial" w:hAnsi="Arial"/>
          <w:sz w:val="16"/>
          <w:szCs w:val="16"/>
          <w:color w:val="auto"/>
        </w:rPr>
      </w:pPr>
      <w:r>
        <w:rPr>
          <w:rFonts w:ascii="Arial" w:cs="Arial" w:eastAsia="Arial" w:hAnsi="Arial"/>
          <w:sz w:val="16"/>
          <w:szCs w:val="16"/>
          <w:color w:val="auto"/>
        </w:rPr>
        <w:t>engage an auditor to report on our internal controls over financial reporting pursuant to Section 404(b) of the Sarbanes–Oxley Act of 2002, or the Sarbanes–Oxley Act;</w:t>
      </w:r>
    </w:p>
    <w:p>
      <w:pPr>
        <w:spacing w:after="0" w:line="42" w:lineRule="exact"/>
        <w:rPr>
          <w:rFonts w:ascii="Arial" w:cs="Arial" w:eastAsia="Arial" w:hAnsi="Arial"/>
          <w:sz w:val="16"/>
          <w:szCs w:val="16"/>
          <w:color w:val="auto"/>
        </w:rPr>
      </w:pPr>
    </w:p>
    <w:p>
      <w:pPr>
        <w:ind w:left="1400" w:right="619" w:hanging="424"/>
        <w:spacing w:after="0" w:line="259"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19" w:lineRule="exact"/>
        <w:rPr>
          <w:rFonts w:ascii="Arial" w:cs="Arial" w:eastAsia="Arial" w:hAnsi="Arial"/>
          <w:sz w:val="18"/>
          <w:szCs w:val="18"/>
          <w:color w:val="auto"/>
        </w:rPr>
      </w:pPr>
    </w:p>
    <w:p>
      <w:pPr>
        <w:ind w:left="1400" w:right="799" w:hanging="424"/>
        <w:spacing w:after="0" w:line="277"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“say-on-frequency,” and “say-on-golden parachutes;” or</w:t>
      </w:r>
    </w:p>
    <w:p>
      <w:pPr>
        <w:spacing w:after="0" w:line="102" w:lineRule="exact"/>
        <w:rPr>
          <w:rFonts w:ascii="Arial" w:cs="Arial" w:eastAsia="Arial" w:hAnsi="Arial"/>
          <w:sz w:val="18"/>
          <w:szCs w:val="18"/>
          <w:color w:val="auto"/>
        </w:rPr>
      </w:pPr>
    </w:p>
    <w:p>
      <w:pPr>
        <w:jc w:val="both"/>
        <w:ind w:left="1400" w:right="679" w:hanging="424"/>
        <w:spacing w:after="0" w:line="263"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 of the chief executive officer’s compensation to median employee compensation.</w:t>
      </w:r>
    </w:p>
    <w:p>
      <w:pPr>
        <w:spacing w:after="0" w:line="103" w:lineRule="exact"/>
        <w:rPr>
          <w:sz w:val="20"/>
          <w:szCs w:val="20"/>
          <w:color w:val="auto"/>
        </w:rPr>
      </w:pPr>
    </w:p>
    <w:p>
      <w:pPr>
        <w:ind w:left="540" w:right="579" w:firstLine="432"/>
        <w:spacing w:after="0" w:line="277" w:lineRule="auto"/>
        <w:rPr>
          <w:sz w:val="20"/>
          <w:szCs w:val="20"/>
          <w:color w:val="auto"/>
        </w:rPr>
      </w:pPr>
      <w:r>
        <w:rPr>
          <w:rFonts w:ascii="Arial" w:cs="Arial" w:eastAsia="Arial" w:hAnsi="Arial"/>
          <w:sz w:val="18"/>
          <w:szCs w:val="18"/>
          <w:color w:val="auto"/>
        </w:rPr>
        <w:t>In addition, the JOBS Act provides that an “emerging growth company” can use the extended transition period for complying with new or revised accounting standards.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will remain an “emerging growth company” until the earliest to occur of:</w:t>
      </w:r>
    </w:p>
    <w:p>
      <w:pPr>
        <w:spacing w:after="0" w:line="158" w:lineRule="exact"/>
        <w:rPr>
          <w:sz w:val="20"/>
          <w:szCs w:val="20"/>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reporting $1 billion or more in annual gross revenues;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issuance, in a three-year period, of more than $1 billion in non-convertible debt;</w:t>
      </w:r>
    </w:p>
    <w:p>
      <w:pPr>
        <w:spacing w:after="0" w:line="157" w:lineRule="exact"/>
        <w:rPr>
          <w:rFonts w:ascii="Arial" w:cs="Arial" w:eastAsia="Arial" w:hAnsi="Arial"/>
          <w:sz w:val="18"/>
          <w:szCs w:val="18"/>
          <w:color w:val="auto"/>
        </w:rPr>
      </w:pPr>
    </w:p>
    <w:p>
      <w:pPr>
        <w:ind w:left="1400" w:right="779" w:hanging="424"/>
        <w:spacing w:after="0" w:line="308" w:lineRule="auto"/>
        <w:tabs>
          <w:tab w:leader="none" w:pos="139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end of the fiscal year in which the market value of our common stock held by non-affiliates exceeds $700 million on the last business day of our second fiscal quarter; and</w:t>
      </w:r>
    </w:p>
    <w:p>
      <w:pPr>
        <w:spacing w:after="0" w:line="78" w:lineRule="exact"/>
        <w:rPr>
          <w:rFonts w:ascii="Arial" w:cs="Arial" w:eastAsia="Arial" w:hAnsi="Arial"/>
          <w:sz w:val="17"/>
          <w:szCs w:val="17"/>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[________], 2025.</w:t>
      </w:r>
    </w:p>
    <w:p>
      <w:pPr>
        <w:spacing w:after="0" w:line="144" w:lineRule="exact"/>
        <w:rPr>
          <w:sz w:val="20"/>
          <w:szCs w:val="20"/>
          <w:color w:val="auto"/>
        </w:rPr>
      </w:pPr>
    </w:p>
    <w:p>
      <w:pPr>
        <w:ind w:left="540" w:right="599" w:firstLine="432"/>
        <w:spacing w:after="0" w:line="263" w:lineRule="auto"/>
        <w:rPr>
          <w:sz w:val="20"/>
          <w:szCs w:val="20"/>
          <w:color w:val="auto"/>
        </w:rPr>
      </w:pPr>
      <w:r>
        <w:rPr>
          <w:rFonts w:ascii="Arial" w:cs="Arial" w:eastAsia="Arial" w:hAnsi="Arial"/>
          <w:sz w:val="18"/>
          <w:szCs w:val="18"/>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116" w:lineRule="exact"/>
        <w:rPr>
          <w:sz w:val="20"/>
          <w:szCs w:val="20"/>
          <w:color w:val="auto"/>
        </w:rPr>
      </w:pPr>
    </w:p>
    <w:p>
      <w:pPr>
        <w:ind w:left="540" w:right="559" w:firstLine="432"/>
        <w:spacing w:after="0" w:line="273" w:lineRule="auto"/>
        <w:rPr>
          <w:sz w:val="20"/>
          <w:szCs w:val="20"/>
          <w:color w:val="auto"/>
        </w:rPr>
      </w:pPr>
      <w:r>
        <w:rPr>
          <w:rFonts w:ascii="Arial" w:cs="Arial" w:eastAsia="Arial" w:hAnsi="Arial"/>
          <w:sz w:val="17"/>
          <w:szCs w:val="17"/>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 w:name="page16"/>
    <w:bookmarkEnd w:id="15"/>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36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86366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Common stock being offered by us</w:t>
      </w:r>
    </w:p>
    <w:p>
      <w:pPr>
        <w:spacing w:after="0" w:line="235" w:lineRule="exact"/>
        <w:rPr>
          <w:sz w:val="20"/>
          <w:szCs w:val="20"/>
          <w:color w:val="auto"/>
        </w:rPr>
      </w:pPr>
    </w:p>
    <w:p>
      <w:pPr>
        <w:ind w:left="720" w:right="40" w:hanging="179"/>
        <w:spacing w:after="0" w:line="359" w:lineRule="auto"/>
        <w:rPr>
          <w:sz w:val="20"/>
          <w:szCs w:val="20"/>
          <w:color w:val="auto"/>
        </w:rPr>
      </w:pPr>
      <w:r>
        <w:rPr>
          <w:rFonts w:ascii="Arial" w:cs="Arial" w:eastAsia="Arial" w:hAnsi="Arial"/>
          <w:sz w:val="16"/>
          <w:szCs w:val="16"/>
          <w:color w:val="auto"/>
        </w:rPr>
        <w:t>Common stock to be outstanding immediately after this offering</w:t>
      </w:r>
      <w:r>
        <w:rPr>
          <w:rFonts w:ascii="Arial" w:cs="Arial" w:eastAsia="Arial" w:hAnsi="Arial"/>
          <w:sz w:val="18"/>
          <w:szCs w:val="18"/>
          <w:color w:val="auto"/>
          <w:vertAlign w:val="superscript"/>
        </w:rPr>
        <w:t>(1)</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Over-allotment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THE OFFERING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2,777,778 shares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10,059,568 shares</w:t>
      </w:r>
    </w:p>
    <w:p>
      <w:pPr>
        <w:spacing w:after="0" w:line="198" w:lineRule="exact"/>
        <w:rPr>
          <w:sz w:val="20"/>
          <w:szCs w:val="20"/>
          <w:color w:val="auto"/>
        </w:rPr>
      </w:pPr>
    </w:p>
    <w:p>
      <w:pPr>
        <w:ind w:right="679"/>
        <w:spacing w:after="0" w:line="275" w:lineRule="auto"/>
        <w:rPr>
          <w:sz w:val="20"/>
          <w:szCs w:val="20"/>
          <w:color w:val="auto"/>
        </w:rPr>
      </w:pPr>
      <w:r>
        <w:rPr>
          <w:rFonts w:ascii="Arial" w:cs="Arial" w:eastAsia="Arial" w:hAnsi="Arial"/>
          <w:sz w:val="17"/>
          <w:szCs w:val="17"/>
          <w:color w:val="auto"/>
        </w:rPr>
        <w:t>We have granted Maxim Group LLC, the representative of the underwriters (or Maxim Group) an option to purchase up to 416,667 additional shares of common stock from us at the public offering price less the underwriting discount within 45 days from the date of this prospectus to cover over-allotments.</w:t>
      </w:r>
    </w:p>
    <w:p>
      <w:pPr>
        <w:spacing w:after="0" w:line="149" w:lineRule="exact"/>
        <w:rPr>
          <w:sz w:val="20"/>
          <w:szCs w:val="20"/>
          <w:color w:val="auto"/>
        </w:rPr>
      </w:pPr>
    </w:p>
    <w:p>
      <w:pPr>
        <w:sectPr>
          <w:pgSz w:w="11900" w:h="16838" w:orient="portrait"/>
          <w:cols w:equalWidth="0" w:num="2">
            <w:col w:w="3080" w:space="340"/>
            <w:col w:w="5599"/>
          </w:cols>
          <w:pgMar w:left="1440" w:top="274" w:right="1440" w:bottom="1440" w:gutter="0" w:footer="0" w:header="0"/>
          <w:type w:val="continuous"/>
        </w:sectPr>
      </w:pPr>
    </w:p>
    <w:p>
      <w:pPr>
        <w:ind w:left="540"/>
        <w:spacing w:after="0"/>
        <w:tabs>
          <w:tab w:leader="none" w:pos="340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intend to use the net proceeds from this offering for research and</w:t>
      </w:r>
    </w:p>
    <w:p>
      <w:pPr>
        <w:spacing w:after="0" w:line="23" w:lineRule="exact"/>
        <w:rPr>
          <w:sz w:val="20"/>
          <w:szCs w:val="20"/>
          <w:color w:val="auto"/>
        </w:rPr>
      </w:pPr>
    </w:p>
    <w:p>
      <w:pPr>
        <w:ind w:left="3420" w:right="719"/>
        <w:spacing w:after="0" w:line="253" w:lineRule="auto"/>
        <w:rPr>
          <w:sz w:val="20"/>
          <w:szCs w:val="20"/>
          <w:color w:val="auto"/>
        </w:rPr>
      </w:pPr>
      <w:r>
        <w:rPr>
          <w:rFonts w:ascii="Arial" w:cs="Arial" w:eastAsia="Arial" w:hAnsi="Arial"/>
          <w:sz w:val="18"/>
          <w:szCs w:val="18"/>
          <w:color w:val="auto"/>
        </w:rPr>
        <w:t>development for future generations of our products and software, sales and marketing activities, hiring of additional personnel, our equipment financing plan to provide limited credit to our customers and working capital and other general corporate purposes. See “Use of Proceeds.”</w:t>
      </w:r>
    </w:p>
    <w:p>
      <w:pPr>
        <w:spacing w:after="0" w:line="164"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Representative’s warrants:</w:t>
      </w:r>
      <w:r>
        <w:rPr>
          <w:sz w:val="20"/>
          <w:szCs w:val="20"/>
          <w:color w:val="auto"/>
        </w:rPr>
        <w:tab/>
      </w:r>
      <w:r>
        <w:rPr>
          <w:rFonts w:ascii="Arial" w:cs="Arial" w:eastAsia="Arial" w:hAnsi="Arial"/>
          <w:sz w:val="16"/>
          <w:szCs w:val="16"/>
          <w:color w:val="auto"/>
        </w:rPr>
        <w:t>Upon the closing of this offering, we will issue to Maxim Group</w:t>
      </w:r>
    </w:p>
    <w:p>
      <w:pPr>
        <w:spacing w:after="0" w:line="23" w:lineRule="exact"/>
        <w:rPr>
          <w:sz w:val="20"/>
          <w:szCs w:val="20"/>
          <w:color w:val="auto"/>
        </w:rPr>
      </w:pPr>
    </w:p>
    <w:p>
      <w:pPr>
        <w:ind w:left="3420" w:right="619"/>
        <w:spacing w:after="0" w:line="285" w:lineRule="auto"/>
        <w:rPr>
          <w:sz w:val="20"/>
          <w:szCs w:val="20"/>
          <w:color w:val="auto"/>
        </w:rPr>
      </w:pPr>
      <w:r>
        <w:rPr>
          <w:rFonts w:ascii="Arial" w:cs="Arial" w:eastAsia="Arial" w:hAnsi="Arial"/>
          <w:sz w:val="16"/>
          <w:szCs w:val="16"/>
          <w:color w:val="auto"/>
        </w:rPr>
        <w:t>compensation warrants (or the Representative’s Warrants) entitling Maxim Group to purchase 5% of the aggregate number of shares of common stock issued in this offering, excluding shares issued pursuant to the exercise of the over-allotment option, at an exercise price of $9.90 per share (which is equal to 110% of the public offering price). The Representative’s Warrants will be subject to a lock-up for 180 days from the commencement of sales of this offering and will be exercisable commencing 6 months after the effective date, terminate on the five year anniversary of the commencement of sales of this offering and will contain a customary “cashless exercise” customary “piggyback” registration rights.</w:t>
      </w:r>
    </w:p>
    <w:p>
      <w:pPr>
        <w:spacing w:after="0" w:line="147"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Proposed NASDAQ trading symbol</w:t>
      </w:r>
      <w:r>
        <w:rPr>
          <w:sz w:val="20"/>
          <w:szCs w:val="20"/>
          <w:color w:val="auto"/>
        </w:rPr>
        <w:tab/>
      </w:r>
      <w:r>
        <w:rPr>
          <w:rFonts w:ascii="Arial" w:cs="Arial" w:eastAsia="Arial" w:hAnsi="Arial"/>
          <w:sz w:val="16"/>
          <w:szCs w:val="16"/>
          <w:color w:val="auto"/>
        </w:rPr>
        <w:t>We have applied to have our shares of common stock approved for</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listing on the NASDAQ under the symbol “AGFY.” We will not</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proceed with this offering in the event our common stock is not</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approved for listing on NASDAQ.</w:t>
      </w:r>
    </w:p>
    <w:p>
      <w:pPr>
        <w:spacing w:after="0" w:line="184"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Lock-up</w:t>
      </w:r>
      <w:r>
        <w:rPr>
          <w:sz w:val="20"/>
          <w:szCs w:val="20"/>
          <w:color w:val="auto"/>
        </w:rPr>
        <w:tab/>
      </w:r>
      <w:r>
        <w:rPr>
          <w:rFonts w:ascii="Arial" w:cs="Arial" w:eastAsia="Arial" w:hAnsi="Arial"/>
          <w:sz w:val="16"/>
          <w:szCs w:val="16"/>
          <w:color w:val="auto"/>
        </w:rPr>
        <w:t>We and our directors, officers and holders of one percent (1%) or</w:t>
      </w:r>
    </w:p>
    <w:p>
      <w:pPr>
        <w:spacing w:after="0" w:line="23" w:lineRule="exact"/>
        <w:rPr>
          <w:sz w:val="20"/>
          <w:szCs w:val="20"/>
          <w:color w:val="auto"/>
        </w:rPr>
      </w:pPr>
    </w:p>
    <w:p>
      <w:pPr>
        <w:ind w:left="3420" w:right="639"/>
        <w:spacing w:after="0" w:line="287" w:lineRule="auto"/>
        <w:rPr>
          <w:sz w:val="20"/>
          <w:szCs w:val="20"/>
          <w:color w:val="auto"/>
        </w:rPr>
      </w:pPr>
      <w:r>
        <w:rPr>
          <w:rFonts w:ascii="Arial" w:cs="Arial" w:eastAsia="Arial" w:hAnsi="Arial"/>
          <w:sz w:val="16"/>
          <w:szCs w:val="16"/>
          <w:color w:val="auto"/>
        </w:rPr>
        <w:t>more of our outstanding shares of common stock as of the effective date of the registration statement related to this offering (and all holders of securities exercisable for or convertible into shares of common stock) shall enter into customary “lock-up” agreements pursuant to which such persons and entities shall agree not to offer, issue, sell, contract to sell, encumber, grant any option for the sale of or otherwise dispose of any of our securities for a period of 180 days after the effective date of this registration statement.</w:t>
      </w:r>
    </w:p>
    <w:p>
      <w:pPr>
        <w:spacing w:after="0" w:line="139"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5"/>
          <w:szCs w:val="15"/>
          <w:b w:val="1"/>
          <w:bCs w:val="1"/>
          <w:color w:val="auto"/>
        </w:rPr>
        <w:t>The securities offered by this prospectus are speculative and</w:t>
      </w:r>
    </w:p>
    <w:p>
      <w:pPr>
        <w:spacing w:after="0" w:line="27" w:lineRule="exact"/>
        <w:rPr>
          <w:sz w:val="20"/>
          <w:szCs w:val="20"/>
          <w:color w:val="auto"/>
        </w:rPr>
      </w:pPr>
    </w:p>
    <w:p>
      <w:pPr>
        <w:ind w:left="3420" w:right="599"/>
        <w:spacing w:after="0" w:line="302" w:lineRule="auto"/>
        <w:rPr>
          <w:sz w:val="20"/>
          <w:szCs w:val="20"/>
          <w:color w:val="auto"/>
        </w:rPr>
      </w:pPr>
      <w:r>
        <w:rPr>
          <w:rFonts w:ascii="Arial" w:cs="Arial" w:eastAsia="Arial" w:hAnsi="Arial"/>
          <w:sz w:val="16"/>
          <w:szCs w:val="16"/>
          <w:b w:val="1"/>
          <w:bCs w:val="1"/>
          <w:color w:val="auto"/>
        </w:rPr>
        <w:t>involve a high degree of risk</w:t>
      </w:r>
      <w:r>
        <w:rPr>
          <w:rFonts w:ascii="Arial" w:cs="Arial" w:eastAsia="Arial" w:hAnsi="Arial"/>
          <w:sz w:val="16"/>
          <w:szCs w:val="16"/>
          <w:color w:val="auto"/>
        </w:rPr>
        <w:t>. Investors purchasing securities should</w:t>
      </w:r>
      <w:r>
        <w:rPr>
          <w:rFonts w:ascii="Arial" w:cs="Arial" w:eastAsia="Arial" w:hAnsi="Arial"/>
          <w:sz w:val="16"/>
          <w:szCs w:val="16"/>
          <w:b w:val="1"/>
          <w:bCs w:val="1"/>
          <w:color w:val="auto"/>
        </w:rPr>
        <w:t xml:space="preserve"> </w:t>
      </w:r>
      <w:r>
        <w:rPr>
          <w:rFonts w:ascii="Arial" w:cs="Arial" w:eastAsia="Arial" w:hAnsi="Arial"/>
          <w:sz w:val="16"/>
          <w:szCs w:val="16"/>
          <w:color w:val="auto"/>
        </w:rPr>
        <w:t>not purchase the securities unless they can afford the loss of their entire investment. See “Risk Factors” beginning on page 17.</w:t>
      </w:r>
    </w:p>
    <w:p>
      <w:pPr>
        <w:spacing w:after="0" w:line="5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980" w:hanging="436"/>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of shares of our common stock to be outstanding immediately after this offering excludes:</w:t>
      </w:r>
    </w:p>
    <w:p>
      <w:pPr>
        <w:spacing w:after="0" w:line="59" w:lineRule="exact"/>
        <w:rPr>
          <w:rFonts w:ascii="Arial" w:cs="Arial" w:eastAsia="Arial" w:hAnsi="Arial"/>
          <w:sz w:val="16"/>
          <w:szCs w:val="16"/>
          <w:color w:val="auto"/>
        </w:rPr>
      </w:pPr>
    </w:p>
    <w:p>
      <w:pPr>
        <w:ind w:left="1400" w:right="719" w:hanging="208"/>
        <w:spacing w:after="0" w:line="290" w:lineRule="auto"/>
        <w:tabs>
          <w:tab w:leader="none" w:pos="1362" w:val="left"/>
        </w:tabs>
        <w:numPr>
          <w:ilvl w:val="1"/>
          <w:numId w:val="10"/>
        </w:numPr>
        <w:rPr>
          <w:rFonts w:ascii="Arial" w:cs="Arial" w:eastAsia="Arial" w:hAnsi="Arial"/>
          <w:sz w:val="16"/>
          <w:szCs w:val="16"/>
          <w:color w:val="auto"/>
        </w:rPr>
      </w:pPr>
      <w:r>
        <w:rPr>
          <w:rFonts w:ascii="Arial" w:cs="Arial" w:eastAsia="Arial" w:hAnsi="Arial"/>
          <w:sz w:val="16"/>
          <w:szCs w:val="16"/>
          <w:color w:val="auto"/>
        </w:rPr>
        <w:t>3,030,359 shares of common stock issuable upon the exercise of outstanding options at a weighted average exercise price of $3.51 per share;</w:t>
      </w:r>
    </w:p>
    <w:p>
      <w:pPr>
        <w:ind w:left="1400" w:right="919" w:hanging="208"/>
        <w:spacing w:after="0" w:line="300" w:lineRule="auto"/>
        <w:tabs>
          <w:tab w:leader="none" w:pos="1362" w:val="left"/>
        </w:tabs>
        <w:numPr>
          <w:ilvl w:val="1"/>
          <w:numId w:val="10"/>
        </w:numPr>
        <w:rPr>
          <w:rFonts w:ascii="Arial" w:cs="Arial" w:eastAsia="Arial" w:hAnsi="Arial"/>
          <w:sz w:val="15"/>
          <w:szCs w:val="15"/>
          <w:color w:val="auto"/>
        </w:rPr>
      </w:pPr>
      <w:r>
        <w:rPr>
          <w:rFonts w:ascii="Arial" w:cs="Arial" w:eastAsia="Arial" w:hAnsi="Arial"/>
          <w:sz w:val="15"/>
          <w:szCs w:val="15"/>
          <w:color w:val="auto"/>
        </w:rPr>
        <w:t>828,173 shares of common stock issuable upon the exercise of outstanding warrants associated with our 2020 convertible promissory notes at a weighted average exercise price of $0.02 per share;</w:t>
      </w:r>
    </w:p>
    <w:p>
      <w:pPr>
        <w:ind w:left="1360" w:hanging="168"/>
        <w:spacing w:after="0"/>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324,724 shares reserved for issuance under our equity incentive plan; and</w:t>
      </w:r>
    </w:p>
    <w:p>
      <w:pPr>
        <w:spacing w:after="0" w:line="59" w:lineRule="exact"/>
        <w:rPr>
          <w:rFonts w:ascii="Arial" w:cs="Arial" w:eastAsia="Arial" w:hAnsi="Arial"/>
          <w:sz w:val="16"/>
          <w:szCs w:val="16"/>
          <w:color w:val="auto"/>
        </w:rPr>
      </w:pPr>
    </w:p>
    <w:p>
      <w:pPr>
        <w:ind w:left="1360" w:hanging="168"/>
        <w:spacing w:after="0"/>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138,889 shares of common stock underlying the Representative’s Warrants.</w:t>
      </w:r>
    </w:p>
    <w:p>
      <w:pPr>
        <w:sectPr>
          <w:pgSz w:w="11900" w:h="16838" w:orient="portrait"/>
          <w:cols w:equalWidth="0" w:num="1">
            <w:col w:w="9019"/>
          </w:cols>
          <w:pgMar w:left="1440" w:top="274" w:right="1440"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 w:name="page17"/>
    <w:bookmarkEnd w:id="1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1264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1264285"/>
                    </a:xfrm>
                    <a:prstGeom prst="rect">
                      <a:avLst/>
                    </a:prstGeom>
                    <a:noFill/>
                  </pic:spPr>
                </pic:pic>
              </a:graphicData>
            </a:graphic>
          </wp:anchor>
        </w:drawing>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Unless otherwise stated, all information in this prospectus assumes:</w:t>
      </w:r>
    </w:p>
    <w:p>
      <w:pPr>
        <w:spacing w:after="0" w:line="59" w:lineRule="exact"/>
        <w:rPr>
          <w:sz w:val="20"/>
          <w:szCs w:val="20"/>
          <w:color w:val="auto"/>
        </w:rPr>
      </w:pPr>
    </w:p>
    <w:p>
      <w:pPr>
        <w:ind w:left="1400" w:right="619" w:hanging="208"/>
        <w:spacing w:after="0" w:line="300" w:lineRule="auto"/>
        <w:tabs>
          <w:tab w:leader="none" w:pos="13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conversion of our outstanding shares of Series A Preferred Stock into 1,373,038 shares of common stock immediately prior to the closing of this offering based on a conversion price of $7.72;</w:t>
      </w:r>
    </w:p>
    <w:p>
      <w:pPr>
        <w:ind w:left="1400" w:right="879" w:hanging="208"/>
        <w:spacing w:after="0" w:line="290" w:lineRule="auto"/>
        <w:tabs>
          <w:tab w:leader="none" w:pos="13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conversion of our outstanding promissory notes into 1,697,075 shares of common stock immediately prior to the closing of this offering based on a conversion price of $7.72;</w:t>
      </w:r>
    </w:p>
    <w:p>
      <w:pPr>
        <w:ind w:left="1360" w:hanging="168"/>
        <w:spacing w:after="0"/>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exercise of the underwriters’ over-allotment option to purchase additional shares; and</w:t>
      </w:r>
    </w:p>
    <w:p>
      <w:pPr>
        <w:spacing w:after="0" w:line="59" w:lineRule="exact"/>
        <w:rPr>
          <w:rFonts w:ascii="Arial" w:cs="Arial" w:eastAsia="Arial" w:hAnsi="Arial"/>
          <w:sz w:val="16"/>
          <w:szCs w:val="16"/>
          <w:color w:val="auto"/>
        </w:rPr>
      </w:pPr>
    </w:p>
    <w:p>
      <w:pPr>
        <w:ind w:left="1360" w:hanging="168"/>
        <w:spacing w:after="0"/>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exercise of the Representative’s Warrants.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202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620204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AND OTHER DATA</w:t>
      </w:r>
    </w:p>
    <w:p>
      <w:pPr>
        <w:spacing w:after="0" w:line="162" w:lineRule="exact"/>
        <w:rPr>
          <w:sz w:val="20"/>
          <w:szCs w:val="20"/>
          <w:color w:val="auto"/>
        </w:rPr>
      </w:pPr>
    </w:p>
    <w:p>
      <w:pPr>
        <w:ind w:left="540" w:right="599" w:firstLine="432"/>
        <w:spacing w:after="0" w:line="271" w:lineRule="auto"/>
        <w:rPr>
          <w:sz w:val="20"/>
          <w:szCs w:val="20"/>
          <w:color w:val="auto"/>
        </w:rPr>
      </w:pPr>
      <w:r>
        <w:rPr>
          <w:rFonts w:ascii="Arial" w:cs="Arial" w:eastAsia="Arial" w:hAnsi="Arial"/>
          <w:sz w:val="17"/>
          <w:szCs w:val="17"/>
          <w:color w:val="auto"/>
        </w:rPr>
        <w:t>The following table presents our summary historical financial data for the periods presented and should be read in conjunction with “Management’s Discussion and Analysis of Financial Condition and Results of Operations” and the financial statements and notes thereto included elsewhere in this prospectus. The statements of operations data for the fiscal years ended December 31, 2019 and 2018 are derived from our audited financial statements included elsewhere in this prospectus. The summary consolidated statements of operations data for the nine months ended September 30, 2020 and 2019 and the consolidated balance sheet data as of September 30, 2020 have been derived from our unaudited interim consolidated financial statements included elsewhere in this prospectus.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7"/>
          </w:tcPr>
          <w:p>
            <w:pPr>
              <w:jc w:val="center"/>
              <w:ind w:right="79"/>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10"/>
          </w:tcPr>
          <w:p>
            <w:pPr>
              <w:jc w:val="center"/>
              <w:ind w:right="260"/>
              <w:spacing w:after="0"/>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7"/>
          </w:tcPr>
          <w:p>
            <w:pPr>
              <w:jc w:val="center"/>
              <w:ind w:right="39"/>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10"/>
          </w:tcPr>
          <w:p>
            <w:pPr>
              <w:jc w:val="center"/>
              <w:ind w:right="22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33"/>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(unaudited)</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47"/>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Revenue, net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4,088,000</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1,769,000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7,734,000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2,425,000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4,333,000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1,547,000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6,874,000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2,716,000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2,846,000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1,238,000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9,332,000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907,000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(3,091,000)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(1,016,000)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(8,472,000)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(1,198,000)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Miscellaneous income (expense), net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(139,000)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(3,042,000)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(1,014,000)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(8,611,000)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(1,201,000)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Arial" w:cs="Arial" w:eastAsia="Arial" w:hAnsi="Arial"/>
                <w:sz w:val="18"/>
                <w:szCs w:val="18"/>
                <w:color w:val="auto"/>
                <w:w w:val="97"/>
              </w:rPr>
              <w:t>Loss attributable to non-controlling interest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(3,042,000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(1,014,000</w:t>
            </w:r>
          </w:p>
        </w:tc>
        <w:tc>
          <w:tcPr>
            <w:tcW w:w="1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(8,562,000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(1,201,000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80"/>
              <w:spacing w:after="0"/>
              <w:rPr>
                <w:sz w:val="20"/>
                <w:szCs w:val="20"/>
                <w:color w:val="auto"/>
              </w:rPr>
            </w:pPr>
            <w:r>
              <w:rPr>
                <w:rFonts w:ascii="Arial" w:cs="Arial" w:eastAsia="Arial" w:hAnsi="Arial"/>
                <w:sz w:val="18"/>
                <w:szCs w:val="18"/>
                <w:color w:val="auto"/>
                <w:w w:val="90"/>
              </w:rPr>
              <w:t>Net income (loss) per share, basic and diluted</w:t>
            </w: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20" w:type="dxa"/>
            <w:vAlign w:val="bottom"/>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(0.99)</w:t>
            </w: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(0.44)</w:t>
            </w:r>
          </w:p>
        </w:tc>
        <w:tc>
          <w:tcPr>
            <w:tcW w:w="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(0.42)</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361"/>
              <w:spacing w:after="0"/>
              <w:rPr>
                <w:sz w:val="20"/>
                <w:szCs w:val="20"/>
                <w:color w:val="auto"/>
              </w:rPr>
            </w:pPr>
            <w:r>
              <w:rPr>
                <w:rFonts w:ascii="Arial" w:cs="Arial" w:eastAsia="Arial" w:hAnsi="Arial"/>
                <w:sz w:val="16"/>
                <w:szCs w:val="16"/>
                <w:b w:val="1"/>
                <w:bCs w:val="1"/>
                <w:color w:val="auto"/>
                <w:w w:val="89"/>
              </w:rPr>
              <w:t>As of</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5"/>
          </w:tcPr>
          <w:p>
            <w:pPr>
              <w:jc w:val="center"/>
              <w:ind w:right="41"/>
              <w:spacing w:after="0"/>
              <w:rPr>
                <w:sz w:val="20"/>
                <w:szCs w:val="20"/>
                <w:color w:val="auto"/>
              </w:rPr>
            </w:pPr>
            <w:r>
              <w:rPr>
                <w:rFonts w:ascii="Arial" w:cs="Arial" w:eastAsia="Arial" w:hAnsi="Arial"/>
                <w:sz w:val="16"/>
                <w:szCs w:val="16"/>
                <w:b w:val="1"/>
                <w:bCs w:val="1"/>
                <w:color w:val="auto"/>
                <w:w w:val="92"/>
              </w:rPr>
              <w:t>December 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233"/>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7"/>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Cash</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w w:val="98"/>
              </w:rPr>
              <w:t>206,000</w:t>
            </w:r>
          </w:p>
        </w:tc>
        <w:tc>
          <w:tcPr>
            <w:tcW w:w="80" w:type="dxa"/>
            <w:vAlign w:val="bottom"/>
          </w:tcPr>
          <w:p>
            <w:pPr>
              <w:spacing w:after="0"/>
              <w:rPr>
                <w:sz w:val="21"/>
                <w:szCs w:val="21"/>
                <w:color w:val="auto"/>
              </w:rPr>
            </w:pPr>
          </w:p>
        </w:tc>
        <w:tc>
          <w:tcPr>
            <w:tcW w:w="10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4,958,000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8"/>
                <w:szCs w:val="18"/>
                <w:color w:val="auto"/>
              </w:rPr>
              <w:t>3,227,000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13,490,000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53"/>
              <w:spacing w:after="0"/>
              <w:rPr>
                <w:sz w:val="20"/>
                <w:szCs w:val="20"/>
                <w:color w:val="auto"/>
              </w:rPr>
            </w:pPr>
            <w:r>
              <w:rPr>
                <w:rFonts w:ascii="Arial" w:cs="Arial" w:eastAsia="Arial" w:hAnsi="Arial"/>
                <w:sz w:val="18"/>
                <w:szCs w:val="18"/>
                <w:color w:val="auto"/>
              </w:rPr>
              <w:t>4,032,000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8,206,000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8"/>
                <w:szCs w:val="18"/>
                <w:color w:val="auto"/>
              </w:rPr>
              <w:t>4,032,000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9,098,000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Total stockholders’ equity (deficit)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0"/>
              </w:rPr>
              <w:t>(805,000)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4,194,000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8" w:name="page19"/>
    <w:bookmarkEnd w:id="18"/>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64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right="839"/>
        <w:spacing w:after="0" w:line="282" w:lineRule="auto"/>
        <w:rPr>
          <w:sz w:val="20"/>
          <w:szCs w:val="20"/>
          <w:color w:val="auto"/>
        </w:rPr>
      </w:pPr>
      <w:r>
        <w:rPr>
          <w:rFonts w:ascii="Arial" w:cs="Arial" w:eastAsia="Arial" w:hAnsi="Arial"/>
          <w:sz w:val="18"/>
          <w:szCs w:val="18"/>
          <w:b w:val="1"/>
          <w:bCs w:val="1"/>
          <w:color w:val="auto"/>
        </w:rPr>
        <w:t>Certain Non-GAAP EBITDA and adjusted EBITDA Financial Measurements and Reconciliation to GAAP</w:t>
      </w:r>
    </w:p>
    <w:p>
      <w:pPr>
        <w:spacing w:after="0" w:line="98" w:lineRule="exact"/>
        <w:rPr>
          <w:sz w:val="20"/>
          <w:szCs w:val="20"/>
          <w:color w:val="auto"/>
        </w:rPr>
      </w:pPr>
    </w:p>
    <w:p>
      <w:pPr>
        <w:ind w:left="540" w:right="579" w:firstLine="432"/>
        <w:spacing w:after="0" w:line="286" w:lineRule="auto"/>
        <w:rPr>
          <w:sz w:val="20"/>
          <w:szCs w:val="20"/>
          <w:color w:val="auto"/>
        </w:rPr>
      </w:pPr>
      <w:r>
        <w:rPr>
          <w:rFonts w:ascii="Arial" w:cs="Arial" w:eastAsia="Arial" w:hAnsi="Arial"/>
          <w:sz w:val="16"/>
          <w:szCs w:val="16"/>
          <w:color w:val="auto"/>
        </w:rPr>
        <w:t>The following non-GAAP EBITDA and adjusted EBITDA (defined below) financial measures are intended to supplement the GAAP financial information by providing additional insight regarding results of operations of our company. The non-GAAP EBITDA and adjusted EBITDA financial measures used by our company are intended to provide an enhanced understanding of our underlying operational measures to manage our company’s business, to evaluate performance compared to prior periods and the marketplace, and to establish operational goals. Certain items are excluded from these non-GAAP financial measures to provide additional comparability measures from period to period. Specifically, the table below presents the non-GAAP financial measure “EBITDA” (defined as earnings before interest, taxes, depreciation, amortization) and “Adjusted EBITDA” (defined as earnings before interest, taxes, depreciation, amortization adjusted for stock-based compensation and other one-time transaction costs such as mergers and acquisitions, financings and other extraordinary items), respectively. EBITDA and Adjusted EBITDA are intended as supplemental measures of our performance that are not required by or presented in accordance with accounting principles generally accepted in the United States of America (“GAAP”). We believe that EBITDA and Adjusted EBITDA provides useful information to management and investors regarding certain financial and business trends relating to our financial condition and operating results.</w:t>
      </w:r>
    </w:p>
    <w:p>
      <w:pPr>
        <w:spacing w:after="0" w:line="100" w:lineRule="exact"/>
        <w:rPr>
          <w:sz w:val="20"/>
          <w:szCs w:val="20"/>
          <w:color w:val="auto"/>
        </w:rPr>
      </w:pPr>
    </w:p>
    <w:p>
      <w:pPr>
        <w:ind w:left="540" w:right="599" w:firstLine="432"/>
        <w:spacing w:after="0" w:line="269" w:lineRule="auto"/>
        <w:rPr>
          <w:sz w:val="20"/>
          <w:szCs w:val="20"/>
          <w:color w:val="auto"/>
        </w:rPr>
      </w:pPr>
      <w:r>
        <w:rPr>
          <w:rFonts w:ascii="Arial" w:cs="Arial" w:eastAsia="Arial" w:hAnsi="Arial"/>
          <w:sz w:val="17"/>
          <w:szCs w:val="17"/>
          <w:color w:val="auto"/>
        </w:rPr>
        <w:t>We believe that the use of EBITDA and Adjusted EBITDA provide additional tools for investors to use in evaluating ongoing operating results and trends and in comparing our financial measures with other businesses which may present similar non-GAAP financial measures to investors. We believe that EBITDA and Adjusted EBITDA are useful measures because they normalize operating results by excluding non-recurring gains, losses and other items and help to demonstrate how much cash we are able to generate annually. In addition, you should be aware when evaluating EBITDA and Adjusted EBITDA that in the future we may incur expenses similar to those excluded when calculating these measures. Our presentation of these measures should not be construed as an inference that our future results will be unaffected by unusual or non-recurring items. Our computation of EBITDA and Adjusted EBITDA may not be comparable to other similarly titled measures computed by other companies, because all companies do not calculate EBITDA and Adjusted EBITDA in the same fashion.</w:t>
      </w:r>
    </w:p>
    <w:p>
      <w:pPr>
        <w:spacing w:after="0" w:line="101" w:lineRule="exact"/>
        <w:rPr>
          <w:sz w:val="20"/>
          <w:szCs w:val="20"/>
          <w:color w:val="auto"/>
        </w:rPr>
      </w:pPr>
    </w:p>
    <w:p>
      <w:pPr>
        <w:jc w:val="both"/>
        <w:ind w:left="540" w:right="599" w:firstLine="432"/>
        <w:spacing w:after="0" w:line="259" w:lineRule="auto"/>
        <w:rPr>
          <w:sz w:val="20"/>
          <w:szCs w:val="20"/>
          <w:color w:val="auto"/>
        </w:rPr>
      </w:pPr>
      <w:r>
        <w:rPr>
          <w:rFonts w:ascii="Arial" w:cs="Arial" w:eastAsia="Arial" w:hAnsi="Arial"/>
          <w:sz w:val="18"/>
          <w:szCs w:val="18"/>
          <w:color w:val="auto"/>
        </w:rPr>
        <w:t>Our management does not consider EBITDA and Adjusted EBITDA in isolation or as an alternative to financial measures determined in accordance with GAAP. The principal limitations of EBITDA and Adjusted EBITDA are that they exclude significant expenses and income that are required by GAAP to be recorded in our financial statements. Some of these limitations are:</w:t>
      </w:r>
    </w:p>
    <w:p>
      <w:pPr>
        <w:spacing w:after="0" w:line="119" w:lineRule="exact"/>
        <w:rPr>
          <w:sz w:val="20"/>
          <w:szCs w:val="20"/>
          <w:color w:val="auto"/>
        </w:rPr>
      </w:pPr>
    </w:p>
    <w:p>
      <w:pPr>
        <w:ind w:left="1400" w:right="659" w:hanging="424"/>
        <w:spacing w:after="0" w:line="277" w:lineRule="auto"/>
        <w:tabs>
          <w:tab w:leader="none" w:pos="13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and Adjusted EBITDA do not reflect our cash expenditures, or future requirements, for capital expenditures or contractual commitments;</w:t>
      </w:r>
    </w:p>
    <w:p>
      <w:pPr>
        <w:spacing w:after="0" w:line="102" w:lineRule="exact"/>
        <w:rPr>
          <w:rFonts w:ascii="Arial" w:cs="Arial" w:eastAsia="Arial" w:hAnsi="Arial"/>
          <w:sz w:val="18"/>
          <w:szCs w:val="18"/>
          <w:color w:val="auto"/>
        </w:rPr>
      </w:pPr>
    </w:p>
    <w:p>
      <w:pPr>
        <w:ind w:left="1400" w:right="659" w:hanging="424"/>
        <w:spacing w:after="0" w:line="277" w:lineRule="auto"/>
        <w:tabs>
          <w:tab w:leader="none" w:pos="13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w:t>
      </w:r>
    </w:p>
    <w:p>
      <w:pPr>
        <w:spacing w:after="0" w:line="89" w:lineRule="exact"/>
        <w:rPr>
          <w:rFonts w:ascii="Arial" w:cs="Arial" w:eastAsia="Arial" w:hAnsi="Arial"/>
          <w:sz w:val="18"/>
          <w:szCs w:val="18"/>
          <w:color w:val="auto"/>
        </w:rPr>
      </w:pPr>
    </w:p>
    <w:p>
      <w:pPr>
        <w:ind w:left="1400" w:right="1219" w:hanging="424"/>
        <w:spacing w:after="0" w:line="277" w:lineRule="auto"/>
        <w:tabs>
          <w:tab w:leader="none" w:pos="13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expense, or the cash requirements necessary to service interest or principal payments, on our debts;</w:t>
      </w:r>
    </w:p>
    <w:p>
      <w:pPr>
        <w:spacing w:after="0" w:line="102" w:lineRule="exact"/>
        <w:rPr>
          <w:rFonts w:ascii="Arial" w:cs="Arial" w:eastAsia="Arial" w:hAnsi="Arial"/>
          <w:sz w:val="18"/>
          <w:szCs w:val="18"/>
          <w:color w:val="auto"/>
        </w:rPr>
      </w:pPr>
    </w:p>
    <w:p>
      <w:pPr>
        <w:jc w:val="both"/>
        <w:ind w:left="1400" w:right="799" w:hanging="424"/>
        <w:spacing w:after="0" w:line="263" w:lineRule="auto"/>
        <w:tabs>
          <w:tab w:leader="none" w:pos="13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spacing w:after="0" w:line="116" w:lineRule="exact"/>
        <w:rPr>
          <w:rFonts w:ascii="Arial" w:cs="Arial" w:eastAsia="Arial" w:hAnsi="Arial"/>
          <w:sz w:val="18"/>
          <w:szCs w:val="18"/>
          <w:color w:val="auto"/>
        </w:rPr>
      </w:pPr>
    </w:p>
    <w:p>
      <w:pPr>
        <w:ind w:left="1400" w:right="719" w:hanging="424"/>
        <w:spacing w:after="0" w:line="277" w:lineRule="auto"/>
        <w:tabs>
          <w:tab w:leader="none" w:pos="13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and Adjusted EBITDA do not reflect the impact of certain cash charges resulting from matters we consider not to be indicative of our ongoing operations; and</w:t>
      </w:r>
    </w:p>
    <w:p>
      <w:pPr>
        <w:spacing w:after="0" w:line="89" w:lineRule="exact"/>
        <w:rPr>
          <w:rFonts w:ascii="Arial" w:cs="Arial" w:eastAsia="Arial" w:hAnsi="Arial"/>
          <w:sz w:val="18"/>
          <w:szCs w:val="18"/>
          <w:color w:val="auto"/>
        </w:rPr>
      </w:pPr>
    </w:p>
    <w:p>
      <w:pPr>
        <w:ind w:left="1400" w:right="739" w:hanging="424"/>
        <w:spacing w:after="0" w:line="277" w:lineRule="auto"/>
        <w:tabs>
          <w:tab w:leader="none" w:pos="1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in our industry may calculate EBITDA and Adjusted EBITDA differently than we do, limiting its usefulness as a comparative measure.</w:t>
      </w:r>
    </w:p>
    <w:p>
      <w:pPr>
        <w:spacing w:after="0" w:line="103" w:lineRule="exact"/>
        <w:rPr>
          <w:sz w:val="20"/>
          <w:szCs w:val="20"/>
          <w:color w:val="auto"/>
        </w:rPr>
      </w:pPr>
    </w:p>
    <w:p>
      <w:pPr>
        <w:ind w:left="540" w:right="679" w:firstLine="432"/>
        <w:spacing w:after="0" w:line="275" w:lineRule="auto"/>
        <w:rPr>
          <w:sz w:val="20"/>
          <w:szCs w:val="20"/>
          <w:color w:val="auto"/>
        </w:rPr>
      </w:pPr>
      <w:r>
        <w:rPr>
          <w:rFonts w:ascii="Arial" w:cs="Arial" w:eastAsia="Arial" w:hAnsi="Arial"/>
          <w:sz w:val="17"/>
          <w:szCs w:val="17"/>
          <w:color w:val="auto"/>
        </w:rPr>
        <w:t>Because of these limitations, EBITDA and Adjusted EBITDA should not be considered in isolation or as a substitute for performance measures calculated in accordance with GAAP. We compensate for these limitations by relying primarily on our GAAP results and using EBITDA and Adjusted EBITDA only as supplements. You should review the reconciliation of net income to EBITDA and Adjusted EBITDA below and not rely on any single financial measure to evaluate our business.</w:t>
      </w:r>
    </w:p>
    <w:p>
      <w:pPr>
        <w:sectPr>
          <w:pgSz w:w="11900" w:h="16838" w:orient="portrait"/>
          <w:cols w:equalWidth="0" w:num="1">
            <w:col w:w="9019"/>
          </w:cols>
          <w:pgMar w:left="1440" w:top="274" w:right="1440" w:bottom="1440"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 w:name="page20"/>
    <w:bookmarkEnd w:id="1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382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38271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65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September 30,</w:t>
      </w:r>
    </w:p>
    <w:p>
      <w:pPr>
        <w:spacing w:after="0" w:line="105"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92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45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 (8,562,000)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w w:val="99"/>
              </w:rPr>
              <w:t>(1,201,000)</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261,000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r>
      <w:tr>
        <w:trPr>
          <w:trHeight w:val="40"/>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139,000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4"/>
        </w:trPr>
        <w:tc>
          <w:tcPr>
            <w:tcW w:w="4540" w:type="dxa"/>
            <w:vAlign w:val="bottom"/>
          </w:tcPr>
          <w:p>
            <w:pPr>
              <w:spacing w:after="0"/>
              <w:rPr>
                <w:sz w:val="20"/>
                <w:szCs w:val="20"/>
                <w:color w:val="auto"/>
              </w:rPr>
            </w:pPr>
            <w:r>
              <w:rPr>
                <w:rFonts w:ascii="Arial" w:cs="Arial" w:eastAsia="Arial" w:hAnsi="Arial"/>
                <w:sz w:val="18"/>
                <w:szCs w:val="18"/>
                <w:b w:val="1"/>
                <w:bCs w:val="1"/>
                <w:color w:val="auto"/>
              </w:rPr>
              <w:t>EBITDA from continuing operations</w:t>
            </w:r>
          </w:p>
        </w:tc>
        <w:tc>
          <w:tcPr>
            <w:tcW w:w="9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(8,162,000)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(1,201,000)</w:t>
            </w:r>
          </w:p>
        </w:tc>
        <w:tc>
          <w:tcPr>
            <w:tcW w:w="140" w:type="dxa"/>
            <w:vAlign w:val="bottom"/>
          </w:tcPr>
          <w:p>
            <w:pPr>
              <w:spacing w:after="0"/>
              <w:rPr>
                <w:sz w:val="19"/>
                <w:szCs w:val="19"/>
                <w:color w:val="auto"/>
              </w:rPr>
            </w:pPr>
          </w:p>
        </w:tc>
      </w:tr>
      <w:tr>
        <w:trPr>
          <w:trHeight w:val="40"/>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r>
              <w:rPr>
                <w:rFonts w:ascii="Arial" w:cs="Arial" w:eastAsia="Arial" w:hAnsi="Arial"/>
                <w:sz w:val="20"/>
                <w:szCs w:val="20"/>
                <w:color w:val="auto"/>
                <w:vertAlign w:val="superscript"/>
              </w:rPr>
              <w:t>(1)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803,000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83"/>
        </w:trPr>
        <w:tc>
          <w:tcPr>
            <w:tcW w:w="4540" w:type="dxa"/>
            <w:vAlign w:val="bottom"/>
          </w:tcPr>
          <w:p>
            <w:pPr>
              <w:spacing w:after="0"/>
              <w:rPr>
                <w:sz w:val="20"/>
                <w:szCs w:val="20"/>
                <w:color w:val="auto"/>
              </w:rPr>
            </w:pPr>
            <w:r>
              <w:rPr>
                <w:rFonts w:ascii="Arial" w:cs="Arial" w:eastAsia="Arial" w:hAnsi="Arial"/>
                <w:sz w:val="18"/>
                <w:szCs w:val="18"/>
                <w:color w:val="auto"/>
              </w:rPr>
              <w:t>Loss from write-off of and sale of fixed assets</w:t>
            </w:r>
            <w:r>
              <w:rPr>
                <w:rFonts w:ascii="Arial" w:cs="Arial" w:eastAsia="Arial" w:hAnsi="Arial"/>
                <w:sz w:val="20"/>
                <w:szCs w:val="20"/>
                <w:color w:val="auto"/>
                <w:vertAlign w:val="superscript"/>
              </w:rPr>
              <w:t>(2)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846,000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r>
      <w:tr>
        <w:trPr>
          <w:trHeight w:val="28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r>
              <w:rPr>
                <w:rFonts w:ascii="Arial" w:cs="Arial" w:eastAsia="Arial" w:hAnsi="Arial"/>
                <w:sz w:val="20"/>
                <w:szCs w:val="20"/>
                <w:color w:val="auto"/>
                <w:vertAlign w:val="superscript"/>
              </w:rPr>
              <w:t>(3)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936,000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spacing w:after="0"/>
              <w:rPr>
                <w:sz w:val="20"/>
                <w:szCs w:val="20"/>
                <w:color w:val="auto"/>
              </w:rPr>
            </w:pPr>
            <w:r>
              <w:rPr>
                <w:rFonts w:ascii="Arial" w:cs="Arial" w:eastAsia="Arial" w:hAnsi="Arial"/>
                <w:sz w:val="18"/>
                <w:szCs w:val="18"/>
                <w:b w:val="1"/>
                <w:bCs w:val="1"/>
                <w:color w:val="auto"/>
              </w:rPr>
              <w:t>Adjusted EBITDA from continuing operations</w:t>
            </w:r>
          </w:p>
        </w:tc>
        <w:tc>
          <w:tcPr>
            <w:tcW w:w="94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(5,577,000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(1,201,000</w:t>
            </w:r>
          </w:p>
        </w:tc>
        <w:tc>
          <w:tcPr>
            <w:tcW w:w="140" w:type="dxa"/>
            <w:vAlign w:val="bottom"/>
          </w:tcPr>
          <w:p>
            <w:pPr>
              <w:jc w:val="right"/>
              <w:ind w:right="61"/>
              <w:spacing w:after="0"/>
              <w:rPr>
                <w:sz w:val="20"/>
                <w:szCs w:val="20"/>
                <w:color w:val="auto"/>
              </w:rPr>
            </w:pPr>
            <w:r>
              <w:rPr>
                <w:rFonts w:ascii="Arial" w:cs="Arial" w:eastAsia="Arial" w:hAnsi="Arial"/>
                <w:sz w:val="8"/>
                <w:szCs w:val="8"/>
                <w:color w:val="auto"/>
                <w:w w:val="73"/>
              </w:rPr>
              <w:t>)</w:t>
            </w:r>
          </w:p>
        </w:tc>
      </w:tr>
      <w:tr>
        <w:trPr>
          <w:trHeight w:val="20"/>
        </w:trPr>
        <w:tc>
          <w:tcPr>
            <w:tcW w:w="4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980" w:right="859" w:hanging="436"/>
        <w:spacing w:after="0" w:line="266" w:lineRule="auto"/>
        <w:tabs>
          <w:tab w:leader="none" w:pos="9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the aggregate grant date fair value of stock options granted during the relevant fiscal year calculated in accordance with FASB ASC Topic 718 (“Compensation — Stock Compensation”).</w:t>
      </w:r>
    </w:p>
    <w:p>
      <w:pPr>
        <w:spacing w:after="0" w:line="1" w:lineRule="exact"/>
        <w:rPr>
          <w:rFonts w:ascii="Arial" w:cs="Arial" w:eastAsia="Arial" w:hAnsi="Arial"/>
          <w:sz w:val="16"/>
          <w:szCs w:val="16"/>
          <w:color w:val="auto"/>
        </w:rPr>
      </w:pPr>
    </w:p>
    <w:p>
      <w:pPr>
        <w:ind w:left="980" w:right="639" w:hanging="436"/>
        <w:spacing w:after="0" w:line="264" w:lineRule="auto"/>
        <w:tabs>
          <w:tab w:leader="none" w:pos="9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expenses of $739,000 in connection with development of hardware solution for deployment of rapid grow solution, and $107,000 expenses related to discarded research and development center in Colorado and loss from sale of fixed assets.</w:t>
      </w:r>
    </w:p>
    <w:p>
      <w:pPr>
        <w:ind w:left="980" w:right="619" w:hanging="436"/>
        <w:spacing w:after="0" w:line="288"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total of $856,000 related to our effort to become publicly listed and $80,000 in legal costs associated with our merger and acquisition activity.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i w:val="1"/>
          <w:iCs w:val="1"/>
          <w:color w:val="auto"/>
        </w:rPr>
        <w:t>Investing in our common stock is highly speculative and involves a significant degree of risk. You should carefully consider the risks described below and elsewhere in this report, which could materially and adversely affect our business, results of operations or financial condition. Our business faces significant risks and the risks described below may not be the only risks we face. Additional risks not presently known to us or that we currently believe are immaterial may materially affect our business, results of operations, or financial condition. If any of these risks occur, the trading price of our common stock could decline and you may lose all or part of your investment.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460" w:right="699"/>
        <w:spacing w:after="0" w:line="311" w:lineRule="auto"/>
        <w:rPr>
          <w:sz w:val="20"/>
          <w:szCs w:val="20"/>
          <w:color w:val="auto"/>
        </w:rPr>
      </w:pPr>
      <w:r>
        <w:rPr>
          <w:rFonts w:ascii="Arial" w:cs="Arial" w:eastAsia="Arial" w:hAnsi="Arial"/>
          <w:sz w:val="16"/>
          <w:szCs w:val="16"/>
          <w:b w:val="1"/>
          <w:bCs w:val="1"/>
          <w:i w:val="1"/>
          <w:iCs w:val="1"/>
          <w:color w:val="auto"/>
        </w:rPr>
        <w:t>We have a history of losses, expect to continue to incur losses in the near term and may not achieve or sustain profitability in the future. As a result, our management has identified and our auditors agreed that there is a substantial doubt about our ability to continue as a going concern.</w:t>
      </w:r>
    </w:p>
    <w:p>
      <w:pPr>
        <w:spacing w:after="0" w:line="8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We have incurred significant losses in each fiscal year since our inception in 2016. We have experienced net losses of approximately $3 million and $1 million for the years ended December 31, 2019 and 2018, respectively. We expect our OpEx, to increase in the future due to expected increased sales and marketing expenses, operational costs, product development costs, and general and administrative costs and, therefore, our operating losses will continue or even increase at least through the near term. In addition, upon consummation of this offering, we will incur significant legal, accounting and other expenses as a public company that we did not incur as a private company. Furthermore, to the extent that we are successful in increasing our customer base, we will also incur increased expenses because costs associated with generating and supporting customer agreements are generally incurred up front, while revenue is generally recognized ratably over the term of the agreement. You should not rely upon our recent revenue growth as indicative of future performance. We may not reach profitability in the near future or at any specific time in the future. If and when our operations do become profitable, we may not sustain profitability.</w:t>
      </w:r>
    </w:p>
    <w:p>
      <w:pPr>
        <w:spacing w:after="0" w:line="100"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As a result of these net losses and other factors that we identified, our independent auditors issued an audit opinion with respect to our consolidated financial statements for the year ended December 31, 2019 that indicated that there is a substantial doubt about our ability to continue as a going concern. Our consolidated financial statements do not include any adjustments that might result from the outcome of this uncertainty. However, if included, these adjustments would likely reflect a substantial impairment of the carrying amount of our assets and potential contingent liabilities that may arise if we are unable to fulfill various operational commitments. In addition, the value of our securities, including common stock issued in this offering, would be greatly impaired. Our ability to continue as a going concern is dependent upon generating sufficient cash flow from operations and obtaining additional capital and financing, including funds to be raised in this offering. If our ability to generate cash flow from operations is delayed or reduced and we are unable to raise additional funding from other sources, we may be unable to continue in business even if this offering is successful.</w:t>
      </w:r>
    </w:p>
    <w:p>
      <w:pPr>
        <w:spacing w:after="0" w:line="172" w:lineRule="exact"/>
        <w:rPr>
          <w:sz w:val="20"/>
          <w:szCs w:val="20"/>
          <w:color w:val="auto"/>
        </w:rPr>
      </w:pPr>
    </w:p>
    <w:p>
      <w:pPr>
        <w:ind w:left="460" w:right="859"/>
        <w:spacing w:after="0" w:line="277" w:lineRule="auto"/>
        <w:rPr>
          <w:sz w:val="20"/>
          <w:szCs w:val="20"/>
          <w:color w:val="auto"/>
        </w:rPr>
      </w:pPr>
      <w:r>
        <w:rPr>
          <w:rFonts w:ascii="Arial" w:cs="Arial" w:eastAsia="Arial" w:hAnsi="Arial"/>
          <w:sz w:val="18"/>
          <w:szCs w:val="18"/>
          <w:b w:val="1"/>
          <w:bCs w:val="1"/>
          <w:i w:val="1"/>
          <w:iCs w:val="1"/>
          <w:color w:val="auto"/>
        </w:rPr>
        <w:t>We have a relatively short operating history, which makes it difficult to evaluate our business and future prospects.</w:t>
      </w:r>
    </w:p>
    <w:p>
      <w:pPr>
        <w:spacing w:after="0" w:line="89" w:lineRule="exact"/>
        <w:rPr>
          <w:sz w:val="20"/>
          <w:szCs w:val="20"/>
          <w:color w:val="auto"/>
        </w:rPr>
      </w:pPr>
    </w:p>
    <w:p>
      <w:pPr>
        <w:jc w:val="both"/>
        <w:ind w:left="460" w:right="499" w:firstLine="432"/>
        <w:spacing w:after="0" w:line="301" w:lineRule="auto"/>
        <w:rPr>
          <w:sz w:val="20"/>
          <w:szCs w:val="20"/>
          <w:color w:val="auto"/>
        </w:rPr>
      </w:pPr>
      <w:r>
        <w:rPr>
          <w:rFonts w:ascii="Arial" w:cs="Arial" w:eastAsia="Arial" w:hAnsi="Arial"/>
          <w:sz w:val="16"/>
          <w:szCs w:val="16"/>
          <w:color w:val="auto"/>
        </w:rPr>
        <w:t>We have a relatively short operating history, which makes it difficult to evaluate our business and future prospects. We have been in existence since June 2016 and much of our revenue growth has occurred during the first nine months of 2020. We have encountered, and will continue to encounter, risks and difficulties frequently experienced by growing companies in rapidly changing industries, including those related to:</w:t>
      </w:r>
    </w:p>
    <w:p>
      <w:pPr>
        <w:spacing w:after="0" w:line="90" w:lineRule="exact"/>
        <w:rPr>
          <w:sz w:val="20"/>
          <w:szCs w:val="20"/>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our current and future products and services;</w:t>
      </w:r>
    </w:p>
    <w:p>
      <w:pPr>
        <w:spacing w:after="0" w:line="157"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regulatory environments and costs associated with compliance, particularly as related to our operations in the cannabis sector;</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compete with other companies offering similar products and services;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market our products and services and attract new clients;</w:t>
      </w:r>
    </w:p>
    <w:p>
      <w:pPr>
        <w:spacing w:after="0" w:line="157" w:lineRule="exact"/>
        <w:rPr>
          <w:rFonts w:ascii="Arial" w:cs="Arial" w:eastAsia="Arial" w:hAnsi="Arial"/>
          <w:sz w:val="18"/>
          <w:szCs w:val="18"/>
          <w:color w:val="auto"/>
        </w:rPr>
      </w:pPr>
    </w:p>
    <w:p>
      <w:pPr>
        <w:ind w:left="1320" w:right="1319" w:hanging="434"/>
        <w:spacing w:after="0" w:line="308" w:lineRule="auto"/>
        <w:tabs>
          <w:tab w:leader="none" w:pos="131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 and timing of OpEx, particularly sales and marketing expenses, related to the maintenance and expansion of our business, operations and infrastructure;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control costs, including OpEx;</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manage organic growth and growth fueled by acquisitions;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public perception and acceptance of cannabis-related products and services generally; and</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 events.</w:t>
      </w:r>
    </w:p>
    <w:p>
      <w:pPr>
        <w:spacing w:after="0" w:line="158"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If we do not manage these risks successfully, our business and financial performance will be adversely affected.</w:t>
      </w:r>
    </w:p>
    <w:p>
      <w:pPr>
        <w:spacing w:after="0" w:line="170" w:lineRule="exact"/>
        <w:rPr>
          <w:sz w:val="20"/>
          <w:szCs w:val="20"/>
          <w:color w:val="auto"/>
        </w:rPr>
      </w:pPr>
    </w:p>
    <w:p>
      <w:pPr>
        <w:ind w:left="460" w:right="539"/>
        <w:spacing w:after="0" w:line="301" w:lineRule="auto"/>
        <w:rPr>
          <w:sz w:val="20"/>
          <w:szCs w:val="20"/>
          <w:color w:val="auto"/>
        </w:rPr>
      </w:pPr>
      <w:r>
        <w:rPr>
          <w:rFonts w:ascii="Arial" w:cs="Arial" w:eastAsia="Arial" w:hAnsi="Arial"/>
          <w:sz w:val="16"/>
          <w:szCs w:val="16"/>
          <w:b w:val="1"/>
          <w:bCs w:val="1"/>
          <w:i w:val="1"/>
          <w:iCs w:val="1"/>
          <w:color w:val="auto"/>
        </w:rPr>
        <w:t>We have limited capital resources, and even following this offering we will need to raise additional capital. Such funding, if obtained, could result in substantial dilution or significant debt service obligations. We may not be able to obtain additional capital on commercially reasonable terms in a timely manner, which could adversely affect our liquidity, financial position, and ability to continue operations.</w:t>
      </w:r>
    </w:p>
    <w:p>
      <w:pPr>
        <w:spacing w:after="0" w:line="90"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At September 30, 2020, we had a cash balance of approximately $4,958,000 and working capital of approximately $1,994,000. We thus have limited capital resources and require the funds from this offering to continue our business. Even if we are able to raise funding in this offering or substantially increase revenue and reduce OpEx, we will need to raise additional capital. In order to continue operating, we may need to obtain additional financing, either through borrowings, private offerings, public offerings, or some type of business combination, such as a merger, or buyout, and there can be no assurance that we will be successful in such pursuits. We may be unable to acquire the additional funding necessary to continue operating.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9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79" w:lineRule="exact"/>
        <w:rPr>
          <w:sz w:val="20"/>
          <w:szCs w:val="20"/>
          <w:color w:val="auto"/>
        </w:rPr>
      </w:pPr>
    </w:p>
    <w:p>
      <w:pPr>
        <w:ind w:left="460" w:right="559"/>
        <w:spacing w:after="0" w:line="320" w:lineRule="auto"/>
        <w:rPr>
          <w:sz w:val="20"/>
          <w:szCs w:val="20"/>
          <w:color w:val="auto"/>
        </w:rPr>
      </w:pPr>
      <w:r>
        <w:rPr>
          <w:rFonts w:ascii="Arial" w:cs="Arial" w:eastAsia="Arial" w:hAnsi="Arial"/>
          <w:sz w:val="15"/>
          <w:szCs w:val="15"/>
          <w:b w:val="1"/>
          <w:bCs w:val="1"/>
          <w:i w:val="1"/>
          <w:iCs w:val="1"/>
          <w:color w:val="auto"/>
        </w:rPr>
        <w:t>Three customers accounted for approximately 77.8% of our total revenue during the nine months ended September 30, 2020, and two customers accounted for approximately 99% of our total revenue during the year ended December 31, 2019. In the event of any material decrease in revenue from these customers, or if we are unable to replace the revenue through the sale of our products to additional customers, our financial condition and results from operations could be materially and adversely affected.</w:t>
      </w:r>
    </w:p>
    <w:p>
      <w:pPr>
        <w:spacing w:after="0" w:line="7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During the nine months ended September 30, 2020, three customers accounted for approximately 77.8% (or $6,016,000) of our total revenue, and during the year ended December 31, 2019, two customers accounted for approximately 99% (or $4,047,000) of our total revenue. This concentration of customers leaves us exposed to the risks associated with the loss of one or more of these significant customers, which would materially and adversely affect our revenues and results of operations. In addition, some of these customers have experienced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from operations could be negatively impacted, and such impact would likely be significant.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Our reliance on a limited base of suppliers for our products may result in disruptions to our supply chain and business and adversely affect our financial results.</w:t>
      </w:r>
    </w:p>
    <w:p>
      <w:pPr>
        <w:spacing w:after="0" w:line="89"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64" w:lineRule="exact"/>
        <w:rPr>
          <w:sz w:val="20"/>
          <w:szCs w:val="20"/>
          <w:color w:val="auto"/>
        </w:rPr>
      </w:pPr>
    </w:p>
    <w:p>
      <w:pPr>
        <w:ind w:left="460" w:right="599"/>
        <w:spacing w:after="0" w:line="308" w:lineRule="auto"/>
        <w:rPr>
          <w:sz w:val="20"/>
          <w:szCs w:val="20"/>
          <w:color w:val="auto"/>
        </w:rPr>
      </w:pPr>
      <w:r>
        <w:rPr>
          <w:rFonts w:ascii="Arial" w:cs="Arial" w:eastAsia="Arial" w:hAnsi="Arial"/>
          <w:sz w:val="17"/>
          <w:szCs w:val="17"/>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79"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measures being taken to combat the pandemic are impacting our suppliers and may destabilize our supply chain. For example, manufacturing plants have closed and work at others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110"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96"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As a company with clients operating in the cannabis industry, we face many particular and evolving risks associated with that industry.</w:t>
      </w:r>
    </w:p>
    <w:p>
      <w:pPr>
        <w:spacing w:after="0" w:line="89"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We currently serve private clients as they operate in a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Marijuana remains illegal under United States federal law</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Marijuana is a Schedule-I controlled substance under the Controlled Substances Act and is illegal under federal law. It remains illegal under United States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Uncertainty of federal enforcement and the need to renew temporary safeguards</w:t>
      </w:r>
    </w:p>
    <w:p>
      <w:pPr>
        <w:spacing w:after="0" w:line="158"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On January 4, 2018,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United States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3" w:name="page24"/>
    <w:bookmarkEnd w:id="2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39"/>
        <w:spacing w:after="0" w:line="259" w:lineRule="auto"/>
        <w:rPr>
          <w:sz w:val="20"/>
          <w:szCs w:val="20"/>
          <w:color w:val="auto"/>
        </w:rPr>
      </w:pPr>
      <w:r>
        <w:rPr>
          <w:rFonts w:ascii="Arial" w:cs="Arial" w:eastAsia="Arial" w:hAnsi="Arial"/>
          <w:sz w:val="18"/>
          <w:szCs w:val="18"/>
          <w:color w:val="auto"/>
        </w:rPr>
        <w:t>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19"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2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2016, 2017, 2018, 2019 and 2020, and remains in effect, continued re-authorization of the Appropriations Rider cannot be guaranteed. If the Appropriation Rider is no longer in effect, the risk of federal enforcement and override of state marijuana laws would increase.</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Further legislative development beneficial to our operations is not guaranteed</w:t>
      </w:r>
    </w:p>
    <w:p>
      <w:pPr>
        <w:spacing w:after="0" w:line="144"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The cannabis industry could face strong opposition from other industries</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The legality of marijuana could be reversed in one or more states</w:t>
      </w:r>
    </w:p>
    <w:p>
      <w:pPr>
        <w:spacing w:after="0" w:line="158"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Changing legislation and evolving interpretations of law</w:t>
      </w:r>
    </w:p>
    <w:p>
      <w:pPr>
        <w:spacing w:after="0" w:line="144" w:lineRule="exact"/>
        <w:rPr>
          <w:sz w:val="20"/>
          <w:szCs w:val="20"/>
          <w:color w:val="auto"/>
        </w:rPr>
      </w:pPr>
    </w:p>
    <w:p>
      <w:pPr>
        <w:ind w:left="460" w:right="599" w:firstLine="432"/>
        <w:spacing w:after="0" w:line="288" w:lineRule="auto"/>
        <w:rPr>
          <w:sz w:val="20"/>
          <w:szCs w:val="20"/>
          <w:color w:val="auto"/>
        </w:rPr>
      </w:pPr>
      <w:r>
        <w:rPr>
          <w:rFonts w:ascii="Arial" w:cs="Arial" w:eastAsia="Arial" w:hAnsi="Arial"/>
          <w:sz w:val="16"/>
          <w:szCs w:val="16"/>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Dependence on client licensing</w:t>
      </w:r>
    </w:p>
    <w:p>
      <w:pPr>
        <w:spacing w:after="0" w:line="15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Banking regulations could limit access to banking services</w:t>
      </w:r>
    </w:p>
    <w:p>
      <w:pPr>
        <w:spacing w:after="0" w:line="158"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United States Senate. There can be no assurance that that the SAFE Banking Act will become law in the United States. Additionally, most courts have denied marijuana-related businesses bankruptcy protection, thus, making it very difficult for lenders to recoup their investments, which may limit the willingness of banks to lend to our clients and to us.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Insurance risks</w:t>
      </w:r>
    </w:p>
    <w:p>
      <w:pPr>
        <w:spacing w:after="0" w:line="144" w:lineRule="exact"/>
        <w:rPr>
          <w:sz w:val="20"/>
          <w:szCs w:val="20"/>
          <w:color w:val="auto"/>
        </w:rPr>
      </w:pPr>
    </w:p>
    <w:p>
      <w:pPr>
        <w:ind w:left="460" w:right="899" w:firstLine="432"/>
        <w:spacing w:after="0" w:line="259" w:lineRule="auto"/>
        <w:rPr>
          <w:sz w:val="20"/>
          <w:szCs w:val="20"/>
          <w:color w:val="auto"/>
        </w:rPr>
      </w:pPr>
      <w:r>
        <w:rPr>
          <w:rFonts w:ascii="Arial" w:cs="Arial" w:eastAsia="Arial" w:hAnsi="Arial"/>
          <w:sz w:val="18"/>
          <w:szCs w:val="18"/>
          <w:color w:val="auto"/>
        </w:rPr>
        <w:t>In the United States,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Evolving industry</w:t>
      </w:r>
    </w:p>
    <w:p>
      <w:pPr>
        <w:spacing w:after="0" w:line="158" w:lineRule="exact"/>
        <w:rPr>
          <w:sz w:val="20"/>
          <w:szCs w:val="20"/>
          <w:color w:val="auto"/>
        </w:rPr>
      </w:pPr>
    </w:p>
    <w:p>
      <w:pPr>
        <w:ind w:left="460" w:right="799" w:firstLine="432"/>
        <w:spacing w:after="0" w:line="271" w:lineRule="auto"/>
        <w:rPr>
          <w:sz w:val="20"/>
          <w:szCs w:val="20"/>
          <w:color w:val="auto"/>
        </w:rPr>
      </w:pPr>
      <w:r>
        <w:rPr>
          <w:rFonts w:ascii="Arial" w:cs="Arial" w:eastAsia="Arial" w:hAnsi="Arial"/>
          <w:sz w:val="17"/>
          <w:szCs w:val="17"/>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prospectus,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99"/>
        <w:spacing w:after="0" w:line="342" w:lineRule="auto"/>
        <w:rPr>
          <w:sz w:val="20"/>
          <w:szCs w:val="20"/>
          <w:color w:val="auto"/>
        </w:rPr>
      </w:pPr>
      <w:r>
        <w:rPr>
          <w:rFonts w:ascii="Arial" w:cs="Arial" w:eastAsia="Arial" w:hAnsi="Arial"/>
          <w:sz w:val="16"/>
          <w:szCs w:val="16"/>
          <w:b w:val="1"/>
          <w:bCs w:val="1"/>
          <w:i w:val="1"/>
          <w:iCs w:val="1"/>
          <w:color w:val="auto"/>
        </w:rPr>
        <w:t>Our reliance on our relationship with our strategic investor, Inventronics, without a definitive agreement in place may have an adverse effect on our ability to provide products and services to our customers.</w:t>
      </w:r>
    </w:p>
    <w:p>
      <w:pPr>
        <w:spacing w:after="0" w:line="43"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Inventronics Inc., based in Hangzhou, Zhejiang, China, is currently one of the largest companies in the world engaged in the design and manufacture of high efficiency, high reliability and long-life LED drivers, and has worked with us to develop our LED lighting technology. Inventronics is a shareholder of our company and the founder of Inventronics is a member of our board of directors. We intend to continue to rely on our strategic relationship with Inventronics with respect to various aspects of our business, including access to the most advanced LED driver technology, component suppliers and contract manufacturing located in Asia, as well as research and development support. Although we intend in due course to memorialize our relationship with Inventronics in a formal written agreement, we are currently not a party to a definitive agreement that governs our relationship with Inventronics. Accordingly, we do not have the benefit of certain rights and remedies that would otherwise be included in a definitive agreement with another third party. If we are unable to maintain our strong relationship with Inventronics, our lack of a definitive agreement with such company may have an adverse effect on our ability to provide products and services to our customers.</w:t>
      </w:r>
    </w:p>
    <w:p>
      <w:pPr>
        <w:spacing w:after="0" w:line="154" w:lineRule="exact"/>
        <w:rPr>
          <w:sz w:val="20"/>
          <w:szCs w:val="20"/>
          <w:color w:val="auto"/>
        </w:rPr>
      </w:pPr>
    </w:p>
    <w:p>
      <w:pPr>
        <w:jc w:val="both"/>
        <w:ind w:left="460" w:right="519"/>
        <w:spacing w:after="0" w:line="286" w:lineRule="auto"/>
        <w:rPr>
          <w:sz w:val="20"/>
          <w:szCs w:val="20"/>
          <w:color w:val="auto"/>
        </w:rPr>
      </w:pPr>
      <w:r>
        <w:rPr>
          <w:rFonts w:ascii="Arial" w:cs="Arial" w:eastAsia="Arial" w:hAnsi="Arial"/>
          <w:sz w:val="17"/>
          <w:szCs w:val="17"/>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9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As of December 31, 2020, our backlog, which consists of purchase orders or purchase commitments, was $59.3 million. We expect to recognize revenue of approximately $40 million in 2021 and the rest gradually thereafter. Additionally, as of December 31, 2020, we have $105 million of carefully vetted potential sales opportunities (which we refer to as our qualified pipeline). Of this, $78 million of qualified pipeline was generated through our company directly and $27 million through our Agrify-Valiant Joint-Venture. 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are confident that our backlog and qualified pipeline will translate into bookings over the next 12 months, there can be no assurance that we will be successful in such pursuit. In the event that our backlog and qualified pipeline do not translate into bookings as projected, it could materially and adversely affect our business and financial performance.</w:t>
      </w:r>
    </w:p>
    <w:p>
      <w:pPr>
        <w:spacing w:after="0" w:line="144" w:lineRule="exact"/>
        <w:rPr>
          <w:sz w:val="20"/>
          <w:szCs w:val="20"/>
          <w:color w:val="auto"/>
        </w:rPr>
      </w:pPr>
    </w:p>
    <w:p>
      <w:pPr>
        <w:ind w:left="460" w:right="1299"/>
        <w:spacing w:after="0" w:line="277" w:lineRule="auto"/>
        <w:rPr>
          <w:sz w:val="20"/>
          <w:szCs w:val="20"/>
          <w:color w:val="auto"/>
        </w:rPr>
      </w:pPr>
      <w:r>
        <w:rPr>
          <w:rFonts w:ascii="Arial" w:cs="Arial" w:eastAsia="Arial" w:hAnsi="Arial"/>
          <w:sz w:val="18"/>
          <w:szCs w:val="18"/>
          <w:b w:val="1"/>
          <w:bCs w:val="1"/>
          <w:i w:val="1"/>
          <w:iCs w:val="1"/>
          <w:color w:val="auto"/>
        </w:rPr>
        <w:t>Certain of our officers and directors may become subject to conflicts of interests arising out of our relationship with Bluezone and Enozo.</w:t>
      </w:r>
    </w:p>
    <w:p>
      <w:pPr>
        <w:spacing w:after="0" w:line="103"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are a party to two distribution agreements with companies in which certain of our officers and directors have an interest. Specifically, Guichao Hua, a member of our board of directors, has an ownership interest in Bluezone Products, Inc. of approximately 3%. Raymond Chang, our Chairman of the Board and Chief Executive Officer, is a director of Bluezone and one of the funds he manages, NXT Venture Fund II, has an ownership interest in Bluezone of approximately 8%. Similarly, Mr. Hua has an ownership interest in Enozo Technologies, Inc. of approximately 12% and Mr. Chang is a director of Enozo and has an ownership interest in Enozo of approximately 15%. The overlapping nature of these relationships could cause conflicts of interest for Messrs. Hua and Chang, which may not be easily resolved, or if they are resolved, they may not be resolved on terms advantageous to our company.</w:t>
      </w:r>
    </w:p>
    <w:p>
      <w:pPr>
        <w:spacing w:after="0" w:line="167" w:lineRule="exact"/>
        <w:rPr>
          <w:sz w:val="20"/>
          <w:szCs w:val="20"/>
          <w:color w:val="auto"/>
        </w:rPr>
      </w:pPr>
    </w:p>
    <w:p>
      <w:pPr>
        <w:ind w:left="460" w:right="739"/>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cyber-attack.</w:t>
      </w:r>
    </w:p>
    <w:p>
      <w:pPr>
        <w:spacing w:after="0" w:line="89"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We rely on information technology systems in order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rapidly-evolving types of cyber-attacks.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2" w:lineRule="exact"/>
        <w:rPr>
          <w:sz w:val="20"/>
          <w:szCs w:val="20"/>
          <w:color w:val="auto"/>
        </w:rPr>
      </w:pPr>
    </w:p>
    <w:p>
      <w:pPr>
        <w:ind w:left="460" w:right="559"/>
        <w:spacing w:after="0" w:line="381" w:lineRule="auto"/>
        <w:rPr>
          <w:sz w:val="20"/>
          <w:szCs w:val="20"/>
          <w:color w:val="auto"/>
        </w:rPr>
      </w:pPr>
      <w:r>
        <w:rPr>
          <w:rFonts w:ascii="Arial" w:cs="Arial" w:eastAsia="Arial" w:hAnsi="Arial"/>
          <w:sz w:val="15"/>
          <w:szCs w:val="15"/>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p>
    <w:p>
      <w:pPr>
        <w:spacing w:after="0" w:line="3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78" w:lineRule="exact"/>
        <w:rPr>
          <w:sz w:val="20"/>
          <w:szCs w:val="20"/>
          <w:color w:val="auto"/>
        </w:rPr>
      </w:pPr>
    </w:p>
    <w:p>
      <w:pPr>
        <w:ind w:left="460" w:right="679"/>
        <w:spacing w:after="0" w:line="277" w:lineRule="auto"/>
        <w:rPr>
          <w:sz w:val="20"/>
          <w:szCs w:val="20"/>
          <w:color w:val="auto"/>
        </w:rPr>
      </w:pPr>
      <w:r>
        <w:rPr>
          <w:rFonts w:ascii="Arial" w:cs="Arial" w:eastAsia="Arial" w:hAnsi="Arial"/>
          <w:sz w:val="18"/>
          <w:szCs w:val="18"/>
          <w:b w:val="1"/>
          <w:bCs w:val="1"/>
          <w:i w:val="1"/>
          <w:iCs w:val="1"/>
          <w:color w:val="auto"/>
        </w:rPr>
        <w:t>We rely on third parties for certain services made available to our customers, which could limit our control over the quality of the user experience and our cost of providing services.</w:t>
      </w:r>
    </w:p>
    <w:p>
      <w:pPr>
        <w:spacing w:after="0" w:line="103"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Some of the applications and services available through our proprietary Agrify “Precision Elevated™” cultivation solution, including our flagship hardware product, the Agrify Vertical Farming Unit (AVFU), and our proprietary SaaS product, Agrify Insights™, are provided through relationships with third party service providers. We do not typically have any direct control over these third party service providers. These third 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 party service provider. There are readily available alternative hosting services available should we desire or need to move to a different web host. Certain ancillary services provided by us also uses the services of third party providers, for which, we believe, there are readily available alternatives on comparable economic terms. Offering integrated platforms which rely, in part, on the services of other providers lessens the control that we have over the total client experience. Should the third party service providers we rely upon not deliver at standards we expect and desire, acceptance of our platforms could suffer, which would have an adverse effect on our business and financial performance. Further, we cannot be assured of entering into agreements with such third party service providers on economically favorable terms.</w:t>
      </w:r>
    </w:p>
    <w:p>
      <w:pPr>
        <w:spacing w:after="0" w:line="182" w:lineRule="exact"/>
        <w:rPr>
          <w:sz w:val="20"/>
          <w:szCs w:val="20"/>
          <w:color w:val="auto"/>
        </w:rPr>
      </w:pPr>
    </w:p>
    <w:p>
      <w:pPr>
        <w:ind w:left="460" w:right="599"/>
        <w:spacing w:after="0" w:line="308" w:lineRule="auto"/>
        <w:rPr>
          <w:sz w:val="20"/>
          <w:szCs w:val="20"/>
          <w:color w:val="auto"/>
        </w:rPr>
      </w:pPr>
      <w:r>
        <w:rPr>
          <w:rFonts w:ascii="Arial" w:cs="Arial" w:eastAsia="Arial" w:hAnsi="Arial"/>
          <w:sz w:val="17"/>
          <w:szCs w:val="17"/>
          <w:b w:val="1"/>
          <w:bCs w:val="1"/>
          <w:i w:val="1"/>
          <w:iCs w:val="1"/>
          <w:color w:val="auto"/>
        </w:rPr>
        <w:t>The growth and success of our business depends on the continued contributions of Raymond Chang, as our key executive officer, as well as our ability to attract and retain qualified personnel.</w:t>
      </w:r>
    </w:p>
    <w:p>
      <w:pPr>
        <w:spacing w:after="0" w:line="6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growth and success is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face intense competition that could prohibit us from developing or increasing our customer base.</w:t>
      </w:r>
    </w:p>
    <w:p>
      <w:pPr>
        <w:spacing w:after="0" w:line="181" w:lineRule="exact"/>
        <w:rPr>
          <w:sz w:val="20"/>
          <w:szCs w:val="20"/>
          <w:color w:val="auto"/>
        </w:rPr>
      </w:pPr>
    </w:p>
    <w:p>
      <w:pPr>
        <w:jc w:val="both"/>
        <w:ind w:left="460" w:right="519" w:firstLine="432"/>
        <w:spacing w:after="0" w:line="311" w:lineRule="auto"/>
        <w:rPr>
          <w:sz w:val="20"/>
          <w:szCs w:val="20"/>
          <w:color w:val="auto"/>
        </w:rPr>
      </w:pPr>
      <w:r>
        <w:rPr>
          <w:rFonts w:ascii="Arial" w:cs="Arial" w:eastAsia="Arial" w:hAnsi="Arial"/>
          <w:sz w:val="16"/>
          <w:szCs w:val="16"/>
          <w:color w:val="auto"/>
        </w:rPr>
        <w:t>The indoor agriculture industry is highly competitive. We may compete with companies that have greater capital resources and facilities. More established companies with much greater financial resources which do not currently compete with us may be able to more easily adapt their existing operations to our line of business. In</w:t>
      </w:r>
    </w:p>
    <w:p>
      <w:pPr>
        <w:sectPr>
          <w:pgSz w:w="11900" w:h="16838" w:orient="portrait"/>
          <w:cols w:equalWidth="0" w:num="1">
            <w:col w:w="9019"/>
          </w:cols>
          <w:pgMar w:left="1440" w:top="274" w:right="1440"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 w:name="page28"/>
    <w:bookmarkEnd w:id="2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72" w:lineRule="auto"/>
        <w:rPr>
          <w:sz w:val="20"/>
          <w:szCs w:val="20"/>
          <w:color w:val="auto"/>
        </w:rPr>
      </w:pPr>
      <w:r>
        <w:rPr>
          <w:rFonts w:ascii="Arial" w:cs="Arial" w:eastAsia="Arial" w:hAnsi="Arial"/>
          <w:sz w:val="17"/>
          <w:szCs w:val="17"/>
          <w:color w:val="auto"/>
        </w:rPr>
        <w:t>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77"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Protecting and defending against intellectual property claims may have a material adverse effect on our business.</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ability to compete depends, in part, upon successful protection of our intellectual property relating to our proprietary Agrify “Precision Elevated™” cultivation solution, including our flagship hardware product, the AVFU,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14"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We have one pending Patent Cooperation Treaty (PCT) application, and we will likely file national applications from this PCT in countries, including the United States. PCT stands for Patent Cooperation Treaty, which is an international patent law treaty. A PCT application is a “placeholder” utility application that establishes a filing date for the invention, and that can subsequently be “nationalized” in any of the more than 140 countries that are members of the PCT. Within 30 months (longer in some jurisdictions) from the application priority date, the applicant must “nationalize” the application and select the countries to which patent protection is sought. After nationalization, country-specific procedures for patent prosecution to patent grant are pursued as to each country or jurisdiction selected. Utilization of the PCT application process allows us to defer patent application deadlines and costs while we consider, for example, our international filing strategy, obtain funding and refine our patent claims.</w:t>
      </w:r>
    </w:p>
    <w:p>
      <w:pPr>
        <w:spacing w:after="0" w:line="10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We cannot assure investors that we will continue to innovate and file new patent applications, or that this application or any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111" w:lineRule="exact"/>
        <w:rPr>
          <w:sz w:val="20"/>
          <w:szCs w:val="20"/>
          <w:color w:val="auto"/>
        </w:rPr>
      </w:pPr>
    </w:p>
    <w:p>
      <w:pPr>
        <w:ind w:left="1320" w:right="1339" w:hanging="434"/>
        <w:spacing w:after="0" w:line="277"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claimed or disclosed in our patent application;</w:t>
      </w:r>
    </w:p>
    <w:p>
      <w:pPr>
        <w:spacing w:after="0" w:line="102" w:lineRule="exact"/>
        <w:rPr>
          <w:rFonts w:ascii="Arial" w:cs="Arial" w:eastAsia="Arial" w:hAnsi="Arial"/>
          <w:sz w:val="18"/>
          <w:szCs w:val="18"/>
          <w:color w:val="auto"/>
        </w:rPr>
      </w:pPr>
    </w:p>
    <w:p>
      <w:pPr>
        <w:ind w:left="1320" w:right="499" w:hanging="434"/>
        <w:spacing w:after="0" w:line="273" w:lineRule="auto"/>
        <w:tabs>
          <w:tab w:leader="none" w:pos="1311"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96" w:lineRule="exact"/>
        <w:rPr>
          <w:rFonts w:ascii="Arial" w:cs="Arial" w:eastAsia="Arial" w:hAnsi="Arial"/>
          <w:sz w:val="17"/>
          <w:szCs w:val="17"/>
          <w:color w:val="auto"/>
        </w:rPr>
      </w:pPr>
    </w:p>
    <w:p>
      <w:pPr>
        <w:ind w:left="1320" w:right="639" w:hanging="434"/>
        <w:spacing w:after="0" w:line="259"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parties may independently develop similar or alternative products and technologies or duplicate any of our products and technologies, which can potentially impact our market share, revenue, and goodwill, regardless of whether intellectual property rights are successfully enforced against these other parties;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79" w:hanging="434"/>
        <w:spacing w:after="0" w:line="311" w:lineRule="auto"/>
        <w:tabs>
          <w:tab w:leader="none" w:pos="1311" w:val="left"/>
        </w:tabs>
        <w:numPr>
          <w:ilvl w:val="0"/>
          <w:numId w:val="17"/>
        </w:numPr>
        <w:rPr>
          <w:rFonts w:ascii="Arial" w:cs="Arial" w:eastAsia="Arial" w:hAnsi="Arial"/>
          <w:sz w:val="16"/>
          <w:szCs w:val="16"/>
          <w:color w:val="auto"/>
        </w:rPr>
      </w:pPr>
      <w:r>
        <w:rPr>
          <w:rFonts w:ascii="Arial" w:cs="Arial" w:eastAsia="Arial" w:hAnsi="Arial"/>
          <w:sz w:val="16"/>
          <w:szCs w:val="16"/>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81" w:lineRule="exact"/>
        <w:rPr>
          <w:rFonts w:ascii="Arial" w:cs="Arial" w:eastAsia="Arial" w:hAnsi="Arial"/>
          <w:sz w:val="16"/>
          <w:szCs w:val="16"/>
          <w:color w:val="auto"/>
        </w:rPr>
      </w:pPr>
    </w:p>
    <w:p>
      <w:pPr>
        <w:ind w:left="1320" w:right="919" w:hanging="434"/>
        <w:spacing w:after="0" w:line="342" w:lineRule="auto"/>
        <w:tabs>
          <w:tab w:leader="none" w:pos="1311"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be unaware of or unfamiliar with prior art and/or interpretations of prior art that could potentially impact the validity or scope of our patents or patent applications that we may file;</w:t>
      </w:r>
    </w:p>
    <w:p>
      <w:pPr>
        <w:spacing w:after="0" w:line="56" w:lineRule="exact"/>
        <w:rPr>
          <w:rFonts w:ascii="Arial" w:cs="Arial" w:eastAsia="Arial" w:hAnsi="Arial"/>
          <w:sz w:val="16"/>
          <w:szCs w:val="16"/>
          <w:color w:val="auto"/>
        </w:rPr>
      </w:pPr>
    </w:p>
    <w:p>
      <w:pPr>
        <w:ind w:left="1320" w:right="619" w:hanging="434"/>
        <w:spacing w:after="0" w:line="301" w:lineRule="auto"/>
        <w:tabs>
          <w:tab w:leader="none" w:pos="1311"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76" w:lineRule="exact"/>
        <w:rPr>
          <w:rFonts w:ascii="Arial" w:cs="Arial" w:eastAsia="Arial" w:hAnsi="Arial"/>
          <w:sz w:val="16"/>
          <w:szCs w:val="16"/>
          <w:color w:val="auto"/>
        </w:rPr>
      </w:pPr>
    </w:p>
    <w:p>
      <w:pPr>
        <w:ind w:left="1320" w:right="639" w:hanging="434"/>
        <w:spacing w:after="0" w:line="277"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elect not to maintain or pursue intellectual property rights that, at some point in time, may be considered relevant to or enforceable against a competitor;</w:t>
      </w:r>
    </w:p>
    <w:p>
      <w:pPr>
        <w:spacing w:after="0" w:line="102" w:lineRule="exact"/>
        <w:rPr>
          <w:rFonts w:ascii="Arial" w:cs="Arial" w:eastAsia="Arial" w:hAnsi="Arial"/>
          <w:sz w:val="18"/>
          <w:szCs w:val="18"/>
          <w:color w:val="auto"/>
        </w:rPr>
      </w:pPr>
    </w:p>
    <w:p>
      <w:pPr>
        <w:ind w:left="1320" w:right="519" w:hanging="434"/>
        <w:spacing w:after="0" w:line="308" w:lineRule="auto"/>
        <w:tabs>
          <w:tab w:leader="none" w:pos="1311"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not develop additional proprietary products and technologies that are patentable, or we may develop additional proprietary products and technologies that are not patentable;</w:t>
      </w:r>
    </w:p>
    <w:p>
      <w:pPr>
        <w:spacing w:after="0" w:line="78" w:lineRule="exact"/>
        <w:rPr>
          <w:rFonts w:ascii="Arial" w:cs="Arial" w:eastAsia="Arial" w:hAnsi="Arial"/>
          <w:sz w:val="17"/>
          <w:szCs w:val="17"/>
          <w:color w:val="auto"/>
        </w:rPr>
      </w:pPr>
    </w:p>
    <w:p>
      <w:pPr>
        <w:ind w:left="1320" w:right="479" w:hanging="434"/>
        <w:spacing w:after="0" w:line="277"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89" w:lineRule="exact"/>
        <w:rPr>
          <w:rFonts w:ascii="Arial" w:cs="Arial" w:eastAsia="Arial" w:hAnsi="Arial"/>
          <w:sz w:val="18"/>
          <w:szCs w:val="18"/>
          <w:color w:val="auto"/>
        </w:rPr>
      </w:pPr>
    </w:p>
    <w:p>
      <w:pPr>
        <w:ind w:left="1320" w:right="799" w:hanging="434"/>
        <w:spacing w:after="0" w:line="301" w:lineRule="auto"/>
        <w:tabs>
          <w:tab w:leader="none" w:pos="1311"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9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success depends in part upon our ability to protect our core technology and intellectual property.</w:t>
      </w:r>
    </w:p>
    <w:p>
      <w:pPr>
        <w:spacing w:after="0" w:line="181" w:lineRule="exact"/>
        <w:rPr>
          <w:sz w:val="20"/>
          <w:szCs w:val="20"/>
          <w:color w:val="auto"/>
        </w:rPr>
      </w:pPr>
    </w:p>
    <w:p>
      <w:pPr>
        <w:ind w:left="460" w:right="619" w:firstLine="432"/>
        <w:spacing w:after="0" w:line="288" w:lineRule="auto"/>
        <w:rPr>
          <w:sz w:val="20"/>
          <w:szCs w:val="20"/>
          <w:color w:val="auto"/>
        </w:rPr>
      </w:pPr>
      <w:r>
        <w:rPr>
          <w:rFonts w:ascii="Arial" w:cs="Arial" w:eastAsia="Arial" w:hAnsi="Arial"/>
          <w:sz w:val="16"/>
          <w:szCs w:val="16"/>
          <w:color w:val="auto"/>
        </w:rPr>
        <w:t>Our success depends in part upon our ability to protect our core technology and intellectual property. To establish and protect our proprietary rights, we rely on a combination of trademark, copyright, patent, trade secret and unfair competition laws of the United States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87"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98"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United States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92"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We may need to enter into intellectual property license agreements in the future, and if we are unable to obtain these licenses, our business could be harmed.</w:t>
      </w:r>
    </w:p>
    <w:p>
      <w:pPr>
        <w:spacing w:after="0" w:line="10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Others may assert intellectual property infringement claims against us.</w:t>
      </w:r>
    </w:p>
    <w:p>
      <w:pPr>
        <w:spacing w:after="0" w:line="158"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76" w:lineRule="exact"/>
        <w:rPr>
          <w:sz w:val="20"/>
          <w:szCs w:val="20"/>
          <w:color w:val="auto"/>
        </w:rPr>
      </w:pPr>
    </w:p>
    <w:p>
      <w:pPr>
        <w:ind w:left="460" w:right="599"/>
        <w:spacing w:after="0" w:line="320" w:lineRule="auto"/>
        <w:rPr>
          <w:sz w:val="20"/>
          <w:szCs w:val="20"/>
          <w:color w:val="auto"/>
        </w:rPr>
      </w:pPr>
      <w:r>
        <w:rPr>
          <w:rFonts w:ascii="Arial" w:cs="Arial" w:eastAsia="Arial" w:hAnsi="Arial"/>
          <w:sz w:val="15"/>
          <w:szCs w:val="15"/>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65"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1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59" w:lineRule="auto"/>
        <w:rPr>
          <w:sz w:val="20"/>
          <w:szCs w:val="20"/>
          <w:color w:val="auto"/>
        </w:rPr>
      </w:pPr>
      <w:r>
        <w:rPr>
          <w:rFonts w:ascii="Arial" w:cs="Arial" w:eastAsia="Arial" w:hAnsi="Arial"/>
          <w:sz w:val="18"/>
          <w:szCs w:val="18"/>
          <w:color w:val="auto"/>
        </w:rPr>
        <w:t>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87" w:lineRule="exact"/>
        <w:rPr>
          <w:sz w:val="20"/>
          <w:szCs w:val="20"/>
          <w:color w:val="auto"/>
        </w:rPr>
      </w:pPr>
    </w:p>
    <w:p>
      <w:pPr>
        <w:ind w:left="460" w:right="1279"/>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0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As of December 31, 2019, we had net operating loss (NOL) carryforwards for federal and state income tax purposes which may be available to offset taxable income in the future, and which expire in various years for federal purposes if not utilized. The state NOLs will expire depending upon the various rules in the states in which we operate.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its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income tax purposes. For these reasons, we may not be able to utilize a material portion of our NOLs, even if we attain profitability, which could potentially result in increased future tax liability to us and could adversely affect our results of operations and financial condition.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are no assurances that the loans will be forgivable in whole or in part.</w:t>
      </w:r>
    </w:p>
    <w:p>
      <w:pPr>
        <w:spacing w:after="0" w:line="15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In May and July 2020, we entered into a two separate Loan Agreements and Promissory Notes (the “PPP Loans”) with Bank of America pursuant to the Paycheck Protection Program (the “PPP”) under the recently enacted Coronavirus Aid, Relief, and Economic Security Act (“CARES Act”) administered by the U.S. Small Business Administration. We received total proceeds of $779,000 and $44,410 from the unsecured PPP Loans. The PPP Loans are is scheduled to mature on May 7, 2022 and July 27, 2022, respectively, and have an interest rate of 1.00% per annum and is are subject to the terms and conditions applicable to loans administered by the U.S. Small Business Administration (the “SBA”) under the CARES Act. The PPP Loans may be prepaid at any time prior to its maturity with no prepayment penalties.</w:t>
      </w:r>
    </w:p>
    <w:p>
      <w:pPr>
        <w:spacing w:after="0" w:line="97"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The PPP Loans contain customary events of default relating to, among other things, payment defaults and breaches of representations and warranties. Subject to certain conditions, the PPP Loans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a certain level. According to the PPP, the lender has 60 days from receipt of the completed application to issue a decision to the SBA. If the lender determines that the borrower is entitled to forgiveness of some or all of the amount applied for under the statute and applicable regulations, the lender must request payment from the SBA at the time the lender issues its decision to the SBA. The SBA will, subject to any SBA review of the loan or loan application, remit the appropriate forgiveness amount to the lender, plus any interest accrued through the date of payment, not later than 90 days after the lender issues its decision to the SBA.</w:t>
      </w:r>
    </w:p>
    <w:p>
      <w:pPr>
        <w:spacing w:after="0" w:line="106"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to repay by May 7, 2022 and July 27, 2022 any principal amount not forgiven and interest accrued from May 7, 2020 and July 27, 2020, respectively. Although we believe that we satisfied all eligibility criteria for the PPP Loan and that our receipt of the PPP Loan is consistent with the objectives of the PPP Loan of the CARES Act, if it is later determined that we were ineligible to receive the</w:t>
      </w:r>
    </w:p>
    <w:p>
      <w:pPr>
        <w:spacing w:after="0" w:line="1" w:lineRule="exact"/>
        <w:rPr>
          <w:sz w:val="20"/>
          <w:szCs w:val="20"/>
          <w:color w:val="auto"/>
        </w:rPr>
      </w:pPr>
    </w:p>
    <w:p>
      <w:pPr>
        <w:ind w:left="460" w:right="479" w:hanging="6"/>
        <w:spacing w:after="0" w:line="277" w:lineRule="auto"/>
        <w:tabs>
          <w:tab w:leader="none" w:pos="805"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Loan, we may be required to repay the PPP Loan in its entirety and/or be subject to additional penalties and adverse publicity, which could have a material adverse effect on our business, results of operations, and financial condition.</w:t>
      </w:r>
    </w:p>
    <w:p>
      <w:pPr>
        <w:sectPr>
          <w:pgSz w:w="11900" w:h="16838" w:orient="portrait"/>
          <w:cols w:equalWidth="0" w:num="1">
            <w:col w:w="9019"/>
          </w:cols>
          <w:pgMar w:left="1440" w:top="274"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There is no existing market for our common stock and we do not know if one will develop to provide you with adequate liquidity.</w:t>
      </w:r>
    </w:p>
    <w:p>
      <w:pPr>
        <w:spacing w:after="0" w:line="89"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Prior to this offering, there has not been a public market for our common stock. We cannot assure you that an active trading market for our common stock will develop following this offering, or if it does develop, it may not be maintained. You may not be able to sell your common stock quickly or at the market price if trading in our securities is not active. The initial public offering price for the shares offered hereby will be determined by negotiations between us and the representative of the underwriters and may not be indicative of prices that will prevail in the trading market.</w:t>
      </w:r>
    </w:p>
    <w:p>
      <w:pPr>
        <w:spacing w:after="0" w:line="192" w:lineRule="exact"/>
        <w:rPr>
          <w:sz w:val="20"/>
          <w:szCs w:val="20"/>
          <w:color w:val="auto"/>
        </w:rPr>
      </w:pPr>
    </w:p>
    <w:p>
      <w:pPr>
        <w:ind w:left="460" w:right="919"/>
        <w:spacing w:after="0" w:line="308" w:lineRule="auto"/>
        <w:rPr>
          <w:sz w:val="20"/>
          <w:szCs w:val="20"/>
          <w:color w:val="auto"/>
        </w:rPr>
      </w:pPr>
      <w:r>
        <w:rPr>
          <w:rFonts w:ascii="Arial" w:cs="Arial" w:eastAsia="Arial" w:hAnsi="Arial"/>
          <w:sz w:val="17"/>
          <w:szCs w:val="17"/>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79"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Our management will have broad discretion over the use of our net proceeds from this offering, and you will be relying on the judgment of our management regarding the application of these proceeds. Our management might not apply our net proceeds in ways that ultimately increase the value of your investment. We expect to use the net proceeds from this offering for general corporate purposes, including working capital and capital expenditures (or CapEx), which may in the future include investments in, or acquisitions of, complementary businesses, services or technologies. Our management might not be able to yield a significant return, if any, on any investment of these net proceeds. You will not have the opportunity to influence our decisions on how to use our net proceeds from this offering.</w:t>
      </w:r>
    </w:p>
    <w:p>
      <w:pPr>
        <w:spacing w:after="0" w:line="178"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103"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Upon completion of this offering, our executive officers, directors and their affiliates will beneficially own, in the aggregate, approximately 23% of our outstanding shares of common stock. In particular, Raymond Chang, our Chairman of the Board and Chief Executive Officer, will beneficially own approximately 12.3% of our outstanding shares of common stock upon completion of this offering.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81" w:lineRule="exact"/>
        <w:rPr>
          <w:sz w:val="20"/>
          <w:szCs w:val="20"/>
          <w:color w:val="auto"/>
        </w:rPr>
      </w:pPr>
    </w:p>
    <w:p>
      <w:pPr>
        <w:ind w:left="460" w:right="999"/>
        <w:spacing w:after="0" w:line="311" w:lineRule="auto"/>
        <w:rPr>
          <w:sz w:val="20"/>
          <w:szCs w:val="20"/>
          <w:color w:val="auto"/>
        </w:rPr>
      </w:pPr>
      <w:r>
        <w:rPr>
          <w:rFonts w:ascii="Arial" w:cs="Arial" w:eastAsia="Arial" w:hAnsi="Arial"/>
          <w:sz w:val="16"/>
          <w:szCs w:val="16"/>
          <w:b w:val="1"/>
          <w:bCs w:val="1"/>
          <w:i w:val="1"/>
          <w:iCs w:val="1"/>
          <w:color w:val="auto"/>
        </w:rPr>
        <w:t>A total of 7,281,790, or 72.4%, of our total outstanding shares after the offering are restricted from immediate resale, but may be sold on a stock exchange in the near future. The large number of shares eligible for public sale could depress the market price of our common stock.</w:t>
      </w:r>
    </w:p>
    <w:p>
      <w:pPr>
        <w:spacing w:after="0" w:line="6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after this offering, and the perception that these sales could occur may also depress the market price of our common stock. Based on shares outstanding as of January 10, 2021, we will have 10,059,568 shares of common stock outstanding after this offering. Of these shares, the common stock sold in this offering will be freely tradable in the United States, except for any shares purchased by our “affiliates” as defined in Rule 144 under the Securities Act of 1933. The holders of approximately 6,803,923 shares of outstanding common stock have agreed with the underwriters, subject to certain exceptions, not to dispose of or hedge any of their common stock during the 180-day period beginning on the date of this prospectus, except with the prior written consent of the underwriters. After the expiration of the 180-day restricted period,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Arial" w:cs="Arial" w:eastAsia="Arial" w:hAnsi="Arial"/>
                <w:sz w:val="16"/>
                <w:szCs w:val="16"/>
                <w:b w:val="1"/>
                <w:bCs w:val="1"/>
                <w:color w:val="auto"/>
                <w:w w:val="93"/>
              </w:rPr>
              <w:t>Number of Shares and % of Total</w:t>
            </w:r>
          </w:p>
        </w:tc>
        <w:tc>
          <w:tcPr>
            <w:tcW w:w="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6"/>
                <w:szCs w:val="16"/>
                <w:b w:val="1"/>
                <w:bCs w:val="1"/>
                <w:color w:val="auto"/>
              </w:rPr>
              <w:t>Outstanding</w:t>
            </w:r>
          </w:p>
        </w:tc>
        <w:tc>
          <w:tcPr>
            <w:tcW w:w="80" w:type="dxa"/>
            <w:vAlign w:val="bottom"/>
          </w:tcPr>
          <w:p>
            <w:pPr>
              <w:spacing w:after="0"/>
              <w:rPr>
                <w:sz w:val="18"/>
                <w:szCs w:val="18"/>
                <w:color w:val="auto"/>
              </w:rPr>
            </w:pPr>
          </w:p>
        </w:tc>
        <w:tc>
          <w:tcPr>
            <w:tcW w:w="5640" w:type="dxa"/>
            <w:vAlign w:val="bottom"/>
          </w:tcPr>
          <w:p>
            <w:pPr>
              <w:ind w:left="1320"/>
              <w:spacing w:after="0"/>
              <w:rPr>
                <w:sz w:val="20"/>
                <w:szCs w:val="20"/>
                <w:color w:val="auto"/>
              </w:rPr>
            </w:pPr>
            <w:r>
              <w:rPr>
                <w:rFonts w:ascii="Arial" w:cs="Arial" w:eastAsia="Arial" w:hAnsi="Arial"/>
                <w:sz w:val="16"/>
                <w:szCs w:val="16"/>
                <w:b w:val="1"/>
                <w:bCs w:val="1"/>
                <w:color w:val="auto"/>
              </w:rPr>
              <w:t>Date Available for Sale into Public Markets</w:t>
            </w:r>
          </w:p>
        </w:tc>
        <w:tc>
          <w:tcPr>
            <w:tcW w:w="0" w:type="dxa"/>
            <w:vAlign w:val="bottom"/>
          </w:tcPr>
          <w:p>
            <w:pPr>
              <w:spacing w:after="0"/>
              <w:rPr>
                <w:sz w:val="1"/>
                <w:szCs w:val="1"/>
                <w:color w:val="auto"/>
              </w:rPr>
            </w:pPr>
          </w:p>
        </w:tc>
      </w:tr>
      <w:tr>
        <w:trPr>
          <w:trHeight w:val="47"/>
        </w:trPr>
        <w:tc>
          <w:tcPr>
            <w:tcW w:w="238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5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380" w:type="dxa"/>
            <w:vAlign w:val="bottom"/>
          </w:tcPr>
          <w:p>
            <w:pPr>
              <w:spacing w:after="0"/>
              <w:rPr>
                <w:sz w:val="20"/>
                <w:szCs w:val="20"/>
                <w:color w:val="auto"/>
              </w:rPr>
            </w:pPr>
            <w:r>
              <w:rPr>
                <w:rFonts w:ascii="Arial" w:cs="Arial" w:eastAsia="Arial" w:hAnsi="Arial"/>
                <w:sz w:val="18"/>
                <w:szCs w:val="18"/>
                <w:color w:val="auto"/>
              </w:rPr>
              <w:t>2,777,778, or 27.6%</w:t>
            </w:r>
          </w:p>
        </w:tc>
        <w:tc>
          <w:tcPr>
            <w:tcW w:w="8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Immediately after this offering.</w:t>
            </w:r>
          </w:p>
        </w:tc>
        <w:tc>
          <w:tcPr>
            <w:tcW w:w="0" w:type="dxa"/>
            <w:vAlign w:val="bottom"/>
          </w:tcPr>
          <w:p>
            <w:pPr>
              <w:spacing w:after="0"/>
              <w:rPr>
                <w:sz w:val="1"/>
                <w:szCs w:val="1"/>
                <w:color w:val="auto"/>
              </w:rPr>
            </w:pPr>
          </w:p>
        </w:tc>
      </w:tr>
      <w:tr>
        <w:trPr>
          <w:trHeight w:val="390"/>
        </w:trPr>
        <w:tc>
          <w:tcPr>
            <w:tcW w:w="2380" w:type="dxa"/>
            <w:vAlign w:val="bottom"/>
          </w:tcPr>
          <w:p>
            <w:pPr>
              <w:spacing w:after="0"/>
              <w:rPr>
                <w:sz w:val="20"/>
                <w:szCs w:val="20"/>
                <w:color w:val="auto"/>
              </w:rPr>
            </w:pPr>
            <w:r>
              <w:rPr>
                <w:rFonts w:ascii="Arial" w:cs="Arial" w:eastAsia="Arial" w:hAnsi="Arial"/>
                <w:sz w:val="18"/>
                <w:szCs w:val="18"/>
                <w:color w:val="auto"/>
              </w:rPr>
              <w:t>6,803,923, or 67.6%</w:t>
            </w: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2"/>
              </w:rPr>
              <w:t>180 days after the date of this prospectus due to contractual obligations and</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89"/>
              </w:rPr>
              <w:t>lock-up agreements between the holders of these shares and the underwriters.</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rPr>
              <w:t>However, the underwriters can waive the provisions of these lock-up</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6"/>
              </w:rPr>
              <w:t>agreements and allow these stockholders to sell their shares at any time,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8"/>
              </w:rPr>
              <w:t>provided their respective one-year holding periods under Rule 144 have</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rPr>
              <w:t>expired.</w:t>
            </w:r>
          </w:p>
        </w:tc>
        <w:tc>
          <w:tcPr>
            <w:tcW w:w="0" w:type="dxa"/>
            <w:vAlign w:val="bottom"/>
          </w:tcPr>
          <w:p>
            <w:pPr>
              <w:spacing w:after="0"/>
              <w:rPr>
                <w:sz w:val="1"/>
                <w:szCs w:val="1"/>
                <w:color w:val="auto"/>
              </w:rPr>
            </w:pPr>
          </w:p>
        </w:tc>
      </w:tr>
      <w:tr>
        <w:trPr>
          <w:trHeight w:val="391"/>
        </w:trPr>
        <w:tc>
          <w:tcPr>
            <w:tcW w:w="2380" w:type="dxa"/>
            <w:vAlign w:val="bottom"/>
          </w:tcPr>
          <w:p>
            <w:pPr>
              <w:spacing w:after="0"/>
              <w:rPr>
                <w:sz w:val="20"/>
                <w:szCs w:val="20"/>
                <w:color w:val="auto"/>
              </w:rPr>
            </w:pPr>
            <w:r>
              <w:rPr>
                <w:rFonts w:ascii="Arial" w:cs="Arial" w:eastAsia="Arial" w:hAnsi="Arial"/>
                <w:sz w:val="18"/>
                <w:szCs w:val="18"/>
                <w:color w:val="auto"/>
              </w:rPr>
              <w:t>7,281,790, or 72.4%</w:t>
            </w: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5"/>
              </w:rPr>
              <w:t>From time to time after the date 180 days after the date of this prospectus</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9"/>
              </w:rPr>
              <w:t>upon expiration of their respective one-year holding periods in the U.S.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In addition, we may file a registration statement to register the approximately 3,355,083 shares of common stock underlying outstanding options and shares reserved for future issuance under our equity compensation plans. Upon effectiveness of that registration statement, subject to the satisfaction of applicable exercise periods and, in certain cases, lock-up agreements with the representatives of the underwriters referred to above, the shares of common stock issued upon exercise of outstanding options will be available for immediate resale in the United States in the open market.</w:t>
      </w:r>
    </w:p>
    <w:p>
      <w:pPr>
        <w:spacing w:after="0" w:line="110"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4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p>
    <w:p>
      <w:pPr>
        <w:spacing w:after="0" w:line="116"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80" w:lineRule="exact"/>
        <w:rPr>
          <w:sz w:val="20"/>
          <w:szCs w:val="20"/>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57" w:lineRule="exact"/>
        <w:rPr>
          <w:rFonts w:ascii="Arial" w:cs="Arial" w:eastAsia="Arial" w:hAnsi="Arial"/>
          <w:sz w:val="18"/>
          <w:szCs w:val="18"/>
          <w:color w:val="auto"/>
        </w:rPr>
      </w:pPr>
    </w:p>
    <w:p>
      <w:pPr>
        <w:ind w:left="1320" w:right="539" w:hanging="434"/>
        <w:spacing w:after="0" w:line="275" w:lineRule="auto"/>
        <w:tabs>
          <w:tab w:leader="none" w:pos="131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0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87"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89"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The anticipated initial public offering price of our common stock is substantially higher than the net tangible book value per share of our outstanding common stock immediately after this offering. Therefore, if you purchase our common stock in this offering, you will incur immediate dilution of $5.37 in the net tangible book value per share from the price you paid. In addition, following this offering, purchasers in the offering will have contributed 45.2% of the total consideration paid by our stockholders to purchase shares of common stock, in exchange for acquiring approximately 27.6% of our total outstanding shares as of January 10, 2021 after giving effect to this offering. The exercise of outstanding stock options will result in further dilution.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19"/>
        <w:spacing w:after="0" w:line="259" w:lineRule="auto"/>
        <w:rPr>
          <w:sz w:val="20"/>
          <w:szCs w:val="20"/>
          <w:color w:val="auto"/>
        </w:rPr>
      </w:pPr>
      <w:r>
        <w:rPr>
          <w:rFonts w:ascii="Arial" w:cs="Arial" w:eastAsia="Arial" w:hAnsi="Arial"/>
          <w:sz w:val="18"/>
          <w:szCs w:val="18"/>
          <w:b w:val="1"/>
          <w:bCs w:val="1"/>
          <w:i w:val="1"/>
          <w:iCs w:val="1"/>
          <w:color w:val="auto"/>
        </w:rPr>
        <w:t>We are eligible to be treated as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106"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prospectus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and two years of selected financial data in this prospectus. We could be an emerging growth company for up to five years, although circumstances could cause us to lose that status earlier, including if the market value of our common stock held by non-affiliates exceeds $700.0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00"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98"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have not and do not expect to declare any dividends to our shareholders in the foreseeable future.</w:t>
      </w:r>
    </w:p>
    <w:p>
      <w:pPr>
        <w:spacing w:after="0" w:line="167"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460" w:right="639"/>
        <w:spacing w:after="0" w:line="277" w:lineRule="auto"/>
        <w:rPr>
          <w:sz w:val="20"/>
          <w:szCs w:val="20"/>
          <w:color w:val="auto"/>
        </w:rPr>
      </w:pPr>
      <w:r>
        <w:rPr>
          <w:rFonts w:ascii="Arial" w:cs="Arial" w:eastAsia="Arial" w:hAnsi="Arial"/>
          <w:sz w:val="18"/>
          <w:szCs w:val="18"/>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103"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 Some measures that directly or indirectly impact our business include:</w:t>
      </w:r>
    </w:p>
    <w:p>
      <w:pPr>
        <w:spacing w:after="0" w:line="90"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voluntary or mandatory quarantines;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travel; and</w:t>
      </w:r>
    </w:p>
    <w:p>
      <w:pPr>
        <w:spacing w:after="0" w:line="157" w:lineRule="exact"/>
        <w:rPr>
          <w:rFonts w:ascii="Arial" w:cs="Arial" w:eastAsia="Arial" w:hAnsi="Arial"/>
          <w:sz w:val="18"/>
          <w:szCs w:val="18"/>
          <w:color w:val="auto"/>
        </w:rPr>
      </w:pPr>
    </w:p>
    <w:p>
      <w:pPr>
        <w:jc w:val="right"/>
        <w:ind w:left="4420" w:right="4399" w:hanging="3534"/>
        <w:spacing w:after="0" w:line="571" w:lineRule="auto"/>
        <w:tabs>
          <w:tab w:leader="none" w:pos="13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limiting gatherings of people in public places.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-160655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94"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COVID-19 pandemic and mitigation efforts have also adversely affected our customers’ financial condition, resulting in reduced spending for the products we sell.</w:t>
      </w:r>
    </w:p>
    <w:p>
      <w:pPr>
        <w:spacing w:after="0" w:line="94"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41"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b w:val="1"/>
          <w:bCs w:val="1"/>
          <w:i w:val="1"/>
          <w:iCs w:val="1"/>
          <w:color w:val="auto"/>
        </w:rPr>
        <w:t>A prolonged economic downturn, particularly in light of the COVID-19 pandemic, could adversely affect our business.</w:t>
      </w:r>
    </w:p>
    <w:p>
      <w:pPr>
        <w:spacing w:after="0" w:line="89"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Increases in costs, disruption of supply or shortage of raw materials could harm our business.</w:t>
      </w:r>
    </w:p>
    <w:p>
      <w:pPr>
        <w:spacing w:after="0" w:line="156"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144"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Although we are not currently aware of any legal proceedings brought against us, 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599"/>
        <w:spacing w:after="0" w:line="263" w:lineRule="auto"/>
        <w:rPr>
          <w:sz w:val="20"/>
          <w:szCs w:val="20"/>
          <w:color w:val="auto"/>
        </w:rPr>
      </w:pPr>
      <w:r>
        <w:rPr>
          <w:rFonts w:ascii="Arial" w:cs="Arial" w:eastAsia="Arial" w:hAnsi="Arial"/>
          <w:sz w:val="18"/>
          <w:szCs w:val="18"/>
          <w:color w:val="auto"/>
        </w:rPr>
        <w:t>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70" w:lineRule="exact"/>
        <w:rPr>
          <w:sz w:val="20"/>
          <w:szCs w:val="20"/>
          <w:color w:val="auto"/>
        </w:rPr>
      </w:pPr>
    </w:p>
    <w:p>
      <w:pPr>
        <w:ind w:left="460" w:right="719"/>
        <w:spacing w:after="0" w:line="277" w:lineRule="auto"/>
        <w:rPr>
          <w:sz w:val="20"/>
          <w:szCs w:val="20"/>
          <w:color w:val="auto"/>
        </w:rPr>
      </w:pPr>
      <w:r>
        <w:rPr>
          <w:rFonts w:ascii="Arial" w:cs="Arial" w:eastAsia="Arial" w:hAnsi="Arial"/>
          <w:sz w:val="18"/>
          <w:szCs w:val="18"/>
          <w:b w:val="1"/>
          <w:bCs w:val="1"/>
          <w:i w:val="1"/>
          <w:iCs w:val="1"/>
          <w:color w:val="auto"/>
        </w:rPr>
        <w:t>An active, liquid and orderly trading market for our common stock may not develop, the price of our stock may be volatile, and you could lose all or part of your investment.</w:t>
      </w:r>
    </w:p>
    <w:p>
      <w:pPr>
        <w:spacing w:after="0" w:line="76"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The trading price of our common stock following this offering is likely to be highly volatile and could be subject to wide fluctuations in response to various factors, some of which are beyond our control. Our stock price could be subject to wide fluctuations in response to a variety of factors, which include:</w:t>
      </w:r>
    </w:p>
    <w:p>
      <w:pPr>
        <w:spacing w:after="0" w:line="71" w:lineRule="exact"/>
        <w:rPr>
          <w:sz w:val="20"/>
          <w:szCs w:val="20"/>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we achieve our anticipated corporate objectives;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financial or operational estimates or projections;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implement our operational plans;</w:t>
      </w:r>
    </w:p>
    <w:p>
      <w:pPr>
        <w:spacing w:after="0" w:line="157"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termination of the lock-up agreement or other restrictions on the ability of our stockholders to sell shares after this offering;</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the economic performance or market valuations of companies similar to ours;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or elsewhere.</w:t>
      </w:r>
    </w:p>
    <w:p>
      <w:pPr>
        <w:spacing w:after="0" w:line="158"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Our failure to meet the continuing listing requirements of The NASDAQ Capital Market could result in a de-listing of our securities.</w:t>
      </w:r>
    </w:p>
    <w:p>
      <w:pPr>
        <w:spacing w:after="0" w:line="89"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If, after this offering, we fail to satisfy the continuing listing requirements of NASDAQ, such as the corporate governance, stockholders equity or minimum closing bid price requirements, NASDAQ may take steps to delist our common stock. Such a delisting would likely have a negative effect on the price of our common stock and would impair your ability to sell or purchase our common stock when you wish to do so. In the event of a delisting, we would likely take actions to restore our compliance with NASDAQ’s listing requirements, but we can provide no assurance that any such action taken by us would allow our common stock to become listed again, stabilize the market price or improve the liquidity of our securities, prevent our common stock from dropping below the NASDAQ minimum bid price requirement or prevent future non-compliance with NASDAQ’s listing requirements.</w:t>
      </w:r>
    </w:p>
    <w:p>
      <w:pPr>
        <w:spacing w:after="0" w:line="181" w:lineRule="exact"/>
        <w:rPr>
          <w:sz w:val="20"/>
          <w:szCs w:val="20"/>
          <w:color w:val="auto"/>
        </w:rPr>
      </w:pPr>
    </w:p>
    <w:p>
      <w:pPr>
        <w:ind w:left="460" w:right="799"/>
        <w:spacing w:after="0" w:line="342" w:lineRule="auto"/>
        <w:rPr>
          <w:sz w:val="20"/>
          <w:szCs w:val="20"/>
          <w:color w:val="auto"/>
        </w:rPr>
      </w:pPr>
      <w:r>
        <w:rPr>
          <w:rFonts w:ascii="Arial" w:cs="Arial" w:eastAsia="Arial" w:hAnsi="Arial"/>
          <w:sz w:val="16"/>
          <w:szCs w:val="16"/>
          <w:b w:val="1"/>
          <w:bCs w:val="1"/>
          <w:i w:val="1"/>
          <w:iCs w:val="1"/>
          <w:color w:val="auto"/>
        </w:rPr>
        <w:t>We will incur increased costs and demands upon management as a result of complying with the laws and regulations affecting public companies, which could adversely affect our operating results.</w:t>
      </w:r>
    </w:p>
    <w:p>
      <w:pPr>
        <w:spacing w:after="0" w:line="56"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the NASDAQ. In addition, our management team will also have to adapt to the requirements of being a public company. We expect complying with these rules and regulations will substantially increase our legal and financial compliance costs and to make some activities more time-consuming and costly.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20"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57" w:lineRule="exact"/>
        <w:rPr>
          <w:sz w:val="20"/>
          <w:szCs w:val="20"/>
          <w:color w:val="auto"/>
        </w:rPr>
      </w:pPr>
    </w:p>
    <w:p>
      <w:pPr>
        <w:ind w:left="460" w:right="579"/>
        <w:spacing w:after="0" w:line="257" w:lineRule="auto"/>
        <w:rPr>
          <w:sz w:val="20"/>
          <w:szCs w:val="20"/>
          <w:color w:val="auto"/>
        </w:rPr>
      </w:pPr>
      <w:r>
        <w:rPr>
          <w:rFonts w:ascii="Arial" w:cs="Arial" w:eastAsia="Arial" w:hAnsi="Arial"/>
          <w:sz w:val="18"/>
          <w:szCs w:val="18"/>
          <w:b w:val="1"/>
          <w:bCs w:val="1"/>
          <w:i w:val="1"/>
          <w:iCs w:val="1"/>
          <w:color w:val="auto"/>
        </w:rPr>
        <w:t>As a result of becoming a public company, we will be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120" w:lineRule="exact"/>
        <w:rPr>
          <w:sz w:val="20"/>
          <w:szCs w:val="20"/>
          <w:color w:val="auto"/>
        </w:rPr>
      </w:pPr>
    </w:p>
    <w:p>
      <w:pPr>
        <w:ind w:left="460" w:right="759" w:firstLine="432"/>
        <w:spacing w:after="0" w:line="255" w:lineRule="auto"/>
        <w:rPr>
          <w:sz w:val="20"/>
          <w:szCs w:val="20"/>
          <w:color w:val="auto"/>
        </w:rPr>
      </w:pPr>
      <w:r>
        <w:rPr>
          <w:rFonts w:ascii="Arial" w:cs="Arial" w:eastAsia="Arial" w:hAnsi="Arial"/>
          <w:sz w:val="18"/>
          <w:szCs w:val="18"/>
          <w:color w:val="auto"/>
        </w:rPr>
        <w:t>We will be required, pursuant to Section 404 of the Sarbanes-Oxley Act, to furnish a report by management on, among other things, the effectiveness of our internal control over financial reporting for the first fiscal year beginning after the effective date of this offering. This assessment will need to include disclosure of any material weaknesses identified by our management in our internal control over financial reporting, as well as a statement that our auditors have issued an attestation report on effectiveness of our internal controls.</w:t>
      </w:r>
    </w:p>
    <w:p>
      <w:pPr>
        <w:spacing w:after="0" w:line="111"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are in the very early stages of the costly and challenging process of compiling the system and processing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81" w:lineRule="exact"/>
        <w:rPr>
          <w:sz w:val="20"/>
          <w:szCs w:val="20"/>
          <w:color w:val="auto"/>
        </w:rPr>
      </w:pPr>
    </w:p>
    <w:p>
      <w:pPr>
        <w:ind w:left="460" w:right="799"/>
        <w:spacing w:after="0" w:line="277" w:lineRule="auto"/>
        <w:rPr>
          <w:sz w:val="20"/>
          <w:szCs w:val="20"/>
          <w:color w:val="auto"/>
        </w:rPr>
      </w:pPr>
      <w:r>
        <w:rPr>
          <w:rFonts w:ascii="Arial" w:cs="Arial" w:eastAsia="Arial" w:hAnsi="Arial"/>
          <w:sz w:val="18"/>
          <w:szCs w:val="18"/>
          <w:b w:val="1"/>
          <w:bCs w:val="1"/>
          <w:i w:val="1"/>
          <w:iCs w:val="1"/>
          <w:color w:val="auto"/>
        </w:rPr>
        <w:t>If our shares of common stock become subject to the penny stock rules, it would become more difficult to trade our shares.</w:t>
      </w:r>
    </w:p>
    <w:p>
      <w:pPr>
        <w:spacing w:after="0" w:line="8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obtain or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financial and operational projections that we may make from time to time are subject to inherent risks.</w:t>
      </w:r>
    </w:p>
    <w:p>
      <w:pPr>
        <w:spacing w:after="0" w:line="179"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prospectus should not be regarded as an indication that we or our management or representatives considered or consider the projections to be a reliable prediction of future events, and the projections should not be relied upon as such.</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7" w:name="page38"/>
    <w:bookmarkEnd w:id="3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we were to dissolve, the holders of our securities may lose all or substantial amounts of their investments.</w:t>
      </w:r>
    </w:p>
    <w:p>
      <w:pPr>
        <w:spacing w:after="0" w:line="17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88" w:lineRule="exact"/>
        <w:rPr>
          <w:sz w:val="20"/>
          <w:szCs w:val="20"/>
          <w:color w:val="auto"/>
        </w:rPr>
      </w:pPr>
    </w:p>
    <w:p>
      <w:pPr>
        <w:ind w:left="460" w:right="75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16"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64" w:lineRule="exact"/>
        <w:rPr>
          <w:sz w:val="20"/>
          <w:szCs w:val="20"/>
          <w:color w:val="auto"/>
        </w:rPr>
      </w:pPr>
    </w:p>
    <w:p>
      <w:pPr>
        <w:ind w:left="460" w:right="1259"/>
        <w:spacing w:after="0" w:line="342" w:lineRule="auto"/>
        <w:rPr>
          <w:sz w:val="20"/>
          <w:szCs w:val="20"/>
          <w:color w:val="auto"/>
        </w:rPr>
      </w:pPr>
      <w:r>
        <w:rPr>
          <w:rFonts w:ascii="Arial" w:cs="Arial" w:eastAsia="Arial" w:hAnsi="Arial"/>
          <w:sz w:val="16"/>
          <w:szCs w:val="16"/>
          <w:b w:val="1"/>
          <w:bCs w:val="1"/>
          <w:i w:val="1"/>
          <w:iCs w:val="1"/>
          <w:color w:val="auto"/>
        </w:rPr>
        <w:t>In making your investment decision, you should understand that we and the underwriters have not authorized any other party to provide you with information concerning us or this offering.</w:t>
      </w:r>
    </w:p>
    <w:p>
      <w:pPr>
        <w:spacing w:after="0" w:line="56"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You should carefully evaluate all of the information in this prospectus before investing in our company. We may receive media coverage regarding our company, including coverage that is not directly attributable to statements made by our officers, that incorrectly reports on statements made by our officers or employees, or that is misleading as a result of omitting information provided by us, our officers or employees. We and the underwriters have not authorized any other party to provide you with information concerning us or this offering, and you should not rely on this information in making an investment decision.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460" w:right="679" w:firstLine="432"/>
        <w:spacing w:after="0" w:line="254"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All statements other than statements of historical facts contained in this prospectus,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24" w:lineRule="exact"/>
        <w:rPr>
          <w:sz w:val="20"/>
          <w:szCs w:val="20"/>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157" w:lineRule="exact"/>
        <w:rPr>
          <w:rFonts w:ascii="Arial" w:cs="Arial" w:eastAsia="Arial" w:hAnsi="Arial"/>
          <w:sz w:val="18"/>
          <w:szCs w:val="18"/>
          <w:color w:val="auto"/>
        </w:rPr>
      </w:pPr>
    </w:p>
    <w:p>
      <w:pPr>
        <w:ind w:left="1320" w:right="659" w:hanging="434"/>
        <w:spacing w:after="0" w:line="277" w:lineRule="auto"/>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retain our existing customers and to increase our number of customers;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future growth of the indoor agriculture industry and demands of our customers;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acquisitions and integration of complementary businesses and technologies;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and capital requirements;</w:t>
      </w:r>
    </w:p>
    <w:p>
      <w:pPr>
        <w:spacing w:after="0" w:line="157" w:lineRule="exact"/>
        <w:rPr>
          <w:rFonts w:ascii="Arial" w:cs="Arial" w:eastAsia="Arial" w:hAnsi="Arial"/>
          <w:sz w:val="18"/>
          <w:szCs w:val="18"/>
          <w:color w:val="auto"/>
        </w:rPr>
      </w:pPr>
    </w:p>
    <w:p>
      <w:pPr>
        <w:ind w:left="1320" w:right="819" w:hanging="434"/>
        <w:spacing w:after="0" w:line="277" w:lineRule="auto"/>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comply with new or modified laws and regulations that currently apply or become applicable to our business;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key employees or management personnel;</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9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125"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14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00"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7"/>
          <w:szCs w:val="17"/>
          <w:color w:val="auto"/>
        </w:rPr>
        <w:t xml:space="preserve">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prospectus may also contain trademarks, service marks and trade names of other companies,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some of the copyrights, trade names and trademarks referred to in this prospectus are listed without their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and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symbols, but we will assert, to the fullest extent under applicable law, our rights to our copyrights, trade names and trademarks. All other trademarks are the property of their respective owners.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We estimate that we will receive net proceeds from this offering of approximately $21,750,000, based on an assumed initial public offering price of $9.00 per share, which is the midpoint of the price range set forth on the cover of this prospectus, and after deducting the underwriting discounts and commissions, including an underwriting discount of 8.0% (without taking into account an underwriting discount of 3.5% of the public offering price as applied to shares sold to certain investors), and estimated offering expenses payable by us. If the underwriters exercise their option to purchase additional shares, we estimate that we will receive an additional $3,450,000 in net proceeds.</w:t>
      </w:r>
    </w:p>
    <w:p>
      <w:pPr>
        <w:spacing w:after="0" w:line="110"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A $1.00 increase (decrease) in the assumed initial public offering price of $9.00 would increase (decrease) the net proceeds to us from this offering by $2,555,556.</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intend to use the net proceeds from this offering for the following purposes:</w:t>
      </w:r>
    </w:p>
    <w:p>
      <w:pPr>
        <w:spacing w:after="0" w:line="144" w:lineRule="exact"/>
        <w:rPr>
          <w:sz w:val="20"/>
          <w:szCs w:val="20"/>
          <w:color w:val="auto"/>
        </w:rPr>
      </w:pPr>
    </w:p>
    <w:p>
      <w:pPr>
        <w:ind w:left="1320" w:right="479" w:hanging="434"/>
        <w:spacing w:after="0" w:line="277"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$2.0 million on research and development for future generations of our products and software;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$5.0 million on sales and marketing activities;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$2.5 million hire additional personnel;</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Approximately $1.5 million capital investment in research, development, and testing equipment;</w:t>
      </w:r>
    </w:p>
    <w:p>
      <w:pPr>
        <w:spacing w:after="0" w:line="169" w:lineRule="exact"/>
        <w:rPr>
          <w:rFonts w:ascii="Arial" w:cs="Arial" w:eastAsia="Arial" w:hAnsi="Arial"/>
          <w:sz w:val="17"/>
          <w:szCs w:val="17"/>
          <w:color w:val="auto"/>
        </w:rPr>
      </w:pPr>
    </w:p>
    <w:p>
      <w:pPr>
        <w:ind w:left="1320" w:right="999" w:hanging="434"/>
        <w:spacing w:after="0" w:line="277"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$8.0 million for our equipment financing plan to provide limited credit to our customers; and</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144"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foregoing expected use of net proceeds from this offering represents our intentions based upon our current plans and business conditions. However, the nature, amounts and timing of our actual expenditures may vary significantly depending on numerous factors. As a result, our management has and will retain broad discretion over the allocation of the net proceeds from this offering. We may find it necessary or advisable to use the net proceeds from this offering for other purposes, and we will have broad discretion in the application of net proceeds from this offering.</w:t>
      </w:r>
    </w:p>
    <w:p>
      <w:pPr>
        <w:spacing w:after="0" w:line="125"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Pending specific utilization of the net proceeds as described above, we intend to invest the net proceeds of the offering in short-term investment grade and U.S. government securities.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We have never paid cash dividends on any of our capital stock and currently intend to retain our future earnings, if any, to fund the development and growth of our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1-for-1.581804 reverse stock split of our outstanding common stock implemented on January 12, 2021.</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capitalization as of September 30, 2020:</w:t>
      </w:r>
    </w:p>
    <w:p>
      <w:pPr>
        <w:spacing w:after="0" w:line="144" w:lineRule="exact"/>
        <w:rPr>
          <w:sz w:val="20"/>
          <w:szCs w:val="20"/>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320" w:right="839" w:hanging="434"/>
        <w:spacing w:after="0" w:line="263" w:lineRule="auto"/>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basis, to give effect to the conversion of our outstanding shares of Series A Preferred Stock into 1,373,038 shares of common stock immediately prior to the closing of this offering based on a conversion price of $7.72;</w:t>
      </w:r>
    </w:p>
    <w:p>
      <w:pPr>
        <w:spacing w:after="0" w:line="89" w:lineRule="exact"/>
        <w:rPr>
          <w:rFonts w:ascii="Arial" w:cs="Arial" w:eastAsia="Arial" w:hAnsi="Arial"/>
          <w:sz w:val="18"/>
          <w:szCs w:val="18"/>
          <w:color w:val="auto"/>
        </w:rPr>
      </w:pPr>
    </w:p>
    <w:p>
      <w:pPr>
        <w:jc w:val="both"/>
        <w:ind w:left="1320" w:right="899" w:hanging="434"/>
        <w:spacing w:after="0" w:line="263" w:lineRule="auto"/>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basis, to give effect to the conversion of our outstanding promissory notes into 1,697,075 shares of common stock immediately prior to the closing of this offering based on a conversion price of $7.72; and</w:t>
      </w:r>
    </w:p>
    <w:p>
      <w:pPr>
        <w:spacing w:after="0" w:line="102" w:lineRule="exact"/>
        <w:rPr>
          <w:rFonts w:ascii="Arial" w:cs="Arial" w:eastAsia="Arial" w:hAnsi="Arial"/>
          <w:sz w:val="18"/>
          <w:szCs w:val="18"/>
          <w:color w:val="auto"/>
        </w:rPr>
      </w:pPr>
    </w:p>
    <w:p>
      <w:pPr>
        <w:ind w:left="1320" w:right="479" w:hanging="434"/>
        <w:spacing w:after="0" w:line="257" w:lineRule="auto"/>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(i) the sale of 2,777,778 shares of common stock by us in this offering at the initial public offering price of $9.00 per share, which is the midpoint of the estimated offering price range set forth on the cover page of this prospectus, and after deducting the estimated underwriting discounts and commissions and estimated offering expenses payable by us.</w:t>
      </w:r>
    </w:p>
    <w:p>
      <w:pPr>
        <w:spacing w:after="0" w:line="93"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the financial statements and related notes included elsewhere in this prospectus.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5"/>
          </w:tcPr>
          <w:p>
            <w:pPr>
              <w:jc w:val="center"/>
              <w:ind w:right="960"/>
              <w:spacing w:after="0"/>
              <w:rPr>
                <w:sz w:val="20"/>
                <w:szCs w:val="20"/>
                <w:color w:val="auto"/>
              </w:rPr>
            </w:pPr>
            <w:r>
              <w:rPr>
                <w:rFonts w:ascii="Arial" w:cs="Arial" w:eastAsia="Arial" w:hAnsi="Arial"/>
                <w:sz w:val="16"/>
                <w:szCs w:val="16"/>
                <w:b w:val="1"/>
                <w:bCs w:val="1"/>
                <w:color w:val="auto"/>
                <w:w w:val="90"/>
              </w:rPr>
              <w:t>September 30, 2020</w:t>
            </w:r>
          </w:p>
        </w:tc>
      </w:tr>
      <w:tr>
        <w:trPr>
          <w:trHeight w:val="210"/>
        </w:trPr>
        <w:tc>
          <w:tcPr>
            <w:tcW w:w="4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left="133"/>
              <w:spacing w:after="0"/>
              <w:rPr>
                <w:sz w:val="20"/>
                <w:szCs w:val="20"/>
                <w:color w:val="auto"/>
              </w:rPr>
            </w:pPr>
            <w:r>
              <w:rPr>
                <w:rFonts w:ascii="Arial" w:cs="Arial" w:eastAsia="Arial" w:hAnsi="Arial"/>
                <w:sz w:val="16"/>
                <w:szCs w:val="16"/>
                <w:b w:val="1"/>
                <w:bCs w:val="1"/>
                <w:color w:val="auto"/>
                <w:w w:val="94"/>
              </w:rPr>
              <w:t>(unaudited)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48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r>
      <w:tr>
        <w:trPr>
          <w:trHeight w:val="182"/>
        </w:trPr>
        <w:tc>
          <w:tcPr>
            <w:tcW w:w="4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260"/>
              <w:spacing w:after="0" w:line="182" w:lineRule="exact"/>
              <w:rPr>
                <w:sz w:val="20"/>
                <w:szCs w:val="20"/>
                <w:color w:val="auto"/>
              </w:rPr>
            </w:pPr>
            <w:r>
              <w:rPr>
                <w:rFonts w:ascii="Arial" w:cs="Arial" w:eastAsia="Arial" w:hAnsi="Arial"/>
                <w:sz w:val="16"/>
                <w:szCs w:val="16"/>
                <w:b w:val="1"/>
                <w:bCs w:val="1"/>
                <w:color w:val="auto"/>
              </w:rPr>
              <w:t>Pro Forma</w:t>
            </w:r>
          </w:p>
        </w:tc>
      </w:tr>
      <w:tr>
        <w:trPr>
          <w:trHeight w:val="210"/>
        </w:trPr>
        <w:tc>
          <w:tcPr>
            <w:tcW w:w="48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Actual</w:t>
            </w:r>
          </w:p>
        </w:tc>
        <w:tc>
          <w:tcPr>
            <w:tcW w:w="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Pro Forma</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As Adjusted</w:t>
            </w:r>
          </w:p>
        </w:tc>
      </w:tr>
      <w:tr>
        <w:trPr>
          <w:trHeight w:val="47"/>
        </w:trPr>
        <w:tc>
          <w:tcPr>
            <w:tcW w:w="48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02"/>
        </w:trPr>
        <w:tc>
          <w:tcPr>
            <w:tcW w:w="4820" w:type="dxa"/>
            <w:vAlign w:val="bottom"/>
          </w:tcPr>
          <w:p>
            <w:pPr>
              <w:ind w:left="180"/>
              <w:spacing w:after="0" w:line="201" w:lineRule="exact"/>
              <w:rPr>
                <w:sz w:val="20"/>
                <w:szCs w:val="20"/>
                <w:color w:val="auto"/>
              </w:rPr>
            </w:pPr>
            <w:r>
              <w:rPr>
                <w:rFonts w:ascii="Arial" w:cs="Arial" w:eastAsia="Arial" w:hAnsi="Arial"/>
                <w:sz w:val="18"/>
                <w:szCs w:val="18"/>
                <w:color w:val="auto"/>
                <w:w w:val="92"/>
              </w:rPr>
              <w:t>Preferred stock, $.001 par value, 3,000,000 shares authorized;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100,000 shares issued and outstanding, actual;</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820" w:type="dxa"/>
            <w:vAlign w:val="bottom"/>
          </w:tcPr>
          <w:p>
            <w:pPr>
              <w:ind w:left="360"/>
              <w:spacing w:after="0"/>
              <w:rPr>
                <w:sz w:val="20"/>
                <w:szCs w:val="20"/>
                <w:color w:val="auto"/>
              </w:rPr>
            </w:pPr>
            <w:r>
              <w:rPr>
                <w:rFonts w:ascii="Arial" w:cs="Arial" w:eastAsia="Arial" w:hAnsi="Arial"/>
                <w:sz w:val="18"/>
                <w:szCs w:val="18"/>
                <w:color w:val="auto"/>
                <w:w w:val="99"/>
              </w:rPr>
              <w:t>0 shares issued and outstanding, pro forma as adjusted.</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4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4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$.001 par value, 50,000,000 shares</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authorized; 4,211,677 shares issued and outstanding, actual;</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10,059,568 shares issued and outstanding, pro forma as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1"/>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w:t>
            </w:r>
            <w:r>
              <w:rPr>
                <w:rFonts w:ascii="Arial" w:cs="Arial" w:eastAsia="Arial" w:hAnsi="Arial"/>
                <w:sz w:val="20"/>
                <w:szCs w:val="20"/>
                <w:color w:val="auto"/>
                <w:vertAlign w:val="superscript"/>
              </w:rPr>
              <w:t>(1)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17,645</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27,522</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45,167</w:t>
            </w:r>
          </w:p>
        </w:tc>
      </w:tr>
      <w:tr>
        <w:trPr>
          <w:trHeight w:val="40"/>
        </w:trPr>
        <w:tc>
          <w:tcPr>
            <w:tcW w:w="4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(13,455)</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(13,455)</w:t>
            </w:r>
          </w:p>
        </w:tc>
      </w:tr>
      <w:tr>
        <w:trPr>
          <w:trHeight w:val="257"/>
        </w:trPr>
        <w:tc>
          <w:tcPr>
            <w:tcW w:w="482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27,528</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31,722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4820" w:type="dxa"/>
            <w:vAlign w:val="bottom"/>
          </w:tcPr>
          <w:p>
            <w:pPr>
              <w:ind w:left="180"/>
              <w:spacing w:after="0"/>
              <w:rPr>
                <w:sz w:val="20"/>
                <w:szCs w:val="20"/>
                <w:color w:val="auto"/>
              </w:rPr>
            </w:pPr>
            <w:r>
              <w:rPr>
                <w:rFonts w:ascii="Arial" w:cs="Arial" w:eastAsia="Arial" w:hAnsi="Arial"/>
                <w:sz w:val="18"/>
                <w:szCs w:val="18"/>
                <w:color w:val="auto"/>
                <w:w w:val="99"/>
              </w:rPr>
              <w:t>Indebtedness, including long-term debt and notes payable</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5,356</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(4,528)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828</w:t>
            </w:r>
          </w:p>
        </w:tc>
      </w:tr>
      <w:tr>
        <w:trPr>
          <w:trHeight w:val="27"/>
        </w:trPr>
        <w:tc>
          <w:tcPr>
            <w:tcW w:w="4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9,550</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23,000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32,550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number of shares of our common stock outstanding set forth in the table above excludes:</w:t>
      </w:r>
    </w:p>
    <w:p>
      <w:pPr>
        <w:spacing w:after="0" w:line="131" w:lineRule="exact"/>
        <w:rPr>
          <w:sz w:val="20"/>
          <w:szCs w:val="20"/>
          <w:color w:val="auto"/>
        </w:rPr>
      </w:pPr>
    </w:p>
    <w:p>
      <w:pPr>
        <w:ind w:left="1320" w:right="599" w:hanging="434"/>
        <w:spacing w:after="0" w:line="277" w:lineRule="auto"/>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3,030,359 shares of common stock issuable upon the exercise of outstanding options at a weighted average exercise price of $3.51 per share;</w:t>
      </w:r>
    </w:p>
    <w:p>
      <w:pPr>
        <w:spacing w:after="0" w:line="75"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324,724 shares reserved for issuance under our equity incentive plan;</w:t>
      </w:r>
    </w:p>
    <w:p>
      <w:pPr>
        <w:spacing w:after="0" w:line="144" w:lineRule="exact"/>
        <w:rPr>
          <w:rFonts w:ascii="Arial" w:cs="Arial" w:eastAsia="Arial" w:hAnsi="Arial"/>
          <w:sz w:val="18"/>
          <w:szCs w:val="18"/>
          <w:color w:val="auto"/>
        </w:rPr>
      </w:pPr>
    </w:p>
    <w:p>
      <w:pPr>
        <w:ind w:left="1320" w:right="499" w:hanging="434"/>
        <w:spacing w:after="0" w:line="342" w:lineRule="auto"/>
        <w:tabs>
          <w:tab w:leader="none" w:pos="1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828,173 shares of common stock issuable upon the exercise of outstanding warrants associated with our 2020 convertible promissory notes at a weighted average exercise price of $0.02 per share; and</w:t>
      </w:r>
    </w:p>
    <w:p>
      <w:pPr>
        <w:spacing w:after="0" w:line="29" w:lineRule="exact"/>
        <w:rPr>
          <w:rFonts w:ascii="Arial" w:cs="Arial" w:eastAsia="Arial" w:hAnsi="Arial"/>
          <w:sz w:val="16"/>
          <w:szCs w:val="16"/>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138,889 shares reserved for issuance under the Representative’s Warrant.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1-for-1.581804 reverse stock split of our outstanding common stock implemented on January 12, 2021.</w:t>
      </w:r>
    </w:p>
    <w:p>
      <w:pPr>
        <w:spacing w:after="0" w:line="116"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“Net tangible book value” is total assets minus the sum of liabilities and intangible assets. “Net tangible book value per share” is net tangible book value divided by the total number of shares outstanding on September 30, 2020. After giving pro forma effect to the conversion of our outstanding shares of Series A Preferred Stock and outstanding convertible promissory notes into an aggregate of 3,070,113 shares of common stock immediately prior to the consummation of this offering based on a conversion price of $7.72, our pro forma net tangible book value on September 30, 2020 was approximately $8,161,000, or $1.12 per share.</w:t>
      </w:r>
    </w:p>
    <w:p>
      <w:pPr>
        <w:spacing w:after="0" w:line="97"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After giving effect to our issuance and sale of shares of common stock in this offering at an assumed initial public offering price of $9.00 per share, the mid-point of the estimated price range shown on the cover of this prospectus, after deducting the estimated underwriting discounts and offering expenses payable by us, the pro forma as adjusted net tangible book value as of September 30, 2020 would have been $29,919,304, or $2.97 per share. This represents an immediate increase in pro forma net tangible book value of $1.79 per share to our existing stockholders and an immediate dilution in pro forma net tangible book value of $5.86 per share to investors purchasing shares of common stock in this offering at the assumed public offering price.</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illustrates this dilution:</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500" w:type="dxa"/>
            <w:vAlign w:val="bottom"/>
            <w:tcBorders>
              <w:bottom w:val="single" w:sz="8" w:color="CCEEFF"/>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24"/>
                <w:szCs w:val="24"/>
                <w:color w:val="auto"/>
              </w:rPr>
            </w:pPr>
          </w:p>
        </w:tc>
      </w:tr>
      <w:tr>
        <w:trPr>
          <w:trHeight w:val="224"/>
        </w:trPr>
        <w:tc>
          <w:tcPr>
            <w:tcW w:w="6860" w:type="dxa"/>
            <w:vAlign w:val="bottom"/>
          </w:tcPr>
          <w:p>
            <w:pPr>
              <w:spacing w:after="0"/>
              <w:rPr>
                <w:sz w:val="20"/>
                <w:szCs w:val="20"/>
                <w:color w:val="auto"/>
              </w:rPr>
            </w:pPr>
            <w:r>
              <w:rPr>
                <w:rFonts w:ascii="Arial" w:cs="Arial" w:eastAsia="Arial" w:hAnsi="Arial"/>
                <w:sz w:val="18"/>
                <w:szCs w:val="18"/>
                <w:color w:val="auto"/>
              </w:rPr>
              <w:t>Pro forma net tangible book value per share as of September 30, 2020</w:t>
            </w:r>
          </w:p>
        </w:tc>
        <w:tc>
          <w:tcPr>
            <w:tcW w:w="5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gridSpan w:val="2"/>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the offering</w:t>
            </w:r>
          </w:p>
        </w:tc>
        <w:tc>
          <w:tcPr>
            <w:tcW w:w="5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4"/>
                <w:szCs w:val="24"/>
                <w:color w:val="auto"/>
              </w:rPr>
            </w:pPr>
          </w:p>
        </w:tc>
      </w:tr>
      <w:tr>
        <w:trPr>
          <w:trHeight w:val="182"/>
        </w:trPr>
        <w:tc>
          <w:tcPr>
            <w:tcW w:w="6860" w:type="dxa"/>
            <w:vAlign w:val="bottom"/>
          </w:tcPr>
          <w:p>
            <w:pPr>
              <w:spacing w:after="0" w:line="182" w:lineRule="exact"/>
              <w:rPr>
                <w:sz w:val="20"/>
                <w:szCs w:val="20"/>
                <w:color w:val="auto"/>
              </w:rPr>
            </w:pPr>
            <w:r>
              <w:rPr>
                <w:rFonts w:ascii="Arial" w:cs="Arial" w:eastAsia="Arial" w:hAnsi="Arial"/>
                <w:sz w:val="18"/>
                <w:szCs w:val="18"/>
                <w:color w:val="auto"/>
                <w:w w:val="93"/>
              </w:rPr>
              <w:t>Pro forma as adjusted net tangible book value per share as of September 30, 2020 after the</w:t>
            </w:r>
          </w:p>
        </w:tc>
        <w:tc>
          <w:tcPr>
            <w:tcW w:w="5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6860" w:type="dxa"/>
            <w:vAlign w:val="bottom"/>
          </w:tcPr>
          <w:p>
            <w:pPr>
              <w:ind w:left="180"/>
              <w:spacing w:after="0"/>
              <w:rPr>
                <w:sz w:val="20"/>
                <w:szCs w:val="20"/>
                <w:color w:val="auto"/>
              </w:rPr>
            </w:pPr>
            <w:r>
              <w:rPr>
                <w:rFonts w:ascii="Arial" w:cs="Arial" w:eastAsia="Arial" w:hAnsi="Arial"/>
                <w:sz w:val="18"/>
                <w:szCs w:val="18"/>
                <w:color w:val="auto"/>
              </w:rPr>
              <w:t>offering</w:t>
            </w:r>
          </w:p>
        </w:tc>
        <w:tc>
          <w:tcPr>
            <w:tcW w:w="5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r>
      <w:tr>
        <w:trPr>
          <w:trHeight w:val="24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new investors in the offering</w:t>
            </w:r>
          </w:p>
        </w:tc>
        <w:tc>
          <w:tcPr>
            <w:tcW w:w="50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A $1.00 increase (decrease) in the assumed initial public offering price of $9.00 per share would increase (decrease) the pro forma net tangible book value by $2,555,556, the pro forma net tangible book value per share after this offering by $0.38 per share and the dilution in pro forma net tangible book value per share to investors in this offering by $0.62 per share, assuming that the number of shares offered by us, as set forth on the cover page of this prospectus, remains the same and after deducting the estimated underwriting discount and offering expenses payable by us. If the underwriters exercise their over-allotment option in full, the pro forma as adjusted net tangible book value will increase to $3.34 per share, representing an immediate increase to existing stockholders of $0.37 per share and an immediate dilution of $5.66 per share to new investors. If any shares are issued in connection with outstanding options, you will experience further dilution.</w:t>
      </w:r>
    </w:p>
    <w:p>
      <w:pPr>
        <w:spacing w:after="0" w:line="99"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following table presents, on a pro forma basis as of September 30, 2020, the differences between the existing stockholders and the new investors purchasing our common stock in this offering with respect to the number of shares purchased from us, the total consideration paid or to be paid to us, which includes net proceeds received from the issuance of common stock, cash received from the exercise of stock options and the average price per share paid or to be paid to us at the public offering price of $9.00 per share, the midpoint of the price range set forth on the cover page of this prospectus, before deducting estimated underwriting discounts and commissions and estimated offering expenses: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1880" w:type="dxa"/>
            <w:vAlign w:val="bottom"/>
          </w:tcPr>
          <w:p>
            <w:pPr>
              <w:spacing w:after="0"/>
              <w:rPr>
                <w:sz w:val="17"/>
                <w:szCs w:val="17"/>
                <w:color w:val="auto"/>
              </w:rPr>
            </w:pPr>
          </w:p>
        </w:tc>
        <w:tc>
          <w:tcPr>
            <w:tcW w:w="2420" w:type="dxa"/>
            <w:vAlign w:val="bottom"/>
            <w:gridSpan w:val="4"/>
            <w:vMerge w:val="restart"/>
          </w:tcPr>
          <w:p>
            <w:pPr>
              <w:jc w:val="right"/>
              <w:ind w:right="620"/>
              <w:spacing w:after="0"/>
              <w:rPr>
                <w:sz w:val="20"/>
                <w:szCs w:val="20"/>
                <w:color w:val="auto"/>
              </w:rPr>
            </w:pPr>
            <w:r>
              <w:rPr>
                <w:rFonts w:ascii="Arial" w:cs="Arial" w:eastAsia="Arial" w:hAnsi="Arial"/>
                <w:sz w:val="16"/>
                <w:szCs w:val="16"/>
                <w:b w:val="1"/>
                <w:bCs w:val="1"/>
                <w:color w:val="auto"/>
              </w:rPr>
              <w:t>Shares Purchased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4"/>
            <w:vMerge w:val="restart"/>
          </w:tcPr>
          <w:p>
            <w:pPr>
              <w:jc w:val="right"/>
              <w:ind w:right="560"/>
              <w:spacing w:after="0"/>
              <w:rPr>
                <w:sz w:val="20"/>
                <w:szCs w:val="20"/>
                <w:color w:val="auto"/>
              </w:rPr>
            </w:pPr>
            <w:r>
              <w:rPr>
                <w:rFonts w:ascii="Arial" w:cs="Arial" w:eastAsia="Arial" w:hAnsi="Arial"/>
                <w:sz w:val="16"/>
                <w:szCs w:val="16"/>
                <w:b w:val="1"/>
                <w:bCs w:val="1"/>
                <w:color w:val="auto"/>
              </w:rPr>
              <w:t>Total Consideration</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24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center"/>
              <w:ind w:right="155"/>
              <w:spacing w:after="0" w:line="142" w:lineRule="exact"/>
              <w:rPr>
                <w:sz w:val="20"/>
                <w:szCs w:val="20"/>
                <w:color w:val="auto"/>
              </w:rPr>
            </w:pPr>
            <w:r>
              <w:rPr>
                <w:rFonts w:ascii="Arial" w:cs="Arial" w:eastAsia="Arial" w:hAnsi="Arial"/>
                <w:sz w:val="16"/>
                <w:szCs w:val="16"/>
                <w:b w:val="1"/>
                <w:bCs w:val="1"/>
                <w:color w:val="auto"/>
                <w:w w:val="92"/>
              </w:rPr>
              <w:t>Price Per</w:t>
            </w:r>
          </w:p>
        </w:tc>
        <w:tc>
          <w:tcPr>
            <w:tcW w:w="0" w:type="dxa"/>
            <w:vAlign w:val="bottom"/>
          </w:tcPr>
          <w:p>
            <w:pPr>
              <w:spacing w:after="0"/>
              <w:rPr>
                <w:sz w:val="1"/>
                <w:szCs w:val="1"/>
                <w:color w:val="auto"/>
              </w:rPr>
            </w:pPr>
          </w:p>
        </w:tc>
      </w:tr>
      <w:tr>
        <w:trPr>
          <w:trHeight w:val="46"/>
        </w:trPr>
        <w:tc>
          <w:tcPr>
            <w:tcW w:w="18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11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Percent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12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Percent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115"/>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7,281,790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30,327,738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rPr>
              <w:t>New investors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2,777,778</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25,000,000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c>
          <w:tcPr>
            <w:tcW w:w="2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41"/>
        </w:trPr>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10,059,568</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55,327,738</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1"/>
        </w:trPr>
        <w:tc>
          <w:tcPr>
            <w:tcW w:w="1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Assuming the underwriters’ option to purchase additional shares is exercised in full, sales in this offering will reduce the percentage of shares held by existing stockholders to 69.5% and will increase the number of shares held by our new investors to 3,194,445 shares, or 30.5%, assuming no purchases of our common stock by existing stockholders in this offering.</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number of shares of our common stock outstanding set forth in the table above excludes:</w:t>
      </w:r>
    </w:p>
    <w:p>
      <w:pPr>
        <w:spacing w:after="0" w:line="144" w:lineRule="exact"/>
        <w:rPr>
          <w:sz w:val="20"/>
          <w:szCs w:val="20"/>
          <w:color w:val="auto"/>
        </w:rPr>
      </w:pPr>
    </w:p>
    <w:p>
      <w:pPr>
        <w:ind w:left="1320" w:right="599" w:hanging="434"/>
        <w:spacing w:after="0" w:line="277" w:lineRule="auto"/>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3,030,359 shares of common stock issuable upon the exercise of outstanding options at a weighted average exercise price of $3.51 per share;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324,724 shares reserved for issuance under our equity incentive plan;</w:t>
      </w:r>
    </w:p>
    <w:p>
      <w:pPr>
        <w:spacing w:after="0" w:line="157" w:lineRule="exact"/>
        <w:rPr>
          <w:rFonts w:ascii="Arial" w:cs="Arial" w:eastAsia="Arial" w:hAnsi="Arial"/>
          <w:sz w:val="18"/>
          <w:szCs w:val="18"/>
          <w:color w:val="auto"/>
        </w:rPr>
      </w:pPr>
    </w:p>
    <w:p>
      <w:pPr>
        <w:ind w:left="1320" w:right="499" w:hanging="434"/>
        <w:spacing w:after="0" w:line="342" w:lineRule="auto"/>
        <w:tabs>
          <w:tab w:leader="none" w:pos="1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828,173 shares of common stock issuable upon the exercise of outstanding warrants associated with our 2020 convertible promissory notes at a weighted average exercise price of $0.02 per share; and</w:t>
      </w:r>
    </w:p>
    <w:p>
      <w:pPr>
        <w:spacing w:after="0" w:line="42" w:lineRule="exact"/>
        <w:rPr>
          <w:rFonts w:ascii="Arial" w:cs="Arial" w:eastAsia="Arial" w:hAnsi="Arial"/>
          <w:sz w:val="16"/>
          <w:szCs w:val="16"/>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138,889 shares reserved for issuance under the Representative’s Warrant.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4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3"/>
              </w:rPr>
              <w:t>Year Ended</w:t>
            </w:r>
          </w:p>
        </w:tc>
        <w:tc>
          <w:tcPr>
            <w:tcW w:w="140" w:type="dxa"/>
            <w:vAlign w:val="bottom"/>
          </w:tcPr>
          <w:p>
            <w:pPr>
              <w:spacing w:after="0"/>
              <w:rPr>
                <w:sz w:val="17"/>
                <w:szCs w:val="17"/>
                <w:color w:val="auto"/>
              </w:rPr>
            </w:pPr>
          </w:p>
        </w:tc>
        <w:tc>
          <w:tcPr>
            <w:tcW w:w="2380" w:type="dxa"/>
            <w:vAlign w:val="bottom"/>
            <w:gridSpan w:val="6"/>
          </w:tcPr>
          <w:p>
            <w:pPr>
              <w:jc w:val="right"/>
              <w:ind w:right="6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18"/>
                <w:szCs w:val="18"/>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left w:val="single" w:sz="8" w:color="CCEEFF"/>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Revenue,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4,088,000</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1,769,000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7,734,000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2,425,000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4,333,000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1,547,000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left w:val="single" w:sz="8" w:color="CCEEFF"/>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6,874,000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2,716,000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2,846,000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1,238,000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9,332,000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907,000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(3,091,000)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(1,016,000)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left w:val="single" w:sz="8" w:color="CCEEFF"/>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(8,472,000)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Arial" w:cs="Arial" w:eastAsia="Arial" w:hAnsi="Arial"/>
                <w:sz w:val="18"/>
                <w:szCs w:val="18"/>
                <w:color w:val="auto"/>
              </w:rPr>
              <w:t>Miscellaneous income (expense), net</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49,000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(139,000)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(3,042,000)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(1,014,000)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left w:val="single" w:sz="8" w:color="CCEEFF"/>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(8,611,000)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Loss attributable to non-controlling</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49,000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(3,042,000)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(1,014,000)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left w:val="single" w:sz="8" w:color="CCEEFF"/>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(8,562,000)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(1,201,000)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(0.99)</w:t>
            </w:r>
          </w:p>
        </w:tc>
        <w:tc>
          <w:tcPr>
            <w:tcW w:w="10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(0.42)</w:t>
            </w: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5"/>
          </w:tcPr>
          <w:p>
            <w:pPr>
              <w:jc w:val="center"/>
              <w:ind w:left="732"/>
              <w:spacing w:after="0"/>
              <w:rPr>
                <w:sz w:val="20"/>
                <w:szCs w:val="20"/>
                <w:color w:val="auto"/>
              </w:rPr>
            </w:pPr>
            <w:r>
              <w:rPr>
                <w:rFonts w:ascii="Arial" w:cs="Arial" w:eastAsia="Arial" w:hAnsi="Arial"/>
                <w:sz w:val="16"/>
                <w:szCs w:val="16"/>
                <w:b w:val="1"/>
                <w:bCs w:val="1"/>
                <w:color w:val="auto"/>
                <w:w w:val="84"/>
              </w:rPr>
              <w:t>As of</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95"/>
        </w:trPr>
        <w:tc>
          <w:tcPr>
            <w:tcW w:w="3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00" w:type="dxa"/>
            <w:vAlign w:val="bottom"/>
            <w:gridSpan w:val="8"/>
            <w:vMerge w:val="restart"/>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00" w:type="dxa"/>
            <w:vAlign w:val="bottom"/>
            <w:gridSpan w:val="8"/>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left w:val="single" w:sz="8" w:color="CCEEFF"/>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206,000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4,958,000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3,227,000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left w:val="single" w:sz="8" w:color="CCEEFF"/>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2,196,000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13,490,000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4,032,000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3,821,000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8,206,000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4,032,000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left w:val="single" w:sz="8" w:color="CCEEFF"/>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3,954,000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9,098,000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(805,000)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(1,758,000)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4,194,000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0"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our operations together with its consolidated financial statements and the notes thereto appearing elsewhere in this prospectus.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prospectus.</w:t>
      </w:r>
    </w:p>
    <w:p>
      <w:pPr>
        <w:spacing w:after="0" w:line="110"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1-for-1.580814 reverse stock split of our outstanding common stock implemented on January 12, 2021.</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 xml:space="preserve">We are a developer of highly advanced and proprietary precision hardware and software grow solutions for the indoor agriculture marketplace. We believe we are the only company with an automated and fully integrated grow solution in the industry. We believe our </w:t>
      </w:r>
      <w:r>
        <w:rPr>
          <w:rFonts w:ascii="Arial" w:cs="Arial" w:eastAsia="Arial" w:hAnsi="Arial"/>
          <w:sz w:val="17"/>
          <w:szCs w:val="17"/>
          <w:i w:val="1"/>
          <w:iCs w:val="1"/>
          <w:color w:val="auto"/>
        </w:rPr>
        <w:t>Agrify</w:t>
      </w:r>
      <w:r>
        <w:rPr>
          <w:rFonts w:ascii="Arial" w:cs="Arial" w:eastAsia="Arial" w:hAnsi="Arial"/>
          <w:sz w:val="17"/>
          <w:szCs w:val="17"/>
          <w:color w:val="auto"/>
        </w:rPr>
        <w:t xml:space="preserve"> “</w:t>
      </w:r>
      <w:r>
        <w:rPr>
          <w:rFonts w:ascii="Arial" w:cs="Arial" w:eastAsia="Arial" w:hAnsi="Arial"/>
          <w:sz w:val="17"/>
          <w:szCs w:val="17"/>
          <w:i w:val="1"/>
          <w:iCs w:val="1"/>
          <w:color w:val="auto"/>
        </w:rPr>
        <w:t>Precision Elevated</w:t>
      </w:r>
      <w:r>
        <w:rPr>
          <w:rFonts w:ascii="Arial" w:cs="Arial" w:eastAsia="Arial" w:hAnsi="Arial"/>
          <w:sz w:val="17"/>
          <w:szCs w:val="17"/>
          <w:color w:val="auto"/>
        </w:rPr>
        <w:t>™”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sector.</w:t>
      </w:r>
    </w:p>
    <w:p>
      <w:pPr>
        <w:spacing w:after="0" w:line="100"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had limited revenues from operations in each of the last two fiscal years, and in the current fiscal year. Through 2018 and 2019, we concentrated our business with TriGrow Systems, Inc., acting as our exclusive distributor. During January 2020, we acquired TriGrow Systems, Inc. and began selling our products directly to end customers. In July 2020, we acquired HMH, a company that has been producing and assembling many of our products.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58"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Beginning in the first quarter of 2020, we issued an aggregate of 60,000 shares of our Series A Convertible Preferred Stock, or Series A Preferred Stock, for an aggregate purchase price of $6,000,000. In May 2020, we completed our offering of Series A Preferred with the issuance of an additional 40,000 shares of Series A Preferred for an aggregate purchase price of $4,000,000.</w:t>
      </w:r>
    </w:p>
    <w:p>
      <w:pPr>
        <w:spacing w:after="0" w:line="119"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The Series A Preferred Stock is senior to our shares of common stock, par value $0.001 per share, and each other class or series of our capital stock hereafter created (which we refer to collectively with the common stock as junior stock). Holders of Series A Preferred Stock are entitled to receive, in preference to any dividend paid or declared and set aside for any junior stock, dividends at a per share price equal to the Series A Preferred Stock original issue price at an annual rate equal to 7% compounded annually. Holders of Series A Preferred Stock are entitled to cast the number of votes, rounded down to the nearest whole number, equal to the number of votes that would be attributable to the shares of common stock issuable upon conversion of such shares of Series A Preferred Stock, assuming conversion on the date applicable to the vote. In the event of a liquidation, dissolution or winding up of our company, each share of Series A Preferred Stock will be entitled to a payment as set forth in the Certificate of Designation of the Series A Preferred Stock. The Series A Preferred Stock is convertible, at any time after issuance, into common stock at the election of the holder into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subject to adjustment.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In addition, pursuant to its terms, all outstanding shares of Series A Preferred Stock will automatically convert immediately prior to the closing of this offering into 1,373,038 shares of common stock based on a conversion price of $7.72. Accordingly, such shares of Series A Preferred Stock will no longer be outstanding following this offering.</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TriGrow</w:t>
      </w:r>
    </w:p>
    <w:p>
      <w:pPr>
        <w:spacing w:after="0" w:line="131"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On January 22, 2020 we completed the acquisition of all outstanding shares of TriGrow. TriGrow is an integrator and exclusive distributor of our premium indoor grow solutions for the indoor controlled agriculture marketplace. As part of the acquisition,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 In consideration of TriGrow’s shares, we issued to TriGrow’s shareholders 595,552 shares of common stock. In addition, the closing conditions included the assumption of TriGrow’s outstanding obligation to invest $1,140,000 (the “Funding Amount”) in a form of a so called “Profit Interest” investment in CCI Finance, LLC (“CCI”). We included this investment as part of the consideration for the acquisition. We satisfied this obligation and made payment of the Funding Amount on January 24, 2020 pursuant to a Profits Interest Agreement with CCI. Under the Profits Interest Agreement, in return for our investment of the Funding Amount, CCI is obligated to share with us 28.5% of the net revenue generated from its equipment lease agreement with its customer, payable at least annually by CCI to us. The revenue sharing percentage is reduced from 28.5% to 20% once we have received payments equalling an 18% Internal Rate of Return on the Funding Amount (the “Preferred Return”) prior to the fifth anniversary of the agreement. The revenue sharing terminates upon the later of five years, or our attainment of the Preferred Return. To date, no revenue has been generated and shared with us under this agreement. Assuming a five-year payback, the annual payments required to reach the Preferred Return would be $364,500. Assuming a seven-year payback, the annual payments required to reach the Preferred Return would be $299,000.</w:t>
      </w:r>
    </w:p>
    <w:p>
      <w:pPr>
        <w:spacing w:after="0" w:line="89" w:lineRule="exact"/>
        <w:rPr>
          <w:sz w:val="20"/>
          <w:szCs w:val="20"/>
          <w:color w:val="auto"/>
        </w:rPr>
      </w:pPr>
    </w:p>
    <w:p>
      <w:pPr>
        <w:ind w:left="460" w:right="639" w:firstLine="432"/>
        <w:spacing w:after="0" w:line="271" w:lineRule="auto"/>
        <w:rPr>
          <w:sz w:val="20"/>
          <w:szCs w:val="20"/>
          <w:color w:val="auto"/>
        </w:rPr>
      </w:pPr>
      <w:r>
        <w:rPr>
          <w:rFonts w:ascii="Arial" w:cs="Arial" w:eastAsia="Arial" w:hAnsi="Arial"/>
          <w:sz w:val="17"/>
          <w:szCs w:val="17"/>
          <w:color w:val="auto"/>
        </w:rPr>
        <w:t>As part of the acquisition of TriGrow, we made available 121,539 shares of our common stock for issuance to certain executives of TriGrow upon TriGrow’s and/or our receipt of $10,000,000 of accumulative purchase orders for TriGrow and/or our equipment, products, and services, for the period from November 21, 2019 through June 30, 2020 as a result of the efforts of the TriGrow executives. Such shares of common stock are to be distributed by us in our sole discretion to certain executives responsible for achievement of such milestone. We concluded that the earn-out, if materialized, will be considered as post combination services. Additionally, we concluded that the value associated with the earn-out to be de minimis. No earn-out was earned through June 30, 2020.</w:t>
      </w:r>
    </w:p>
    <w:p>
      <w:pPr>
        <w:spacing w:after="0" w:line="97"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The purchase price for TriGrow was allocated to the tangible and intangible assets acquired and liabilities assumed based on their estimated fair values on the acquisition dates, with the remaining unallocated purchase prices recorded as goodwill. The fair value assigned to identifiable intangible assets acquired was determined primarily by using the income approach, which discounts expected future cash flows to present value using estimates and assumptions determined by our management.</w:t>
      </w:r>
    </w:p>
    <w:p>
      <w:pPr>
        <w:spacing w:after="0" w:line="82"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Transaction and related costs, consisting primarily of professional fees, directly related to the acquisition, totalled $45,000 for the nine months ended September 30, 2020. All transaction and related costs were expensed as incurred and are included in selling, general and administrative expenses.</w:t>
      </w:r>
    </w:p>
    <w:p>
      <w:pPr>
        <w:spacing w:after="0" w:line="71"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Fair value still under review include values assigned to identifiable intangible assets and goodwill.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Purchase Prices: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Obligation to invest cash in profit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55245</wp:posOffset>
            </wp:positionV>
            <wp:extent cx="514350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stock consideration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231775</wp:posOffset>
            </wp:positionV>
            <wp:extent cx="514350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Allocation of Purchase Price: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Identifiable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528" w:hanging="528"/>
        <w:spacing w:after="0"/>
        <w:tabs>
          <w:tab w:leader="none" w:pos="5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1,140,000</w:t>
      </w:r>
    </w:p>
    <w:p>
      <w:pPr>
        <w:spacing w:after="0" w:line="99" w:lineRule="exact"/>
        <w:rPr>
          <w:rFonts w:ascii="Arial" w:cs="Arial" w:eastAsia="Arial" w:hAnsi="Arial"/>
          <w:sz w:val="16"/>
          <w:szCs w:val="16"/>
          <w:color w:val="auto"/>
        </w:rPr>
      </w:pPr>
    </w:p>
    <w:p>
      <w:pPr>
        <w:ind w:left="528"/>
        <w:spacing w:after="0"/>
        <w:rPr>
          <w:rFonts w:ascii="Arial" w:cs="Arial" w:eastAsia="Arial" w:hAnsi="Arial"/>
          <w:sz w:val="16"/>
          <w:szCs w:val="16"/>
          <w:color w:val="auto"/>
        </w:rPr>
      </w:pPr>
      <w:r>
        <w:rPr>
          <w:rFonts w:ascii="Arial" w:cs="Arial" w:eastAsia="Arial" w:hAnsi="Arial"/>
          <w:sz w:val="16"/>
          <w:szCs w:val="16"/>
          <w:color w:val="auto"/>
        </w:rPr>
        <w:t>1,356,000</w:t>
      </w:r>
    </w:p>
    <w:p>
      <w:pPr>
        <w:spacing w:after="0" w:line="113"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207,000</w:t>
      </w:r>
    </w:p>
    <w:p>
      <w:pPr>
        <w:spacing w:after="0" w:line="73" w:lineRule="exact"/>
        <w:rPr>
          <w:sz w:val="20"/>
          <w:szCs w:val="20"/>
          <w:color w:val="auto"/>
        </w:rPr>
      </w:pPr>
    </w:p>
    <w:p>
      <w:pPr>
        <w:ind w:left="528" w:hanging="528"/>
        <w:spacing w:after="0"/>
        <w:tabs>
          <w:tab w:leader="none" w:pos="528"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2,703,000</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84" w:lineRule="exact"/>
        <w:rPr>
          <w:rFonts w:ascii="Arial" w:cs="Arial" w:eastAsia="Arial" w:hAnsi="Arial"/>
          <w:sz w:val="16"/>
          <w:szCs w:val="16"/>
          <w:b w:val="1"/>
          <w:bCs w:val="1"/>
          <w:color w:val="auto"/>
        </w:rPr>
      </w:pPr>
    </w:p>
    <w:p>
      <w:pPr>
        <w:ind w:left="648"/>
        <w:spacing w:after="0"/>
        <w:rPr>
          <w:rFonts w:ascii="Arial" w:cs="Arial" w:eastAsia="Arial" w:hAnsi="Arial"/>
          <w:sz w:val="16"/>
          <w:szCs w:val="16"/>
          <w:b w:val="1"/>
          <w:bCs w:val="1"/>
          <w:color w:val="auto"/>
        </w:rPr>
      </w:pPr>
      <w:r>
        <w:rPr>
          <w:rFonts w:ascii="Arial" w:cs="Arial" w:eastAsia="Arial" w:hAnsi="Arial"/>
          <w:sz w:val="16"/>
          <w:szCs w:val="16"/>
          <w:color w:val="auto"/>
        </w:rPr>
        <w:t>568,000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-501650</wp:posOffset>
            </wp:positionV>
            <wp:extent cx="7886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83" w:lineRule="exact"/>
        <w:rPr>
          <w:sz w:val="20"/>
          <w:szCs w:val="20"/>
          <w:color w:val="auto"/>
        </w:rPr>
      </w:pPr>
    </w:p>
    <w:p>
      <w:pPr>
        <w:sectPr>
          <w:pgSz w:w="11900" w:h="16838" w:orient="portrait"/>
          <w:cols w:equalWidth="0" w:num="2">
            <w:col w:w="6592" w:space="720"/>
            <w:col w:w="1707"/>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Brand rights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930,000</w:t>
            </w:r>
          </w:p>
        </w:tc>
      </w:tr>
      <w:tr>
        <w:trPr>
          <w:trHeight w:val="41"/>
        </w:trPr>
        <w:tc>
          <w:tcPr>
            <w:tcW w:w="6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Total identifiable intangible assets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1,780,000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355,000</w:t>
            </w:r>
          </w:p>
        </w:tc>
      </w:tr>
      <w:tr>
        <w:trPr>
          <w:trHeight w:val="24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purchase price allocation</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2,703,000</w:t>
            </w: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Brand rights and Customer relationships were assigned estimated useful lives of ten years and nine years, respectively, the weighted average of which is approximately 9.5 years.</w:t>
      </w:r>
    </w:p>
    <w:p>
      <w:pPr>
        <w:spacing w:after="0" w:line="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amount of revenue of TriGrow included in our condensed consolidated statement of operations from the acquisition date of January 22, 2020 to September 30, 2020 was $4,000,000.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Harbor Mountain Holdings, LLC</w:t>
      </w:r>
    </w:p>
    <w:p>
      <w:pPr>
        <w:spacing w:after="0" w:line="158" w:lineRule="exact"/>
        <w:rPr>
          <w:sz w:val="20"/>
          <w:szCs w:val="20"/>
          <w:color w:val="auto"/>
        </w:rPr>
      </w:pPr>
    </w:p>
    <w:p>
      <w:pPr>
        <w:ind w:left="460" w:right="639" w:firstLine="432"/>
        <w:spacing w:after="0" w:line="270" w:lineRule="auto"/>
        <w:rPr>
          <w:sz w:val="20"/>
          <w:szCs w:val="20"/>
          <w:color w:val="auto"/>
        </w:rPr>
      </w:pPr>
      <w:r>
        <w:rPr>
          <w:rFonts w:ascii="Arial" w:cs="Arial" w:eastAsia="Arial" w:hAnsi="Arial"/>
          <w:sz w:val="17"/>
          <w:szCs w:val="17"/>
          <w:color w:val="auto"/>
        </w:rPr>
        <w:t>In July 2020, we acquired all the outstanding shares of Harbor Mountain Holdings, LLC (“HMH”), located in the Atlanta, GA area, that has been producing and assembling many of our products. As part of the acquisition we waived net receivable owed amounting to $214,000 and assumed lease liabilities for existing equipment and premises. As part of the acquisition of HMH, we may issue stock options or shares of common stock (at our discretion), at a value of up to $100,000, to an executive of HMH upon achievement of certain milestones from the acquisition date through March 31, 2021, as a result of the efforts of the HMH executive. We concluded the earn-out, if materialized, will be considered as post business combination services. Additionally, we concluded that the value associated with the earn-out to be de minimis. No earn-out was earned through September 30, 2020.</w:t>
      </w:r>
    </w:p>
    <w:p>
      <w:pPr>
        <w:spacing w:after="0" w:line="113"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The purchase price for this business combination was allocated by us to the tangible and intangible assets acquired and liabilities assumed based on its book value which estimated the fair values on the acquisition date, with the remaining unallocated purchase price recorded as goodwill.</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Transaction and related costs, consisting primarily of professional fees, directly related to the acquisition, totalled $35,000 for the nine months ended September 30, 2020. All transaction and related costs were expensed as incurred and are included in selling, general and administrative expenses.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8" w:name="page49"/>
    <w:bookmarkEnd w:id="4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Components of Purchase Price:</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Waiver of net receivable owed to Agrify</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214,000</w:t>
            </w:r>
          </w:p>
        </w:tc>
        <w:tc>
          <w:tcPr>
            <w:tcW w:w="14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214,000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assets (liabilities):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831,000</w:t>
            </w: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(23,000)</w:t>
            </w: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(649,000)</w:t>
            </w:r>
          </w:p>
        </w:tc>
      </w:tr>
      <w:tr>
        <w:trPr>
          <w:trHeight w:val="257"/>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(liabilities):</w:t>
            </w:r>
          </w:p>
        </w:tc>
        <w:tc>
          <w:tcPr>
            <w:tcW w:w="2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(24,000)</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purchase price allocation</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214,000</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519" w:firstLine="432"/>
        <w:spacing w:after="0" w:line="277" w:lineRule="auto"/>
        <w:rPr>
          <w:sz w:val="20"/>
          <w:szCs w:val="20"/>
          <w:color w:val="auto"/>
        </w:rPr>
      </w:pPr>
      <w:r>
        <w:rPr>
          <w:rFonts w:ascii="Arial" w:cs="Arial" w:eastAsia="Arial" w:hAnsi="Arial"/>
          <w:sz w:val="18"/>
          <w:szCs w:val="18"/>
          <w:color w:val="auto"/>
        </w:rPr>
        <w:t>The amount of revenue of HMH included in our condensed consolidated statement of operations from the acquisition date of July 22, 2020 to September 30, 2020 was $0.</w:t>
      </w:r>
    </w:p>
    <w:p>
      <w:pPr>
        <w:spacing w:after="0" w:line="103" w:lineRule="exact"/>
        <w:rPr>
          <w:sz w:val="20"/>
          <w:szCs w:val="20"/>
          <w:color w:val="auto"/>
        </w:rPr>
      </w:pPr>
    </w:p>
    <w:p>
      <w:pPr>
        <w:ind w:left="460" w:right="839" w:firstLine="432"/>
        <w:spacing w:after="0" w:line="308" w:lineRule="auto"/>
        <w:rPr>
          <w:sz w:val="20"/>
          <w:szCs w:val="20"/>
          <w:color w:val="auto"/>
        </w:rPr>
      </w:pPr>
      <w:r>
        <w:rPr>
          <w:rFonts w:ascii="Arial" w:cs="Arial" w:eastAsia="Arial" w:hAnsi="Arial"/>
          <w:sz w:val="17"/>
          <w:szCs w:val="17"/>
          <w:color w:val="auto"/>
        </w:rPr>
        <w:t>The following pro forma financial information summarizes the combined results of operations for us, TriGrow and HMH, as though the acquisition of TriGrow and HMH occurred on January 1, 2019.</w:t>
      </w:r>
    </w:p>
    <w:p>
      <w:pPr>
        <w:spacing w:after="0" w:line="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unaudited pro forma financial information was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51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7,766,000</w:t>
            </w:r>
          </w:p>
        </w:tc>
        <w:tc>
          <w:tcPr>
            <w:tcW w:w="28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2,266,000</w:t>
            </w:r>
          </w:p>
        </w:tc>
        <w:tc>
          <w:tcPr>
            <w:tcW w:w="0" w:type="dxa"/>
            <w:vAlign w:val="bottom"/>
          </w:tcPr>
          <w:p>
            <w:pPr>
              <w:spacing w:after="0"/>
              <w:rPr>
                <w:sz w:val="1"/>
                <w:szCs w:val="1"/>
                <w:color w:val="auto"/>
              </w:rPr>
            </w:pPr>
          </w:p>
        </w:tc>
      </w:tr>
      <w:tr>
        <w:trPr>
          <w:trHeight w:val="224"/>
        </w:trPr>
        <w:tc>
          <w:tcPr>
            <w:tcW w:w="5600" w:type="dxa"/>
            <w:vAlign w:val="bottom"/>
            <w:gridSpan w:val="2"/>
          </w:tcPr>
          <w:p>
            <w:pPr>
              <w:spacing w:after="0"/>
              <w:rPr>
                <w:sz w:val="20"/>
                <w:szCs w:val="20"/>
                <w:color w:val="auto"/>
              </w:rPr>
            </w:pPr>
            <w:r>
              <w:rPr>
                <w:rFonts w:ascii="Arial" w:cs="Arial" w:eastAsia="Arial" w:hAnsi="Arial"/>
                <w:sz w:val="18"/>
                <w:szCs w:val="18"/>
                <w:color w:val="auto"/>
              </w:rPr>
              <w:t>Net loss before non-controlling interest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5,425,000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9,720,000</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5,362,000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25"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The pro forma financial information is for informational purposes only and is not indicative of the results of operations that would have been achieved if the acquisition had taken place on January 1, 2019.</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Impact of coronavirus pandemic (“COVID-19”)</w:t>
      </w:r>
    </w:p>
    <w:p>
      <w:pPr>
        <w:spacing w:after="0" w:line="14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20"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To date, although all of our operations are operating, COVID-19 has caused some disruptions to our business, such as some temporary delays in the delivery of our inventory, although recently we are no longer experiencing such delays. Although the ability of our suppliers to timely ship their goods has affected some of our deliveries, currently the difficulties experienced by our suppliers have not yet materially impacted our ability to deliver</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9" w:name="page50"/>
    <w:bookmarkEnd w:id="4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86" w:lineRule="auto"/>
        <w:rPr>
          <w:sz w:val="20"/>
          <w:szCs w:val="20"/>
          <w:color w:val="auto"/>
        </w:rPr>
      </w:pPr>
      <w:r>
        <w:rPr>
          <w:rFonts w:ascii="Arial" w:cs="Arial" w:eastAsia="Arial" w:hAnsi="Arial"/>
          <w:sz w:val="17"/>
          <w:szCs w:val="17"/>
          <w:color w:val="auto"/>
        </w:rPr>
        <w:t>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w:t>
      </w:r>
    </w:p>
    <w:p>
      <w:pPr>
        <w:spacing w:after="0" w:line="9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Paycheck Protection Program Loan under the Coronavirus Aid, Relief, and Economic Security Act</w:t>
      </w:r>
    </w:p>
    <w:p>
      <w:pPr>
        <w:spacing w:after="0" w:line="169"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On May 7, 2020, we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“SBA”). We received total proceeds of $779,000 from the unsecured PPP Loan. The PPP Loan is scheduled to mature on May 7, 2022 and has an interest rate of 1.00% per annum and is subject to the terms and conditions applicable to loans administered by the SBA under the CARES Act. The PPP Loan may be prepaid at any time prior to its maturity with no prepayment penalties.</w:t>
      </w:r>
    </w:p>
    <w:p>
      <w:pPr>
        <w:spacing w:after="0" w:line="96"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certain level. 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by May 7, 2022 to repay any principal amount not forgiven and interest accrued from May 7, 2020.</w:t>
      </w:r>
    </w:p>
    <w:p>
      <w:pPr>
        <w:spacing w:after="0" w:line="119"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On July 27, 2020, Agrify Brands, LLC received a PPP Loan from Bank of America for total proceeds of $44,410. The PPP Loan is scheduled to mature on July 27, 2022, has an interest rate of 1.00% per annum and is subject to the terms and conditions mentioned above.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Promissory Notes and Warrants</w:t>
      </w:r>
    </w:p>
    <w:p>
      <w:pPr>
        <w:spacing w:after="0" w:line="15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On August 14, 2020, our board of directors approved the issuance of (i) convertible promissory notes (the “Notes”) in the aggregate principal amount of $5,000,000 with an initial maturity date of one year following issuance (which may be extended by us in our sole discretion for an additional one year, referred to as the “Maturity Date Extension”), convertible at our option or the holder of the Notes upon an initial public offering or public listing into shares of common stock and (ii) five year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us).</w:t>
      </w:r>
    </w:p>
    <w:p>
      <w:pPr>
        <w:spacing w:after="0" w:line="100"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Solely in the event we determine to effectuate the Maturity Date Extension, the outstanding principal balance of the Notes shall bear interest, in arrears accruing as of the issuance date of the Notes, at a rate per annum equal to eight percent (8%). Interest shall be computed on the basis of a 360-day year of twelve 30-day months and shall be payable on the maturity date, as extended.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Immediately prior to the consummation of a public transaction, in which are becoming a reporting issuer in the United States (the “Public Transaction”), the outstanding principal amount of the Notes together with all accrued and unpaid interest shall convert, at our option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w:t>
      </w:r>
    </w:p>
    <w:p>
      <w:pPr>
        <w:spacing w:after="0" w:line="110" w:lineRule="exact"/>
        <w:rPr>
          <w:sz w:val="20"/>
          <w:szCs w:val="20"/>
          <w:color w:val="auto"/>
        </w:rPr>
      </w:pPr>
    </w:p>
    <w:p>
      <w:pPr>
        <w:jc w:val="both"/>
        <w:ind w:left="460" w:right="519" w:firstLine="432"/>
        <w:spacing w:after="0" w:line="286" w:lineRule="auto"/>
        <w:rPr>
          <w:sz w:val="20"/>
          <w:szCs w:val="20"/>
          <w:color w:val="auto"/>
        </w:rPr>
      </w:pPr>
      <w:r>
        <w:rPr>
          <w:rFonts w:ascii="Arial" w:cs="Arial" w:eastAsia="Arial" w:hAnsi="Arial"/>
          <w:sz w:val="17"/>
          <w:szCs w:val="17"/>
          <w:color w:val="auto"/>
        </w:rPr>
        <w:t>On September 30, 2020, our board of directors approved an increase to the maximum aggregate offering amount of the Notes to $10,000,000. On November 23, 2020, our board of directors approved a further increase to the maximum aggregate offering amount of the Notes to $13,500,000.</w:t>
      </w:r>
    </w:p>
    <w:p>
      <w:pPr>
        <w:spacing w:after="0" w:line="9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As of September 30, 2020, a total of $5,800,000 of Notes and warrants to purchase 580,000 shares of common stock were subscribed. Through September 30, 2020, the aggregate relative fair value of the warrants of $1,362,000 was recorded as debt discount at issuance and is being amortized over the term of the respective Notes.</w:t>
      </w:r>
    </w:p>
    <w:p>
      <w:pPr>
        <w:spacing w:after="0" w:line="106" w:lineRule="exact"/>
        <w:rPr>
          <w:sz w:val="20"/>
          <w:szCs w:val="20"/>
          <w:color w:val="auto"/>
        </w:rPr>
      </w:pPr>
    </w:p>
    <w:p>
      <w:pPr>
        <w:ind w:left="460" w:right="679" w:firstLine="432"/>
        <w:spacing w:after="0" w:line="289" w:lineRule="auto"/>
        <w:rPr>
          <w:sz w:val="20"/>
          <w:szCs w:val="20"/>
          <w:color w:val="auto"/>
        </w:rPr>
      </w:pPr>
      <w:r>
        <w:rPr>
          <w:rFonts w:ascii="Arial" w:cs="Arial" w:eastAsia="Arial" w:hAnsi="Arial"/>
          <w:sz w:val="16"/>
          <w:szCs w:val="16"/>
          <w:color w:val="auto"/>
        </w:rPr>
        <w:t>During the nine months ended September 30, 2020, we determined that the Notes contained variable-share settlement features that represented derivative liabilities and contingent BCFs. The aggregate issuance date fair value of the variable-share settlement features was $1,160,000, which was recorded at issuance as a debt discount and is being amortized over the terms of the respective Notes. See the paragraph below — Derivative Liabilities — for additional details. During the nine months ended September 30, 2020, the contingently adjustable non-bifurcated, beneficial conversion features associated with the Notes were not resolved. Upon resolving such contingency we will estimate the intrinsic value of the beneficial conversion features based upon the difference between the fair value of the underlying common stock at the commitment date of the Note transaction and the adjusted conversion price embedded in the Notes.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5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During the nine months ended September 30, 2020, we recorded Level 3 derivative liabilities that were measured at fair value at issuance in the aggregate amount of $1,160,000 related to the variable-share settlement features of certain convertible notes payable. See previous paragraph– Convertible Promissory Notes for additional details. On September 30, 2020, we recomputed the fair value of the variable-share settlement features recorded as derivative liabilities to be $1,163,000. The loss on the change in fair value between the issuance date and September 30, 2020 was recorded to interest expense for the nine months ended September 30, 2020.</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 based compensation expense, valuation allowance for deferred tax assets and useful life of fixed assets and intangible assets.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Overview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color w:val="auto"/>
        </w:rPr>
        <w:t>believe to be reasonable under the circumstances. Actual results may differ materially from those estimates or assumptions.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67"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52"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us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00"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67"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92"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We typically satisfy our performance obligations for equipment sales when equipment is made available for shipment to the customer. We typically satisfy our performance obligations for services sales as services are rendered to the customer.</w:t>
      </w:r>
    </w:p>
    <w:p>
      <w:pPr>
        <w:spacing w:after="0" w:line="103"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We enter contracts that can include various combinations of equipment and services, which are generally capable of being distinct and accounted for as separate performance obligations.</w:t>
      </w:r>
    </w:p>
    <w:p>
      <w:pPr>
        <w:spacing w:after="0" w:line="76"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9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i w:val="1"/>
          <w:iCs w:val="1"/>
          <w:color w:val="auto"/>
        </w:rPr>
        <w:t xml:space="preserve">Other Policies and Judgments — </w:t>
      </w:r>
      <w:r>
        <w:rPr>
          <w:rFonts w:ascii="Arial" w:cs="Arial" w:eastAsia="Arial" w:hAnsi="Arial"/>
          <w:sz w:val="17"/>
          <w:szCs w:val="17"/>
          <w:color w:val="auto"/>
        </w:rPr>
        <w:t>We have elected to treat shipping and handling activities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obtains control of the goods as a fulfilment cost and not as a promised good or service. Accordingly, we will accrue all fulfilment costs related to the shipping and handling of consumer goods at the time of shipment. We have payment terms with our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10"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 We receive payment from customers based on specified terms that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ectPr>
          <w:pgSz w:w="11900" w:h="16838" w:orient="portrait"/>
          <w:cols w:equalWidth="0" w:num="1">
            <w:col w:w="9019"/>
          </w:cols>
          <w:pgMar w:left="1440" w:top="274"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2" w:name="page53"/>
    <w:bookmarkEnd w:id="5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generally provide a one-year warranty on its products for materials and workmanship but may provide multiple year warranties as negotiated, and will pass on the warranties from its vendors, if any, which generally covers this one year period. In accordance with ASC 450-20-25, we accrue for product warranties when the loss is probable and can be reasonably estimated. At September 30, 2020, we had no product warranty accrual our de minimis historical financial warranty experience.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Business Combinations</w:t>
      </w:r>
    </w:p>
    <w:p>
      <w:pPr>
        <w:spacing w:after="0" w:line="162"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We allocated the purchase price of acquired company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97"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03"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we have acquired or may acquire in the future include but are not limited to:</w:t>
      </w:r>
    </w:p>
    <w:p>
      <w:pPr>
        <w:spacing w:after="0" w:line="103" w:lineRule="exact"/>
        <w:rPr>
          <w:sz w:val="20"/>
          <w:szCs w:val="20"/>
          <w:color w:val="auto"/>
        </w:rPr>
      </w:pPr>
    </w:p>
    <w:p>
      <w:pPr>
        <w:ind w:left="1320" w:right="699" w:hanging="434"/>
        <w:spacing w:after="0" w:line="277" w:lineRule="auto"/>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expected cash flows from software license sales, support agreements, consulting contracts, other customer contracts, and acquired developed technologies;</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costs to develop in-process research and development into commercially viable products and estimated cash flows from the projects when completed;</w:t>
      </w:r>
    </w:p>
    <w:p>
      <w:pPr>
        <w:spacing w:after="0" w:line="89" w:lineRule="exact"/>
        <w:rPr>
          <w:rFonts w:ascii="Arial" w:cs="Arial" w:eastAsia="Arial" w:hAnsi="Arial"/>
          <w:sz w:val="18"/>
          <w:szCs w:val="18"/>
          <w:color w:val="auto"/>
        </w:rPr>
      </w:pPr>
    </w:p>
    <w:p>
      <w:pPr>
        <w:ind w:left="1320" w:right="579" w:hanging="434"/>
        <w:spacing w:after="0" w:line="342" w:lineRule="auto"/>
        <w:tabs>
          <w:tab w:leader="none" w:pos="1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acquired company’s brand and competitive position, as well as assumptions about the period of time the acquired brand will continue to be used in the combined company’s product portfolio;</w:t>
      </w:r>
    </w:p>
    <w:p>
      <w:pPr>
        <w:spacing w:after="0" w:line="56" w:lineRule="exact"/>
        <w:rPr>
          <w:rFonts w:ascii="Arial" w:cs="Arial" w:eastAsia="Arial" w:hAnsi="Arial"/>
          <w:sz w:val="16"/>
          <w:szCs w:val="16"/>
          <w:color w:val="auto"/>
        </w:rPr>
      </w:pPr>
    </w:p>
    <w:p>
      <w:pPr>
        <w:ind w:left="1320" w:hanging="43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 of capital and discount rates; and</w:t>
      </w:r>
    </w:p>
    <w:p>
      <w:pPr>
        <w:spacing w:after="0" w:line="157"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estimating the useful lives of acquired assets as well as the pattern or manner in which the assets will amortize.</w:t>
      </w:r>
    </w:p>
    <w:p>
      <w:pPr>
        <w:spacing w:after="0" w:line="89" w:lineRule="exact"/>
        <w:rPr>
          <w:sz w:val="20"/>
          <w:szCs w:val="20"/>
          <w:color w:val="auto"/>
        </w:rPr>
      </w:pPr>
    </w:p>
    <w:p>
      <w:pPr>
        <w:jc w:val="both"/>
        <w:ind w:left="460" w:right="519" w:firstLine="432"/>
        <w:spacing w:after="0" w:line="286" w:lineRule="auto"/>
        <w:rPr>
          <w:sz w:val="20"/>
          <w:szCs w:val="20"/>
          <w:color w:val="auto"/>
        </w:rPr>
      </w:pPr>
      <w:r>
        <w:rPr>
          <w:rFonts w:ascii="Arial" w:cs="Arial" w:eastAsia="Arial" w:hAnsi="Arial"/>
          <w:sz w:val="17"/>
          <w:szCs w:val="17"/>
          <w:color w:val="auto"/>
        </w:rPr>
        <w:t>The fair value assigned to identifiable intangible assets acquired during the nine months ended September 30, 2020, was determined primarily by using the income approach, which discounts expected future cash flows to present value using estimates and assumptions determined by our management.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59"/>
        <w:spacing w:after="0" w:line="257" w:lineRule="auto"/>
        <w:rPr>
          <w:sz w:val="20"/>
          <w:szCs w:val="20"/>
          <w:color w:val="auto"/>
        </w:rPr>
      </w:pPr>
      <w:r>
        <w:rPr>
          <w:rFonts w:ascii="Arial" w:cs="Arial" w:eastAsia="Arial" w:hAnsi="Arial"/>
          <w:sz w:val="18"/>
          <w:szCs w:val="18"/>
          <w:color w:val="auto"/>
        </w:rPr>
        <w:t>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20" w:lineRule="exact"/>
        <w:rPr>
          <w:sz w:val="20"/>
          <w:szCs w:val="20"/>
          <w:color w:val="auto"/>
        </w:rPr>
      </w:pPr>
    </w:p>
    <w:p>
      <w:pPr>
        <w:ind w:left="460" w:right="879" w:firstLine="432"/>
        <w:spacing w:after="0" w:line="296" w:lineRule="auto"/>
        <w:rPr>
          <w:sz w:val="20"/>
          <w:szCs w:val="20"/>
          <w:color w:val="auto"/>
        </w:rPr>
      </w:pPr>
      <w:r>
        <w:rPr>
          <w:rFonts w:ascii="Arial" w:cs="Arial" w:eastAsia="Arial" w:hAnsi="Arial"/>
          <w:sz w:val="16"/>
          <w:szCs w:val="16"/>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62"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07"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11"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84"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It is important that the discussion of our operating results that follows be read in conjunction with the critical accounting policies disclosed above.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common stock</w:t>
      </w:r>
    </w:p>
    <w:p>
      <w:pPr>
        <w:spacing w:after="0" w:line="162"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Historically, for all periods prior to this offering, the fair values of the shares of common stock underlying our share-based awards were determined on each grant date by our board of directors. 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the rights, preferences and privileges of our convertible preferred stock relative to those of our common stock; our financial condition and operating results, including our levels of available capital resources; equity market conditions affecting comparable public companies; general U.S. market conditions; and the lack of marketability of our common stock. Valuations of our common stock were prepared by an unrelated</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4" w:name="page55"/>
    <w:bookmarkEnd w:id="5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19"/>
        <w:spacing w:after="0" w:line="263" w:lineRule="auto"/>
        <w:rPr>
          <w:sz w:val="20"/>
          <w:szCs w:val="20"/>
          <w:color w:val="auto"/>
        </w:rPr>
      </w:pPr>
      <w:r>
        <w:rPr>
          <w:rFonts w:ascii="Arial" w:cs="Arial" w:eastAsia="Arial" w:hAnsi="Arial"/>
          <w:sz w:val="18"/>
          <w:szCs w:val="18"/>
          <w:color w:val="auto"/>
        </w:rPr>
        <w:t>third-party valuation firm in accordance with the guidance provided by the American Institute of Certified Public Accountants Practice Guide, Valuation of Privately-Held-Company Equity Securities Issued as Compensation.</w:t>
      </w:r>
    </w:p>
    <w:p>
      <w:pPr>
        <w:spacing w:after="0" w:line="116"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For our valuation performed on September 30, 2019, March 20, 2020 and September 14, 2020, we used the income and market methods to estimate our enterprise value under various financing scenarios based on the discounted cash flow approach and a market approach of comparable peer public companies. The estimated enterprise value under each method was then allocated to the common stock, discount for lack of marketability was applied, and the resulting value of common stock was probability-weighted across the various financing scenarios to determine the fair value of common stock.</w:t>
      </w:r>
    </w:p>
    <w:p>
      <w:pPr>
        <w:spacing w:after="0" w:line="11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06"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After the completion of this offering, the fair value of each share of underlying common stock will be determined based on the closing price as reported on the date of grant on the primary stock exchange on which our common stock is traded.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5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summarizes our results of operations for the nine months ended September 30, 2020 and 2019:</w:t>
      </w:r>
    </w:p>
    <w:p>
      <w:pPr>
        <w:spacing w:after="0" w:line="13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7,734,000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2,425,000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6,874,000</w:t>
            </w:r>
          </w:p>
        </w:tc>
        <w:tc>
          <w:tcPr>
            <w:tcW w:w="240" w:type="dxa"/>
            <w:vAlign w:val="bottom"/>
          </w:tcPr>
          <w:p>
            <w:pPr>
              <w:spacing w:after="0"/>
              <w:rPr>
                <w:sz w:val="22"/>
                <w:szCs w:val="22"/>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2,716,000</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860,000</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(291,000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25400</wp:posOffset>
            </wp:positionV>
            <wp:extent cx="514350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55245</wp:posOffset>
            </wp:positionV>
            <wp:extent cx="514350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loss before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Loss attributable to non-controlling interest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loss attributable to Agrify Corporation.</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both"/>
        <w:ind w:left="400"/>
        <w:spacing w:after="0"/>
        <w:tabs>
          <w:tab w:leader="none" w:pos="1820" w:val="left"/>
        </w:tabs>
        <w:rPr>
          <w:sz w:val="20"/>
          <w:szCs w:val="20"/>
          <w:color w:val="auto"/>
        </w:rPr>
      </w:pPr>
      <w:r>
        <w:rPr>
          <w:rFonts w:ascii="Arial" w:cs="Arial" w:eastAsia="Arial" w:hAnsi="Arial"/>
          <w:sz w:val="18"/>
          <w:szCs w:val="18"/>
          <w:color w:val="auto"/>
        </w:rPr>
        <w:t>2,392,000</w:t>
      </w:r>
      <w:r>
        <w:rPr>
          <w:sz w:val="20"/>
          <w:szCs w:val="20"/>
          <w:color w:val="auto"/>
        </w:rPr>
        <w:tab/>
      </w:r>
      <w:r>
        <w:rPr>
          <w:rFonts w:ascii="Arial" w:cs="Arial" w:eastAsia="Arial" w:hAnsi="Arial"/>
          <w:sz w:val="18"/>
          <w:szCs w:val="18"/>
          <w:color w:val="auto"/>
        </w:rPr>
        <w:t>31,000</w:t>
      </w:r>
    </w:p>
    <w:p>
      <w:pPr>
        <w:spacing w:after="0" w:line="90" w:lineRule="exact"/>
        <w:rPr>
          <w:sz w:val="20"/>
          <w:szCs w:val="20"/>
          <w:color w:val="auto"/>
        </w:rPr>
      </w:pPr>
    </w:p>
    <w:p>
      <w:pPr>
        <w:jc w:val="both"/>
        <w:ind w:left="400"/>
        <w:spacing w:after="0"/>
        <w:tabs>
          <w:tab w:leader="none" w:pos="1720" w:val="left"/>
        </w:tabs>
        <w:rPr>
          <w:sz w:val="20"/>
          <w:szCs w:val="20"/>
          <w:color w:val="auto"/>
        </w:rPr>
      </w:pPr>
      <w:r>
        <w:rPr>
          <w:rFonts w:ascii="Arial" w:cs="Arial" w:eastAsia="Arial" w:hAnsi="Arial"/>
          <w:sz w:val="18"/>
          <w:szCs w:val="18"/>
          <w:color w:val="auto"/>
        </w:rPr>
        <w:t>6,940,000</w:t>
      </w:r>
      <w:r>
        <w:rPr>
          <w:sz w:val="20"/>
          <w:szCs w:val="20"/>
          <w:color w:val="auto"/>
        </w:rPr>
        <w:tab/>
      </w:r>
      <w:r>
        <w:rPr>
          <w:rFonts w:ascii="Arial" w:cs="Arial" w:eastAsia="Arial" w:hAnsi="Arial"/>
          <w:sz w:val="18"/>
          <w:szCs w:val="18"/>
          <w:color w:val="auto"/>
        </w:rPr>
        <w:t>876,000</w:t>
      </w:r>
    </w:p>
    <w:p>
      <w:pPr>
        <w:spacing w:after="0" w:line="77" w:lineRule="exact"/>
        <w:rPr>
          <w:sz w:val="20"/>
          <w:szCs w:val="20"/>
          <w:color w:val="auto"/>
        </w:rPr>
      </w:pPr>
    </w:p>
    <w:p>
      <w:pPr>
        <w:jc w:val="both"/>
        <w:ind w:left="400"/>
        <w:spacing w:after="0"/>
        <w:tabs>
          <w:tab w:leader="none" w:pos="1720" w:val="left"/>
        </w:tabs>
        <w:rPr>
          <w:sz w:val="20"/>
          <w:szCs w:val="20"/>
          <w:color w:val="auto"/>
        </w:rPr>
      </w:pPr>
      <w:r>
        <w:rPr>
          <w:rFonts w:ascii="Arial" w:cs="Arial" w:eastAsia="Arial" w:hAnsi="Arial"/>
          <w:sz w:val="18"/>
          <w:szCs w:val="18"/>
          <w:color w:val="auto"/>
        </w:rPr>
        <w:t>9,332,000</w:t>
      </w:r>
      <w:r>
        <w:rPr>
          <w:sz w:val="20"/>
          <w:szCs w:val="20"/>
          <w:color w:val="auto"/>
        </w:rPr>
        <w:tab/>
      </w:r>
      <w:r>
        <w:rPr>
          <w:rFonts w:ascii="Arial" w:cs="Arial" w:eastAsia="Arial" w:hAnsi="Arial"/>
          <w:sz w:val="18"/>
          <w:szCs w:val="18"/>
          <w:color w:val="auto"/>
        </w:rPr>
        <w:t>907,000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482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3" w:lineRule="exact"/>
        <w:rPr>
          <w:sz w:val="20"/>
          <w:szCs w:val="20"/>
          <w:color w:val="auto"/>
        </w:rPr>
      </w:pPr>
    </w:p>
    <w:p>
      <w:pPr>
        <w:jc w:val="both"/>
        <w:ind w:left="400"/>
        <w:spacing w:after="0"/>
        <w:tabs>
          <w:tab w:leader="none" w:pos="1580" w:val="left"/>
        </w:tabs>
        <w:rPr>
          <w:sz w:val="20"/>
          <w:szCs w:val="20"/>
          <w:color w:val="auto"/>
        </w:rPr>
      </w:pPr>
      <w:r>
        <w:rPr>
          <w:rFonts w:ascii="Arial" w:cs="Arial" w:eastAsia="Arial" w:hAnsi="Arial"/>
          <w:sz w:val="18"/>
          <w:szCs w:val="18"/>
          <w:color w:val="auto"/>
        </w:rPr>
        <w:t>8,472,000</w:t>
      </w:r>
      <w:r>
        <w:rPr>
          <w:sz w:val="20"/>
          <w:szCs w:val="20"/>
          <w:color w:val="auto"/>
        </w:rPr>
        <w:tab/>
      </w:r>
      <w:r>
        <w:rPr>
          <w:rFonts w:ascii="Arial" w:cs="Arial" w:eastAsia="Arial" w:hAnsi="Arial"/>
          <w:sz w:val="18"/>
          <w:szCs w:val="18"/>
          <w:color w:val="auto"/>
        </w:rPr>
        <w:t>1,198,000</w:t>
      </w:r>
    </w:p>
    <w:p>
      <w:pPr>
        <w:spacing w:after="0" w:line="90" w:lineRule="exact"/>
        <w:rPr>
          <w:sz w:val="20"/>
          <w:szCs w:val="20"/>
          <w:color w:val="auto"/>
        </w:rPr>
      </w:pPr>
    </w:p>
    <w:p>
      <w:pPr>
        <w:jc w:val="both"/>
        <w:ind w:left="540"/>
        <w:spacing w:after="0"/>
        <w:tabs>
          <w:tab w:leader="none" w:pos="1900" w:val="left"/>
        </w:tabs>
        <w:rPr>
          <w:sz w:val="20"/>
          <w:szCs w:val="20"/>
          <w:color w:val="auto"/>
        </w:rPr>
      </w:pPr>
      <w:r>
        <w:rPr>
          <w:rFonts w:ascii="Arial" w:cs="Arial" w:eastAsia="Arial" w:hAnsi="Arial"/>
          <w:sz w:val="18"/>
          <w:szCs w:val="18"/>
          <w:color w:val="auto"/>
        </w:rPr>
        <w:t>139,000</w:t>
      </w:r>
      <w:r>
        <w:rPr>
          <w:sz w:val="20"/>
          <w:szCs w:val="20"/>
          <w:color w:val="auto"/>
        </w:rPr>
        <w:tab/>
      </w:r>
      <w:r>
        <w:rPr>
          <w:rFonts w:ascii="Arial" w:cs="Arial" w:eastAsia="Arial" w:hAnsi="Arial"/>
          <w:sz w:val="18"/>
          <w:szCs w:val="18"/>
          <w:color w:val="auto"/>
        </w:rPr>
        <w:t>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482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3" w:lineRule="exact"/>
        <w:rPr>
          <w:sz w:val="20"/>
          <w:szCs w:val="20"/>
          <w:color w:val="auto"/>
        </w:rPr>
      </w:pPr>
    </w:p>
    <w:p>
      <w:pPr>
        <w:jc w:val="both"/>
        <w:ind w:left="420"/>
        <w:spacing w:after="0"/>
        <w:tabs>
          <w:tab w:leader="none" w:pos="1580" w:val="left"/>
        </w:tabs>
        <w:rPr>
          <w:sz w:val="20"/>
          <w:szCs w:val="20"/>
          <w:color w:val="auto"/>
        </w:rPr>
      </w:pPr>
      <w:r>
        <w:rPr>
          <w:rFonts w:ascii="Arial" w:cs="Arial" w:eastAsia="Arial" w:hAnsi="Arial"/>
          <w:sz w:val="18"/>
          <w:szCs w:val="18"/>
          <w:color w:val="auto"/>
        </w:rPr>
        <w:t>8,611,000</w:t>
      </w:r>
      <w:r>
        <w:rPr>
          <w:sz w:val="20"/>
          <w:szCs w:val="20"/>
          <w:color w:val="auto"/>
        </w:rPr>
        <w:tab/>
      </w:r>
      <w:r>
        <w:rPr>
          <w:rFonts w:ascii="Arial" w:cs="Arial" w:eastAsia="Arial" w:hAnsi="Arial"/>
          <w:sz w:val="18"/>
          <w:szCs w:val="18"/>
          <w:color w:val="auto"/>
        </w:rPr>
        <w:t>1,201,000</w:t>
      </w:r>
    </w:p>
    <w:p>
      <w:pPr>
        <w:spacing w:after="0" w:line="90" w:lineRule="exact"/>
        <w:rPr>
          <w:sz w:val="20"/>
          <w:szCs w:val="20"/>
          <w:color w:val="auto"/>
        </w:rPr>
      </w:pPr>
    </w:p>
    <w:p>
      <w:pPr>
        <w:jc w:val="both"/>
        <w:ind w:left="620"/>
        <w:spacing w:after="0"/>
        <w:tabs>
          <w:tab w:leader="none" w:pos="2120" w:val="left"/>
        </w:tabs>
        <w:rPr>
          <w:sz w:val="20"/>
          <w:szCs w:val="20"/>
          <w:color w:val="auto"/>
        </w:rPr>
      </w:pPr>
      <w:r>
        <w:rPr>
          <w:rFonts w:ascii="Arial" w:cs="Arial" w:eastAsia="Arial" w:hAnsi="Arial"/>
          <w:sz w:val="18"/>
          <w:szCs w:val="18"/>
          <w:color w:val="auto"/>
        </w:rPr>
        <w:t>49,000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482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57" w:lineRule="exact"/>
        <w:rPr>
          <w:sz w:val="20"/>
          <w:szCs w:val="20"/>
          <w:color w:val="auto"/>
        </w:rPr>
      </w:pPr>
    </w:p>
    <w:p>
      <w:pPr>
        <w:spacing w:after="0"/>
        <w:tabs>
          <w:tab w:leader="none" w:pos="380" w:val="left"/>
          <w:tab w:leader="none" w:pos="1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8,562,000 $</w:t>
      </w:r>
      <w:r>
        <w:rPr>
          <w:sz w:val="20"/>
          <w:szCs w:val="20"/>
          <w:color w:val="auto"/>
        </w:rPr>
        <w:tab/>
      </w:r>
      <w:r>
        <w:rPr>
          <w:rFonts w:ascii="Arial" w:cs="Arial" w:eastAsia="Arial" w:hAnsi="Arial"/>
          <w:sz w:val="16"/>
          <w:szCs w:val="16"/>
          <w:color w:val="auto"/>
        </w:rPr>
        <w:t>1,201,000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48272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4" w:right="1440" w:bottom="1440" w:gutter="0" w:footer="0" w:header="0"/>
          <w:type w:val="continuous"/>
        </w:sectPr>
      </w:pP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goal is to provide our customers with a variety of products to address their entire needs. Our core product offering includes our Agrify Vertical Farming Units and Agrify Integrated Grow Racks with our Agrify Insights™ software, which in 2020 are supplemented with environmental control products, grow lights, and facility build-out services.</w:t>
      </w:r>
    </w:p>
    <w:p>
      <w:pPr>
        <w:spacing w:after="0" w:line="11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During the first quarter of 2020 and in parallel with the outbreak of the COVID-19 virus, we experienced a disruption in the supply chain that delay the delivery of several components necessary to the manufacturing of our Agrify Vertical Farming Units (or AVFUs) and as a result, delivery of several AVFUs was delayed to April 2020.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5" w:name="page56"/>
    <w:bookmarkEnd w:id="5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We generate revenue from sales of cultivation solutions, including ancillary products and services, Agrify Insights™ software and facility build-outs. We believe that our product mix form an integrated ecosystem which allows us to be engaged with our potential customers from early stages of the grow cycle — first during the facility build-out, to the choice of cultivation solutions and then running the grow business with our Agrify Insight software. We believe that delivery of each solution in the grow cycle will generate sales of additional solutions and services.</w:t>
      </w:r>
    </w:p>
    <w:p>
      <w:pPr>
        <w:spacing w:after="0" w:line="125"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following table provides a breakdown of our revenue for the nine months ended September 30, 2020 and 2019:</w:t>
      </w:r>
    </w:p>
    <w:p>
      <w:pPr>
        <w:spacing w:after="0" w:line="13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4,594,000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2,406,000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Facility build-outs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3,019,000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43"/>
        </w:trPr>
        <w:tc>
          <w:tcPr>
            <w:tcW w:w="56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7,734,000</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2,425,000</w:t>
            </w: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Revenue from cultivation solutions and ancillary products for the first nine months of 2020 and 2019 were generated mainly from the delivery of 179 AVFUs to a customer in Washington state and 63 AVFUs to a customer in Colorado state, respectively. Revenue from delivery of cultivation solutions is one-time in nature and the number of AVFUs we delivered to each customer is ordered by the customer and designed to maximize its grow space. its grow space.</w:t>
      </w:r>
    </w:p>
    <w:p>
      <w:pPr>
        <w:spacing w:after="0" w:line="107"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With the formation of our joint venture with Valiant-America in December 2019 through Agrify-Valiant, we added the facility build-outs to our products and services offering. We generated revenue from facility build-out services starting in the second quarter of 2020. We believe that combining facility build-out services with our other products will enhance the productivity of our AVFUs and benefit our customers.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Cost of goods sold include direct cost of parts and outsourced assembly and installation services that are necessary for delivery of our products.</w:t>
      </w:r>
    </w:p>
    <w:p>
      <w:pPr>
        <w:spacing w:after="0" w:line="103"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following table provides a breakdown of our cost of revenue for the nine months ended September 30, 2020 and 2019:</w:t>
      </w:r>
    </w:p>
    <w:p>
      <w:pPr>
        <w:spacing w:after="0" w:line="13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7"/>
              </w:rPr>
              <w:t>3,945,000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2,716,000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Facility build-outs</w:t>
            </w:r>
          </w:p>
        </w:tc>
        <w:tc>
          <w:tcPr>
            <w:tcW w:w="260" w:type="dxa"/>
            <w:vAlign w:val="bottom"/>
          </w:tcPr>
          <w:p>
            <w:pPr>
              <w:spacing w:after="0"/>
              <w:rPr>
                <w:sz w:val="22"/>
                <w:szCs w:val="22"/>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w w:val="94"/>
              </w:rPr>
              <w:t>2,929,000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6,874,000</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2,716,000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During the first six months of 2020, we outsourced the manufacturing of our AVFUs to HMH, which we acquired in July 2020. Although the primary reason we acquired HMH was to expand our research, development and testing capabilities, the acquisition will also provide us with internal capabilities to manufacture small quantities of AVFUs and to reduce our cost of manufacturing. In addition, in December 2020, we entered into a five year supply agreement with Mack Molding Co. (“Mack”) pursuant to which Mack will become a key supplier of our AVFUs. We believe the supply agreement with Mack will provide us with increased scaling capabilities and the ability to more efficiently meet the potential future demand of our customers.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Our gross profit represents total revenue less the cost of goods sold, and gross margin is gross profit expressed as a percentage of total revenue. For the nine months ended September 30, 2020, our gross profit was $860,000 compared to a loss of $291,000 for the nine months ended September 30, 2019.</w:t>
      </w:r>
    </w:p>
    <w:p>
      <w:pPr>
        <w:spacing w:after="0" w:line="9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increase in gross profit was primarily related to (i) the aforementioned increase in net sales and (ii) a significant increase in our gross profit margin percentage (gross profit as a percentage of net sales). Our gross profit margin percentage increased to 11.1% for the nine months ended September 30, 2020 compared to a loss of 12.0% in the same period in 2019. The higher gross profit margin percentage is primarily due to higher negotiated prices on our products and a more favorable sales mix of proprietary and exclusive branded products. The acquisition of TriGrow in January 2020 allows us to sell our products directly to end customers and to generate higher gross profits. We expect that our marketing efforts aimed at driving demand and expanding our customer base, combined with our cost reduction initiatives, will result in higher gross margins in the future.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Research and development expenses consisted primarily of costs incurred for the development of Agrify Insight and next generation VFUs, which includes:</w:t>
      </w:r>
    </w:p>
    <w:p>
      <w:pPr>
        <w:spacing w:after="0" w:line="89" w:lineRule="exact"/>
        <w:rPr>
          <w:sz w:val="20"/>
          <w:szCs w:val="20"/>
          <w:color w:val="auto"/>
        </w:rPr>
      </w:pPr>
    </w:p>
    <w:p>
      <w:pPr>
        <w:ind w:left="1320" w:hanging="43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157"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incurred by subcontractor under agreements to provide engineering work related to the development of our next generation VFUs;</w:t>
      </w:r>
    </w:p>
    <w:p>
      <w:pPr>
        <w:spacing w:after="0" w:line="102" w:lineRule="exact"/>
        <w:rPr>
          <w:rFonts w:ascii="Arial" w:cs="Arial" w:eastAsia="Arial" w:hAnsi="Arial"/>
          <w:sz w:val="18"/>
          <w:szCs w:val="18"/>
          <w:color w:val="auto"/>
        </w:rPr>
      </w:pPr>
    </w:p>
    <w:p>
      <w:pPr>
        <w:ind w:left="1320" w:right="1079" w:hanging="434"/>
        <w:spacing w:after="0" w:line="342" w:lineRule="auto"/>
        <w:tabs>
          <w:tab w:leader="none" w:pos="1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expenses related to our facilities, depreciation, and other expenses, which include direct and allocated expenses for rent and maintenance of facilities, insurance and other supplies.</w:t>
      </w:r>
    </w:p>
    <w:p>
      <w:pPr>
        <w:spacing w:after="0" w:line="43"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did not have any significant research and development operation during the first nine months of 2019. For the nine months ended September 30, 2020 compared to the nine months ended September 30, 2019, research and development expenses were $2,392,000 and $31,000, respectively. The increase of $2,360,000 is primarily attributable to payroll and related expenses of approximately $874,000, consulting fees of $441,000, and to halted development of hardware solution for deployment of rapid grow solution of $739,000, discarded research and development center in Colorado of $107,000, expenses related to grant of stock options in the amount of $121,000 and increase in hired employees and consultants for research and development activities.</w:t>
      </w:r>
    </w:p>
    <w:p>
      <w:pPr>
        <w:spacing w:after="0" w:line="99" w:lineRule="exact"/>
        <w:rPr>
          <w:sz w:val="20"/>
          <w:szCs w:val="20"/>
          <w:color w:val="auto"/>
        </w:rPr>
      </w:pPr>
    </w:p>
    <w:p>
      <w:pPr>
        <w:ind w:left="460" w:right="719" w:firstLine="432"/>
        <w:spacing w:after="0" w:line="273" w:lineRule="auto"/>
        <w:rPr>
          <w:sz w:val="20"/>
          <w:szCs w:val="20"/>
          <w:color w:val="auto"/>
        </w:rPr>
      </w:pPr>
      <w:r>
        <w:rPr>
          <w:rFonts w:ascii="Arial" w:cs="Arial" w:eastAsia="Arial" w:hAnsi="Arial"/>
          <w:sz w:val="17"/>
          <w:szCs w:val="17"/>
          <w:color w:val="auto"/>
        </w:rPr>
        <w:t>As a percentage of net revenue, research and development expenses represented were 30.9% from total revenue for the nine months ended September 30, 2020, compared to 1.3% for the nine months ended September 30, 2019. We expect to continue to invest in future developments of our AVFUs and Agrify Insights™ and accordingly expect that research and development expenses for fiscal year 2020 will be increased. However, when measured as a percentage from net revenue, we believe that research and development expenses will decrease due to an increase in our total revenue.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106"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For the nine months ended September 30, 2020 compared to the nine months ended September 30, 2019, general and administrative expenses were $6,940,000 and $876,000, respectively. The increase is attributable mainly to payroll and related expenses of approximately $2,525,000, grant of stock options in the amount of $585,000, expenses of $856,000 related to our efforts to become publicly listed, marketing expenses of approximately $376,000, professional service fees of approximately $438,000, depreciation and amortization expenses of approximately $270,000, travel and entertainment expenses of approximately $120,000, legal expenses of approximately $170,000 and legal costs related to our merger and acquisition activity of $80,000. The remaining increase is attributable to our office lease and other administration expenses. To support our long-term growth plan and our initial public offering, we undertook several initiatives in the second half of 2019 and early 2020 which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59" w:lineRule="auto"/>
        <w:rPr>
          <w:sz w:val="20"/>
          <w:szCs w:val="20"/>
          <w:color w:val="auto"/>
        </w:rPr>
      </w:pPr>
      <w:r>
        <w:rPr>
          <w:rFonts w:ascii="Arial" w:cs="Arial" w:eastAsia="Arial" w:hAnsi="Arial"/>
          <w:sz w:val="18"/>
          <w:szCs w:val="18"/>
          <w:color w:val="auto"/>
        </w:rPr>
        <w:t>resulted in higher compensation costs, consulting fees and audit/legal fees, including, but not limited to, the hiring of executives such as our new Chief Executive Officer, Chief Financial Officer, Chief Operating Officer and General Counsel, and engaging new professionals such as an auditor, law firm and several accounting and audit-related consultants.</w:t>
      </w:r>
    </w:p>
    <w:p>
      <w:pPr>
        <w:spacing w:after="0" w:line="119"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We have granted stock options to officers, directors and employees which have several vesting conditions, including an event-based vesting acceleration (defined as a change in control, including an initial public offering). A change in control, including the consummation of this offering, would trigger a significant event-based stock compensation charge in the quarter during which this offering is completed. If this offering is consummated during the fourth quarter of 2020, the estimated share-based compensation cost for stock options granted as of September 30, 2020 would be approximately $1,000,000.</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58"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Interest expense was $139,000 for the nine months ended September 30, 2020 compared to $3,000 for the nine months ended September 30, 2019, reflecting an increase of $136,000.</w:t>
      </w:r>
    </w:p>
    <w:p>
      <w:pPr>
        <w:spacing w:after="0" w:line="89" w:lineRule="exact"/>
        <w:rPr>
          <w:sz w:val="20"/>
          <w:szCs w:val="20"/>
          <w:color w:val="auto"/>
        </w:rPr>
      </w:pPr>
    </w:p>
    <w:p>
      <w:pPr>
        <w:jc w:val="both"/>
        <w:ind w:left="460" w:right="579" w:firstLine="432"/>
        <w:spacing w:after="0" w:line="263" w:lineRule="auto"/>
        <w:rPr>
          <w:sz w:val="20"/>
          <w:szCs w:val="20"/>
          <w:color w:val="auto"/>
        </w:rPr>
      </w:pPr>
      <w:r>
        <w:rPr>
          <w:rFonts w:ascii="Arial" w:cs="Arial" w:eastAsia="Arial" w:hAnsi="Arial"/>
          <w:sz w:val="18"/>
          <w:szCs w:val="18"/>
          <w:color w:val="auto"/>
        </w:rPr>
        <w:t>The increase in interest expense is attributable mainly to the amortization of debt discount related to the issuance of convertible promissory notes in the amount of $87,000 and interest-bearing accounts in the amount of $53,000.</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attributable to non-controlling interest</w:t>
      </w:r>
    </w:p>
    <w:p>
      <w:pPr>
        <w:spacing w:after="0" w:line="158" w:lineRule="exact"/>
        <w:rPr>
          <w:sz w:val="20"/>
          <w:szCs w:val="20"/>
          <w:color w:val="auto"/>
        </w:rPr>
      </w:pPr>
    </w:p>
    <w:p>
      <w:pPr>
        <w:ind w:left="460" w:right="739" w:firstLine="432"/>
        <w:spacing w:after="0" w:line="269" w:lineRule="auto"/>
        <w:rPr>
          <w:sz w:val="20"/>
          <w:szCs w:val="20"/>
          <w:color w:val="auto"/>
        </w:rPr>
      </w:pPr>
      <w:r>
        <w:rPr>
          <w:rFonts w:ascii="Arial" w:cs="Arial" w:eastAsia="Arial" w:hAnsi="Arial"/>
          <w:sz w:val="17"/>
          <w:szCs w:val="17"/>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1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 Ended December 31, 2019 and 2018</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results of operations for the year ended December 31, 2019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2018:</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580" w:type="dxa"/>
            <w:vAlign w:val="bottom"/>
            <w:tcBorders>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2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4,088,000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1,769,000</w:t>
            </w:r>
          </w:p>
        </w:tc>
        <w:tc>
          <w:tcPr>
            <w:tcW w:w="0" w:type="dxa"/>
            <w:vAlign w:val="bottom"/>
          </w:tcPr>
          <w:p>
            <w:pPr>
              <w:spacing w:after="0"/>
              <w:rPr>
                <w:sz w:val="1"/>
                <w:szCs w:val="1"/>
                <w:color w:val="auto"/>
              </w:rPr>
            </w:pPr>
          </w:p>
        </w:tc>
      </w:tr>
      <w:tr>
        <w:trPr>
          <w:trHeight w:val="257"/>
        </w:trPr>
        <w:tc>
          <w:tcPr>
            <w:tcW w:w="3580" w:type="dxa"/>
            <w:vAlign w:val="bottom"/>
          </w:tcPr>
          <w:p>
            <w:pPr>
              <w:spacing w:after="0"/>
              <w:rPr>
                <w:sz w:val="20"/>
                <w:szCs w:val="20"/>
                <w:color w:val="auto"/>
              </w:rPr>
            </w:pPr>
            <w:r>
              <w:rPr>
                <w:rFonts w:ascii="Arial" w:cs="Arial" w:eastAsia="Arial" w:hAnsi="Arial"/>
                <w:sz w:val="18"/>
                <w:szCs w:val="18"/>
                <w:color w:val="auto"/>
              </w:rPr>
              <w:t>Cost of goods sold</w:t>
            </w: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4,333,000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1,547,000</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222,000</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r>
              <w:rPr>
                <w:rFonts w:ascii="Arial" w:cs="Arial" w:eastAsia="Arial" w:hAnsi="Arial"/>
                <w:sz w:val="18"/>
                <w:szCs w:val="18"/>
                <w:color w:val="auto"/>
              </w:rPr>
              <w:t>OPERATING EXPENSES</w:t>
            </w:r>
          </w:p>
        </w:tc>
        <w:tc>
          <w:tcPr>
            <w:tcW w:w="20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109,000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57"/>
        </w:trPr>
        <w:tc>
          <w:tcPr>
            <w:tcW w:w="3580" w:type="dxa"/>
            <w:vAlign w:val="bottom"/>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2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2,737,000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1,221,000</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2,846,000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1,238,000</w:t>
            </w:r>
          </w:p>
        </w:tc>
        <w:tc>
          <w:tcPr>
            <w:tcW w:w="0" w:type="dxa"/>
            <w:vAlign w:val="bottom"/>
          </w:tcPr>
          <w:p>
            <w:pPr>
              <w:spacing w:after="0"/>
              <w:rPr>
                <w:sz w:val="1"/>
                <w:szCs w:val="1"/>
                <w:color w:val="auto"/>
              </w:rPr>
            </w:pP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Operating loss</w:t>
            </w:r>
          </w:p>
        </w:tc>
        <w:tc>
          <w:tcPr>
            <w:tcW w:w="20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(3,091,000)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(1,016,000)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income, net</w:t>
            </w:r>
          </w:p>
        </w:tc>
        <w:tc>
          <w:tcPr>
            <w:tcW w:w="2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3580" w:type="dxa"/>
            <w:vAlign w:val="bottom"/>
            <w:vMerge w:val="continue"/>
          </w:tcPr>
          <w:p>
            <w:pPr>
              <w:spacing w:after="0"/>
              <w:rPr>
                <w:sz w:val="21"/>
                <w:szCs w:val="21"/>
                <w:color w:val="auto"/>
              </w:rPr>
            </w:pPr>
          </w:p>
        </w:tc>
        <w:tc>
          <w:tcPr>
            <w:tcW w:w="20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(3,042,000</w:t>
            </w:r>
          </w:p>
        </w:tc>
        <w:tc>
          <w:tcPr>
            <w:tcW w:w="140" w:type="dxa"/>
            <w:vAlign w:val="bottom"/>
            <w:vMerge w:val="continue"/>
          </w:tcPr>
          <w:p>
            <w:pPr>
              <w:spacing w:after="0"/>
              <w:rPr>
                <w:sz w:val="21"/>
                <w:szCs w:val="21"/>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(1,014,000</w:t>
            </w:r>
          </w:p>
        </w:tc>
        <w:tc>
          <w:tcPr>
            <w:tcW w:w="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20" w:type="dxa"/>
            <w:vAlign w:val="bottom"/>
            <w:vMerge w:val="restart"/>
          </w:tcPr>
          <w:p>
            <w:pPr>
              <w:jc w:val="right"/>
              <w:ind w:right="1370"/>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We had limited revenues from operations in each of the last two fiscal years. Through 2018 and 2019, we concentrated our business with TriGrow, acting as our exclusive distributor. Our revenues were generated from cultivation solutions and ancillary products from the delivery of 135 AVFUs to three of TriGrow’s customers in Nevada and Colorado in the total amount of $4,088,000 for the year ended December 31, 2019 compared to delivery of 78 AVFUs to one of TriGrow’s customers in Nevada in the total amount of $1,769,000 for the year ended December 31, 2018. During January 2020, we acquired TriGrow and began selling our products directly to end customers. In connection with our acquisition of TriGrow in January 2020, we inherited the three customers noted above along with one other legacy end-user customer who had purchased AVFUs through TriGrow. One of these customers took delivery of our AVFUs in 2020, for which we recognized revenue within the first nine months of 2020. After the acquisition, as we ramped up our sales force and transitioned to selling our cultivation solutions directly, we focused our sales efforts on a wide variety of other potential customers, including the customers that are reflected in our qualified pipeline. Although the revenue recognized from one of these legacy customers during the first nine months of 2020 constituted a substantial majority of our revenue during this transition period following the TriGrow acquisition, we expect that these legacy customers collectively will have a de-minimus contribution to our revenues going forward. For example, none of these legacy customers are included in our qualified pipeline. Our business is not substantially dependent on any of these customers and the loss of any of such customers, individually or collectively, would not have a material adverse effect on our business.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Cost of goods sold include direct cost of parts and outsourced assembly and installation services that are necessary for delivery of our products. Our cost of revenues was $4,333,000 for the year ended December 31, 2019 compared to $1,547,000 for the year ended December 31, 2018. As we increased the production in 2019, we experienced higher costs of revenues are related to shipping and outsourced assembly costs. We expect to develop internal assembly capabilities and negotiate lower prices with parts manufacturers and therefore we expect that the costs of our AVFUs, as a percentage of revenue, will decrease in the future.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gross profit represents total revenue less the cost of goods sold, and gross margin is gross profit expressed as a percentage of total revenue. For the year ended December 31, 2019, our gross loss was $245,000 compared to a gross profit of $222,000 for the year ended December 31, 2018. As described above, we expect to generate positive gross margin in the future.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Research and development expenses consisted primarily of costs incurred for the development of Agrify Insight and next generation AVFUs, which includes:</w:t>
      </w:r>
    </w:p>
    <w:p>
      <w:pPr>
        <w:spacing w:after="0" w:line="89" w:lineRule="exact"/>
        <w:rPr>
          <w:sz w:val="20"/>
          <w:szCs w:val="20"/>
          <w:color w:val="auto"/>
        </w:rPr>
      </w:pPr>
    </w:p>
    <w:p>
      <w:pPr>
        <w:ind w:left="1320" w:hanging="434"/>
        <w:spacing w:after="0"/>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130"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incurred by subcontractor under agreements to provide engineering work related to the development of our next generation AVFUs;</w:t>
      </w:r>
    </w:p>
    <w:p>
      <w:pPr>
        <w:spacing w:after="0" w:line="75" w:lineRule="exact"/>
        <w:rPr>
          <w:rFonts w:ascii="Arial" w:cs="Arial" w:eastAsia="Arial" w:hAnsi="Arial"/>
          <w:sz w:val="18"/>
          <w:szCs w:val="18"/>
          <w:color w:val="auto"/>
        </w:rPr>
      </w:pPr>
    </w:p>
    <w:p>
      <w:pPr>
        <w:ind w:left="1320" w:right="1079" w:hanging="434"/>
        <w:spacing w:after="0" w:line="342" w:lineRule="auto"/>
        <w:tabs>
          <w:tab w:leader="none" w:pos="1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expenses related to our facilities, depreciation, and other expenses, which include direct and allocated expenses for rent and maintenance of facilities, insurance and other supplies.</w:t>
      </w:r>
    </w:p>
    <w:p>
      <w:pPr>
        <w:spacing w:after="0" w:line="56"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For the year ended December 31, 2019 compared to the year ended December 31, 2018, research and development expenses were $109,000 and $17,000, respectively. The $92,000 increase is primarily attributable to the increase in hired employees and consultants for research and development activities. Our research and development expenses during fiscal years 2019 and 2018 were minimal and we expect such expenses to increase during fiscal year 2020.</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For the year ended December 31, 2019 compared to the year ended December 31, 2018, general and administrative expenses were $2,737,000 and $1,221,000, respectively. The $1,516,000 increase is primarily attributable to professional expenses and consultants of approximately $438,000, marketing expenses of $414,000, grants of stock options in the amount of $109,000, salary and related expenses related to an increase in hired employees of $158,000, travel and entertainment expenses of approximately $88,000, legal expenses of approximately $60,000 and technology subscription expenses of $103,000. The remaining increase is attributable to office lease and other administration expenses.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44"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Other income consisted primarily of interest income charged to our customers for late payments and bank fees expenses.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net loss for the year ended December 31, 2019 was $(3,042,000) compared with a net loss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$(1,014,000) for the year ended December 31, 2018. The net loss is influenced by the matters discussed in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sections of the Management Discussion and Analysis.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left="460" w:right="779" w:firstLine="432"/>
        <w:spacing w:after="0" w:line="259" w:lineRule="auto"/>
        <w:rPr>
          <w:sz w:val="20"/>
          <w:szCs w:val="20"/>
          <w:color w:val="auto"/>
        </w:rPr>
      </w:pPr>
      <w:r>
        <w:rPr>
          <w:rFonts w:ascii="Arial" w:cs="Arial" w:eastAsia="Arial" w:hAnsi="Arial"/>
          <w:sz w:val="18"/>
          <w:szCs w:val="18"/>
          <w:color w:val="auto"/>
        </w:rPr>
        <w:t>Our ability to continue as a going concern is dependent on our ability to raise additional capital and implement our business plan until we generate sufficient cash from operating activities to support our investment and financing needs. Since our inception, we have been funded by revenues from operations and investments in our company.</w:t>
      </w:r>
    </w:p>
    <w:p>
      <w:pPr>
        <w:spacing w:after="0" w:line="92" w:lineRule="exact"/>
        <w:rPr>
          <w:sz w:val="20"/>
          <w:szCs w:val="20"/>
          <w:color w:val="auto"/>
        </w:rPr>
      </w:pPr>
    </w:p>
    <w:p>
      <w:pPr>
        <w:ind w:left="460" w:right="559" w:firstLine="432"/>
        <w:spacing w:after="0" w:line="289" w:lineRule="auto"/>
        <w:rPr>
          <w:sz w:val="20"/>
          <w:szCs w:val="20"/>
          <w:color w:val="auto"/>
        </w:rPr>
      </w:pPr>
      <w:r>
        <w:rPr>
          <w:rFonts w:ascii="Arial" w:cs="Arial" w:eastAsia="Arial" w:hAnsi="Arial"/>
          <w:sz w:val="16"/>
          <w:szCs w:val="16"/>
          <w:color w:val="auto"/>
        </w:rPr>
        <w:t>As of September 30, 2020, we had $4,958,000 of cash. We believe that our cash, cash resulting from the issuance of our 2020 convertible promissory notes, cash resulting from the public offering and cash flows from operations will be sufficient to support our planned operations for at least the next 12 months. Our current working capital needs are to support accounts receivable growth, manage inventory to meet demand forecasts and support operational growth. Our long-term financial needs primarily include working capital requirements and capital expenditures.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85"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Indebtedness</w:t>
      </w:r>
    </w:p>
    <w:p>
      <w:pPr>
        <w:spacing w:after="0" w:line="135"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We received the PPP Loans with Bank of America pursuant to the PPP under the CARES Act administered by the SBA. We received total proceeds of $823,410 from the unsecured PPP Loans which are scheduled to mature during 2022. Subject to certain conditions, the PPP Loan may be forgiven in whole or in part by applying for forgiveness pursuant to the CARES Act and the PPP. We have not yet applied for forgiveness of the PPP Loan and although we believe that we will be eligible for full forgiveness under the PPP, there is no assurance that the full PPP Loan amount will be forgiven and we cannot anticipate the timing of any such forgiveness. If the principal amount is not forgiven in full, we would be obligated to repay any principal amount not forgiven and interest accrued thereon.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Cashflow</w:t>
      </w:r>
    </w:p>
    <w:p>
      <w:pPr>
        <w:spacing w:after="0" w:line="135"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following table presents the major components of net cash flows from and used in operating, investing and financing activities for the nine months ended September 30, 2020 and for years ended December 31, 2019 and 2018:</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3"/>
              </w:rPr>
              <w:t>September 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140" w:type="dxa"/>
            <w:vAlign w:val="bottom"/>
          </w:tcPr>
          <w:p>
            <w:pPr>
              <w:jc w:val="right"/>
              <w:ind w:right="74"/>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Arial" w:cs="Arial" w:eastAsia="Arial" w:hAnsi="Arial"/>
                <w:sz w:val="16"/>
                <w:szCs w:val="16"/>
                <w:b w:val="1"/>
                <w:bCs w:val="1"/>
                <w:color w:val="auto"/>
              </w:rPr>
              <w:t>2018</w:t>
            </w:r>
          </w:p>
        </w:tc>
      </w:tr>
      <w:tr>
        <w:trPr>
          <w:trHeight w:val="46"/>
        </w:trPr>
        <w:tc>
          <w:tcPr>
            <w:tcW w:w="318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in) provided by:</w:t>
            </w: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(10,723,000)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(3,441,000)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49,000</w:t>
            </w:r>
          </w:p>
        </w:tc>
      </w:tr>
      <w:tr>
        <w:trPr>
          <w:trHeight w:val="41"/>
        </w:trPr>
        <w:tc>
          <w:tcPr>
            <w:tcW w:w="3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(1,195,000)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w w:val="95"/>
              </w:rPr>
              <w:t>16,670,000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3,746,000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Operating Activities</w:t>
      </w:r>
    </w:p>
    <w:p>
      <w:pPr>
        <w:spacing w:after="0" w:line="158"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For the nine months ended September 30, 2020, we realized net loss of $8,562,000, which includes non-cash expenses of $261,000 related to depreciation and amortization, $803,000 in connection with the issuance of stock options, non-cash interest expenses of $95,000 related to the issuance of notes payable and $119,000 from the disposal of fixed assets, partially offset by loss attributed to non-controlling interest in the amount of $49,000. Net cash was reduced by a $622,000 increase in accounts receivable, a $1,673,000 increase in prepaid inventory due to demand forecast, a $2,099,000 decrease in deferred revenue, partially offset by $507,000 increase in accrued expenses, a $42,000 decrease in prepaid expenses, and a $455,000 increase in accounts payable.</w:t>
      </w:r>
    </w:p>
    <w:p>
      <w:pPr>
        <w:spacing w:after="0" w:line="111" w:lineRule="exact"/>
        <w:rPr>
          <w:sz w:val="20"/>
          <w:szCs w:val="20"/>
          <w:color w:val="auto"/>
        </w:rPr>
      </w:pPr>
    </w:p>
    <w:p>
      <w:pPr>
        <w:ind w:left="460" w:right="719" w:firstLine="432"/>
        <w:spacing w:after="0" w:line="296" w:lineRule="auto"/>
        <w:rPr>
          <w:sz w:val="20"/>
          <w:szCs w:val="20"/>
          <w:color w:val="auto"/>
        </w:rPr>
      </w:pPr>
      <w:r>
        <w:rPr>
          <w:rFonts w:ascii="Arial" w:cs="Arial" w:eastAsia="Arial" w:hAnsi="Arial"/>
          <w:sz w:val="16"/>
          <w:szCs w:val="16"/>
          <w:color w:val="auto"/>
        </w:rPr>
        <w:t>For the year ended December 31, 2019, we realized net loss of $3,042,000, which includes non-cash expenses of $10,000 related to depreciation and amortization, and $109,000 in connection with issuance of stock options. Net cash was reduced by a $369,000 increase in inventory due to demand forecast, a $366,000 increase in prepaid expenses and other receivables, and an $833,000 decrease in accounts payable, partially offset by a $355,000 increase in accrued expenses, and a $695,000 increase in deferred revenue.</w:t>
      </w:r>
    </w:p>
    <w:p>
      <w:pPr>
        <w:spacing w:after="0" w:line="80" w:lineRule="exact"/>
        <w:rPr>
          <w:sz w:val="20"/>
          <w:szCs w:val="20"/>
          <w:color w:val="auto"/>
        </w:rPr>
      </w:pPr>
    </w:p>
    <w:p>
      <w:pPr>
        <w:ind w:left="460" w:right="799" w:firstLine="432"/>
        <w:spacing w:after="0" w:line="259" w:lineRule="auto"/>
        <w:rPr>
          <w:sz w:val="20"/>
          <w:szCs w:val="20"/>
          <w:color w:val="auto"/>
        </w:rPr>
      </w:pPr>
      <w:r>
        <w:rPr>
          <w:rFonts w:ascii="Arial" w:cs="Arial" w:eastAsia="Arial" w:hAnsi="Arial"/>
          <w:sz w:val="18"/>
          <w:szCs w:val="18"/>
          <w:color w:val="auto"/>
        </w:rPr>
        <w:t>For the year ended December 31, 2018, we realized net loss of $1,014,000, which includes non-cash interest expense of $11,000. Net cash was increased by an $841,000 increase in accounts payable, and a $1,022,000 increase in deferred revenue, partially offset by a $845,000 increase in inventory due to demand forecast.</w:t>
      </w:r>
    </w:p>
    <w:p>
      <w:pPr>
        <w:spacing w:after="0" w:line="119"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For the nine months ended September 30, 2020 and for the years ended December 31, 2019 and 2018, depreciation and amortization expense was $261,000, $10,000, and $0, respectively. We anticipate that our depreciation and amortization expense will increase in fiscal 2020 due to expected capital expenditures in fiscal 2020 on property and equipment to expand research, development and testing capabilities.</w:t>
      </w:r>
    </w:p>
    <w:p>
      <w:pPr>
        <w:spacing w:after="0" w:line="90"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For the nine months ended September 30, 2020 and for the years ended December 31, 2019 and 2018, compensation in connection with issuance of stock options was $803,000, $109,000, and $0, respectively. As of September 30, 2020, there was $2,036,000 of total unrecognized compensation cost related to unvested options granted under our options plans, which will be expensed through fiscal 2024.</w:t>
      </w:r>
    </w:p>
    <w:p>
      <w:pPr>
        <w:spacing w:after="0" w:line="90"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To support our long-term growth plan and our proposed initial public offering, during fiscal year 2019 and the first nine months of 2020, we hired employees and executives, invested in research and development and sales and marketing activities, and increased our inventory. While creating a net loss and negative cash flow from operations, these activities laid the foundation that resulted in our current sales backlog and qualified pipeline.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Investing Activities</w:t>
      </w:r>
    </w:p>
    <w:p>
      <w:pPr>
        <w:spacing w:after="0" w:line="158" w:lineRule="exact"/>
        <w:rPr>
          <w:sz w:val="20"/>
          <w:szCs w:val="20"/>
          <w:color w:val="auto"/>
        </w:rPr>
      </w:pPr>
    </w:p>
    <w:p>
      <w:pPr>
        <w:jc w:val="both"/>
        <w:ind w:left="460" w:right="719" w:firstLine="432"/>
        <w:spacing w:after="0" w:line="263" w:lineRule="auto"/>
        <w:rPr>
          <w:sz w:val="20"/>
          <w:szCs w:val="20"/>
          <w:color w:val="auto"/>
        </w:rPr>
      </w:pPr>
      <w:r>
        <w:rPr>
          <w:rFonts w:ascii="Arial" w:cs="Arial" w:eastAsia="Arial" w:hAnsi="Arial"/>
          <w:sz w:val="18"/>
          <w:szCs w:val="18"/>
          <w:color w:val="auto"/>
        </w:rPr>
        <w:t>Net cash used in investing activities relates to capital expenditures to support growth and investment in property and equipment, to expand research, development and testing capabilities, and to a lesser extent, the replacement of existing equipment.</w:t>
      </w:r>
    </w:p>
    <w:p>
      <w:pPr>
        <w:spacing w:after="0" w:line="116"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For the nine months ended September 30, 2020, net cash used in investing activities was $1,195,000, which includes $1,092,000 paid in connection with the acquisition of TriGrow and $103,000 cash outflow for purchasing computer equipment and small machinery.</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For the year ended December 31, 2019, net cash used in investing activities was $184,000 and consisted of a $143,000 investment in our website domain and trademark, and a $41,000 cash outflow for purchasing computer equipment and small machinery.</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did not have any investment activities in the year ended December 31,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Financing Activities</w:t>
      </w:r>
    </w:p>
    <w:p>
      <w:pPr>
        <w:spacing w:after="0" w:line="158"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For the nine months ended September 30, 2020, net cash provided by financing activities was $16,670,000, primarily attributable to the $10,000,000 proceeds from the issuance of our Series A Preferred Stock, $5,800,000 proceeds from the issuance of notes payable and the $823,000 PPP Loan under the CARES Act.</w:t>
      </w:r>
    </w:p>
    <w:p>
      <w:pPr>
        <w:spacing w:after="0" w:line="106" w:lineRule="exact"/>
        <w:rPr>
          <w:sz w:val="20"/>
          <w:szCs w:val="20"/>
          <w:color w:val="auto"/>
        </w:rPr>
      </w:pPr>
    </w:p>
    <w:p>
      <w:pPr>
        <w:jc w:val="both"/>
        <w:ind w:left="460" w:right="1099" w:firstLine="432"/>
        <w:spacing w:after="0" w:line="311" w:lineRule="auto"/>
        <w:rPr>
          <w:sz w:val="20"/>
          <w:szCs w:val="20"/>
          <w:color w:val="auto"/>
        </w:rPr>
      </w:pPr>
      <w:r>
        <w:rPr>
          <w:rFonts w:ascii="Arial" w:cs="Arial" w:eastAsia="Arial" w:hAnsi="Arial"/>
          <w:sz w:val="16"/>
          <w:szCs w:val="16"/>
          <w:color w:val="auto"/>
        </w:rPr>
        <w:t>For the year ended December 31, 2019, net cash provided by financing activities was $3,746,000, consisting of $3,879,000 in capital contributions resulting from the issuance of our common stock to an investor, partially offset by a $133,000 repayment of a loan from a related party.</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did not have any financing activities in the year ended December 31,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 September 30, 2020, our contractual obligations were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6"/>
          </w:tcPr>
          <w:p>
            <w:pPr>
              <w:ind w:left="80"/>
              <w:spacing w:after="0"/>
              <w:rPr>
                <w:sz w:val="20"/>
                <w:szCs w:val="20"/>
                <w:color w:val="auto"/>
              </w:rPr>
            </w:pPr>
            <w:r>
              <w:rPr>
                <w:rFonts w:ascii="Arial" w:cs="Arial" w:eastAsia="Arial" w:hAnsi="Arial"/>
                <w:sz w:val="16"/>
                <w:szCs w:val="16"/>
                <w:b w:val="1"/>
                <w:bCs w:val="1"/>
                <w:color w:val="auto"/>
                <w:w w:val="95"/>
              </w:rPr>
              <w:t>Payments Due by Period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2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1"/>
        </w:trPr>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&lt; 1 year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5"/>
              </w:rPr>
              <w:t>1 – 3 years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3 – 5 years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Arial" w:cs="Arial" w:eastAsia="Arial" w:hAnsi="Arial"/>
                <w:sz w:val="16"/>
                <w:szCs w:val="16"/>
                <w:b w:val="1"/>
                <w:bCs w:val="1"/>
                <w:color w:val="auto"/>
                <w:w w:val="98"/>
              </w:rPr>
              <w:t>&gt; 5 years</w:t>
            </w:r>
          </w:p>
        </w:tc>
      </w:tr>
      <w:tr>
        <w:trPr>
          <w:trHeight w:val="46"/>
        </w:trPr>
        <w:tc>
          <w:tcPr>
            <w:tcW w:w="28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82"/>
        </w:trPr>
        <w:tc>
          <w:tcPr>
            <w:tcW w:w="2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Notes Payable, derivative liability and</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51"/>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5,356,000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4,963,000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Short term lease obligations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66,000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66,000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729,000</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190,000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344,000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167,000</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28,000</w:t>
            </w:r>
          </w:p>
        </w:tc>
      </w:tr>
      <w:tr>
        <w:trPr>
          <w:trHeight w:val="257"/>
        </w:trPr>
        <w:tc>
          <w:tcPr>
            <w:tcW w:w="2840" w:type="dxa"/>
            <w:vAlign w:val="bottom"/>
          </w:tcPr>
          <w:p>
            <w:pPr>
              <w:spacing w:after="0"/>
              <w:rPr>
                <w:sz w:val="20"/>
                <w:szCs w:val="20"/>
                <w:color w:val="auto"/>
              </w:rPr>
            </w:pPr>
            <w:r>
              <w:rPr>
                <w:rFonts w:ascii="Arial" w:cs="Arial" w:eastAsia="Arial" w:hAnsi="Arial"/>
                <w:sz w:val="18"/>
                <w:szCs w:val="18"/>
                <w:color w:val="auto"/>
              </w:rPr>
              <w:t>Purchase obligations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1,351,000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1,351,000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7,502,000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6,570,000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737,000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167,000</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28,000</w:t>
            </w: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61"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Our purchase obligations are associated with agreements for purchases of goods or services generally including agreements that are enforceable and legally binding and that specify all significant terms, including fixed or minimum quantities to be purchased; fixed, minimum, or variable price provisions; and the approximate timing of the transactions. Agreements to purchase goods or services that have cancellation provisions with no penalties are excluded from these purchase obligations. Upon completion of this offering, the notes payable will be converted into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believe our </w:t>
      </w:r>
      <w:r>
        <w:rPr>
          <w:rFonts w:ascii="Arial" w:cs="Arial" w:eastAsia="Arial" w:hAnsi="Arial"/>
          <w:sz w:val="16"/>
          <w:szCs w:val="16"/>
          <w:i w:val="1"/>
          <w:iCs w:val="1"/>
          <w:color w:val="auto"/>
        </w:rPr>
        <w:t>Agrify “Precision Elevated™”</w:t>
      </w:r>
      <w:r>
        <w:rPr>
          <w:rFonts w:ascii="Arial" w:cs="Arial" w:eastAsia="Arial" w:hAnsi="Arial"/>
          <w:sz w:val="16"/>
          <w:szCs w:val="16"/>
          <w:color w:val="auto"/>
        </w:rPr>
        <w:t xml:space="preserve">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99"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1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85"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this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w:t>
      </w:r>
      <w:r>
        <w:rPr>
          <w:rFonts w:ascii="Arial" w:cs="Arial" w:eastAsia="Arial" w:hAnsi="Arial"/>
          <w:sz w:val="16"/>
          <w:szCs w:val="16"/>
          <w:i w:val="1"/>
          <w:iCs w:val="1"/>
          <w:color w:val="auto"/>
        </w:rPr>
        <w:t>Agrify Vertical Farming Unit (AVFU)</w:t>
      </w:r>
      <w:r>
        <w:rPr>
          <w:rFonts w:ascii="Arial" w:cs="Arial" w:eastAsia="Arial" w:hAnsi="Arial"/>
          <w:sz w:val="16"/>
          <w:szCs w:val="16"/>
          <w:color w:val="auto"/>
        </w:rPr>
        <w:t xml:space="preserve">, as well as our proprietary SaaS product, </w:t>
      </w:r>
      <w:r>
        <w:rPr>
          <w:rFonts w:ascii="Arial" w:cs="Arial" w:eastAsia="Arial" w:hAnsi="Arial"/>
          <w:sz w:val="16"/>
          <w:szCs w:val="16"/>
          <w:i w:val="1"/>
          <w:iCs w:val="1"/>
          <w:color w:val="auto"/>
        </w:rPr>
        <w:t>Agrify Insights™</w:t>
      </w:r>
      <w:r>
        <w:rPr>
          <w:rFonts w:ascii="Arial" w:cs="Arial" w:eastAsia="Arial" w:hAnsi="Arial"/>
          <w:sz w:val="16"/>
          <w:szCs w:val="16"/>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100330</wp:posOffset>
            </wp:positionV>
            <wp:extent cx="5143500" cy="27432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Agrify Vertical Farming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118745</wp:posOffset>
            </wp:positionV>
            <wp:extent cx="2811780" cy="2297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1178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Agrify Insights™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Our core business model includes substantial equipment sales for the AVFUs as well as recurring SaaS revenues from our customers’ use of Agrify Insights™, as our software is licensed by customers through a subscription that allows us to charge monthly fees for its continued use. Additionally, we are able to drive even more revenue and new business through our service offerings and complementary products. All of our AVFU-related revenue has come from sales of the first three generations of our AVFU, which has substantially similar functionality as the AVFU version 3.5. We have also been selling LED lights, a small amount of environmental threat mitigation products from Bluezone and Enozo and other grow and ancillary equipment. As of December 31, 2020, our backlog is $59.3 million and we expect to recognize approximately $40 million in 2021.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w:t>
      </w:r>
    </w:p>
    <w:p>
      <w:pPr>
        <w:spacing w:after="0" w:line="60"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We place a heavy emphasis on the qualification process to ensure that all active opportunities in our qualified pipeline have been meticulously vetted. The resulting qualified pipeline is a byproduct of the due diligence investigation we conduct to get to know our potential customers. We believe our consultative sales process helps us ensure that our prospective buyers would significantly benefit from our solutions, and that they have all the means (or a concrete plan to acquire the means) necessary to make a purchasing decision within 12 months. Key vetting criteria in our due diligence analysis includes the potential customer’s financial resources, its ability to identify and secure a suitable facility site, and the likelihood it will be able to obtain all of the necessary local and state provisional licenses. Our qualified pipeline is intended to show only the opportunities that we expect to close within a 12-month period. All other opportunities are engaged in our sales funnel. Although we have a high level of confidence that our qualified pipeline will translate into bookings over the next 12 months, there can be no assurance that we will be successful in such pursuits.</w:t>
      </w:r>
    </w:p>
    <w:p>
      <w:pPr>
        <w:spacing w:after="0" w:line="64"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$2.3 million and $11.1 million, and we expect that our average contract size will increase over time as well as we begin to partner with larger facilities that require more equipment and services.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73" w:lineRule="exact"/>
        <w:rPr>
          <w:sz w:val="20"/>
          <w:szCs w:val="20"/>
          <w:color w:val="auto"/>
        </w:rPr>
      </w:pPr>
    </w:p>
    <w:p>
      <w:pPr>
        <w:ind w:left="460" w:right="579" w:firstLine="432"/>
        <w:spacing w:after="0" w:line="289" w:lineRule="auto"/>
        <w:rPr>
          <w:sz w:val="20"/>
          <w:szCs w:val="20"/>
          <w:color w:val="auto"/>
        </w:rPr>
      </w:pPr>
      <w:r>
        <w:rPr>
          <w:rFonts w:ascii="Arial" w:cs="Arial" w:eastAsia="Arial" w:hAnsi="Arial"/>
          <w:sz w:val="16"/>
          <w:szCs w:val="16"/>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We believe our business has, and our future success will be driven by, the following competitive strengths:</w:t>
      </w:r>
    </w:p>
    <w:p>
      <w:pPr>
        <w:spacing w:after="0" w:line="62" w:lineRule="exact"/>
        <w:rPr>
          <w:sz w:val="20"/>
          <w:szCs w:val="20"/>
          <w:color w:val="auto"/>
        </w:rPr>
      </w:pPr>
    </w:p>
    <w:p>
      <w:pPr>
        <w:ind w:left="1320" w:right="519" w:hanging="434"/>
        <w:spacing w:after="0" w:line="271" w:lineRule="auto"/>
        <w:tabs>
          <w:tab w:leader="none" w:pos="1311"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Innovative Technology in an Attractive Growing Industry</w:t>
      </w:r>
      <w:r>
        <w:rPr>
          <w:rFonts w:ascii="Arial" w:cs="Arial" w:eastAsia="Arial" w:hAnsi="Arial"/>
          <w:sz w:val="17"/>
          <w:szCs w:val="17"/>
          <w:color w:val="auto"/>
        </w:rPr>
        <w:t>. Our innovative solutions are aimed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 and growing U.S. domestic and global markets. We believe we are the only provider of a fully integrated end-to-end hardware and software turnkey solutions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70" w:lineRule="exact"/>
        <w:rPr>
          <w:rFonts w:ascii="Arial" w:cs="Arial" w:eastAsia="Arial" w:hAnsi="Arial"/>
          <w:sz w:val="17"/>
          <w:szCs w:val="17"/>
          <w:color w:val="auto"/>
        </w:rPr>
      </w:pPr>
    </w:p>
    <w:p>
      <w:pPr>
        <w:ind w:left="1320" w:right="559" w:hanging="434"/>
        <w:spacing w:after="0" w:line="259" w:lineRule="auto"/>
        <w:tabs>
          <w:tab w:leader="none" w:pos="1311"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Integrated Proprietary Components. </w:t>
      </w:r>
      <w:r>
        <w:rPr>
          <w:rFonts w:ascii="Arial" w:cs="Arial" w:eastAsia="Arial" w:hAnsi="Arial"/>
          <w:sz w:val="18"/>
          <w:szCs w:val="18"/>
          <w:color w:val="auto"/>
        </w:rPr>
        <w:t>We design and create our own hardware, software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5" w:name="page66"/>
    <w:bookmarkEnd w:id="6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1320" w:right="479" w:hanging="434"/>
        <w:spacing w:after="0" w:line="271" w:lineRule="auto"/>
        <w:tabs>
          <w:tab w:leader="none" w:pos="1311" w:val="left"/>
        </w:tabs>
        <w:numPr>
          <w:ilvl w:val="0"/>
          <w:numId w:val="3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Emphasis on Precision and Consistency Through Our Proprietary Grow Solutions. </w:t>
      </w:r>
      <w:r>
        <w:rPr>
          <w:rFonts w:ascii="Arial" w:cs="Arial" w:eastAsia="Arial" w:hAnsi="Arial"/>
          <w:sz w:val="17"/>
          <w:szCs w:val="17"/>
          <w:color w:val="auto"/>
        </w:rPr>
        <w:t>While being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repeatabililty from anywhere similar to any other consumer product company that provides a branded food or drink product.</w:t>
      </w:r>
    </w:p>
    <w:p>
      <w:pPr>
        <w:spacing w:after="0" w:line="83" w:lineRule="exact"/>
        <w:rPr>
          <w:rFonts w:ascii="Arial" w:cs="Arial" w:eastAsia="Arial" w:hAnsi="Arial"/>
          <w:sz w:val="17"/>
          <w:szCs w:val="17"/>
          <w:b w:val="1"/>
          <w:bCs w:val="1"/>
          <w:i w:val="1"/>
          <w:iCs w:val="1"/>
          <w:color w:val="auto"/>
        </w:rPr>
      </w:pPr>
    </w:p>
    <w:p>
      <w:pPr>
        <w:ind w:left="1320" w:right="479" w:hanging="434"/>
        <w:spacing w:after="0" w:line="255"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Knowledge and Understanding. </w:t>
      </w:r>
      <w:r>
        <w:rPr>
          <w:rFonts w:ascii="Arial" w:cs="Arial" w:eastAsia="Arial" w:hAnsi="Arial"/>
          <w:sz w:val="18"/>
          <w:szCs w:val="18"/>
          <w:color w:val="auto"/>
        </w:rPr>
        <w:t>We have extensive experience with controlled agriculture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11" w:lineRule="exact"/>
        <w:rPr>
          <w:rFonts w:ascii="Arial" w:cs="Arial" w:eastAsia="Arial" w:hAnsi="Arial"/>
          <w:sz w:val="18"/>
          <w:szCs w:val="18"/>
          <w:color w:val="auto"/>
        </w:rPr>
      </w:pPr>
    </w:p>
    <w:p>
      <w:pPr>
        <w:ind w:left="1320" w:right="639" w:hanging="434"/>
        <w:spacing w:after="0" w:line="293" w:lineRule="auto"/>
        <w:tabs>
          <w:tab w:leader="none" w:pos="1311"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Business Model. </w:t>
      </w:r>
      <w:r>
        <w:rPr>
          <w:rFonts w:ascii="Arial" w:cs="Arial" w:eastAsia="Arial" w:hAnsi="Arial"/>
          <w:sz w:val="16"/>
          <w:szCs w:val="16"/>
          <w:color w:val="auto"/>
        </w:rPr>
        <w:t>Unlike many of our competitors, we offer a diversified mix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69" w:lineRule="exact"/>
        <w:rPr>
          <w:rFonts w:ascii="Arial" w:cs="Arial" w:eastAsia="Arial" w:hAnsi="Arial"/>
          <w:sz w:val="16"/>
          <w:szCs w:val="16"/>
          <w:color w:val="auto"/>
        </w:rPr>
      </w:pPr>
    </w:p>
    <w:p>
      <w:pPr>
        <w:ind w:left="1320" w:right="499" w:hanging="434"/>
        <w:spacing w:after="0" w:line="268" w:lineRule="auto"/>
        <w:tabs>
          <w:tab w:leader="none" w:pos="1311"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Strategic Investment from and Deep Integration with Large Asian Manufacturer.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base includes Inventronics,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In 2016, Inventronics became a public company in China and currently has factories in China, India and Mexico. Although we are not a party to a definitive agreement that governs our relationship with Inventronics, we believe our long-term relationship with this large manufacturer will allow us to the most advanced LED driver technology into our products and gain research and development support for any custom power supply needs that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89" w:lineRule="exact"/>
        <w:rPr>
          <w:rFonts w:ascii="Arial" w:cs="Arial" w:eastAsia="Arial" w:hAnsi="Arial"/>
          <w:sz w:val="17"/>
          <w:szCs w:val="17"/>
          <w:color w:val="auto"/>
        </w:rPr>
      </w:pPr>
    </w:p>
    <w:p>
      <w:pPr>
        <w:ind w:left="1320" w:right="499" w:hanging="434"/>
        <w:spacing w:after="0" w:line="287" w:lineRule="auto"/>
        <w:tabs>
          <w:tab w:leader="none" w:pos="1311"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Joint Venture with Experienced Consulting and General Contractor of Industrial Facilities.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formed a joint venture with Valiant-America in December 2019 recognizing that 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w:t>
      </w:r>
    </w:p>
    <w:p>
      <w:pPr>
        <w:spacing w:after="0" w:line="90" w:lineRule="exact"/>
        <w:rPr>
          <w:rFonts w:ascii="Arial" w:cs="Arial" w:eastAsia="Arial" w:hAnsi="Arial"/>
          <w:sz w:val="16"/>
          <w:szCs w:val="16"/>
          <w:color w:val="auto"/>
        </w:rPr>
      </w:pPr>
    </w:p>
    <w:p>
      <w:pPr>
        <w:ind w:left="1320" w:right="519" w:hanging="434"/>
        <w:spacing w:after="0" w:line="275" w:lineRule="auto"/>
        <w:tabs>
          <w:tab w:leader="none" w:pos="1311"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Equipment Financing Solution. </w:t>
      </w:r>
      <w:r>
        <w:rPr>
          <w:rFonts w:ascii="Arial" w:cs="Arial" w:eastAsia="Arial" w:hAnsi="Arial"/>
          <w:sz w:val="17"/>
          <w:szCs w:val="17"/>
          <w:color w:val="auto"/>
        </w:rPr>
        <w:t>Limited access to outside capital is a significant issue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cultivators as it can inhibit growth and cultivation facility expansion. We help solve this problem by offering equipment financing plans for select good credit customers, which we believe further enables us to become a vendor of choice. Qualified customers pay approximately 30% – 50% upfront and finance the balance through a two-year payment plan.</w:t>
      </w:r>
    </w:p>
    <w:p>
      <w:pPr>
        <w:spacing w:after="0" w:line="95" w:lineRule="exact"/>
        <w:rPr>
          <w:rFonts w:ascii="Arial" w:cs="Arial" w:eastAsia="Arial" w:hAnsi="Arial"/>
          <w:sz w:val="17"/>
          <w:szCs w:val="17"/>
          <w:color w:val="auto"/>
        </w:rPr>
      </w:pPr>
    </w:p>
    <w:p>
      <w:pPr>
        <w:ind w:left="1320" w:right="839" w:hanging="434"/>
        <w:spacing w:after="0" w:line="259" w:lineRule="auto"/>
        <w:tabs>
          <w:tab w:leader="none" w:pos="1311"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Experienced and Proven Management Team. </w:t>
      </w:r>
      <w:r>
        <w:rPr>
          <w:rFonts w:ascii="Arial" w:cs="Arial" w:eastAsia="Arial" w:hAnsi="Arial"/>
          <w:sz w:val="18"/>
          <w:szCs w:val="18"/>
          <w:color w:val="auto"/>
        </w:rPr>
        <w:t>Our leadership team has entrepreneurial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technical expertise and a track record of scaling up businesses and operating public companies. Additionally, our team is supported by strong advisors and leading strategic and institutional investors.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Indoor Agriculture Industry Overview</w:t>
      </w:r>
    </w:p>
    <w:p>
      <w:pPr>
        <w:spacing w:after="0" w:line="148"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CAGR of 3.4%.</w:t>
      </w:r>
    </w:p>
    <w:p>
      <w:pPr>
        <w:spacing w:after="0" w:line="80"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96"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100"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Within the indoor agriculture space, there has been a big push to leverage the power of vertical farming and technology to further improve production in novel ways. Vertical farming is a transformative approach to cultivation that is used to produce various foods and medicinal plants in vertically stacked layers such as in open warehouses or shipping containers. Our products are designed specifically to serve the vertical farming market.</w:t>
      </w:r>
    </w:p>
    <w:p>
      <w:pPr>
        <w:spacing w:after="0" w:line="107"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14"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One of the main drivers behind the increased prominence of vertical farming is that the vertically stacked structure of these farms reduces the need for additional construction activity and land. However, a high level of initial capital is often required for setting up the indoor vertical structure with all of the necessary lighting and irrigation systems. This is something we have been very mindful of when designing (and as we continue to improve) our products as well as when we launched our new architectural, engineering, consulting and construction services and our new product financing program.</w:t>
      </w:r>
    </w:p>
    <w:p>
      <w:pPr>
        <w:spacing w:after="0" w:line="97"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While the ability to use previously untapped vertical space for cultivation offers tremendous upside for an existing facility, the advent of cutting-edge technological solutions like ours should help indoor growers push the boundaries of what is possible to an even greater extent. Indoor growers are now relying on technology to help them increase plant yields, generate higher revenues, manage operations and improve crop quality, and our products and services are geared directly towards satisfying the technology needs of our customers.</w:t>
      </w:r>
    </w:p>
    <w:p>
      <w:pPr>
        <w:spacing w:after="0" w:line="80"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According to the State of Indoor Farming 2017 report by Agrilyst (now known as Artemis), which incorporated feedback and insights from over 150 indoor growers throughout the world as well as research from Cornell University, small farms (which were defined as less than 10,000 square feet) on average have an annual budget of $7.68 per square foot to invest in technology and large farms (which were defined as at or above 10,000 square feet) on average spend about $9.34 per square foot on technology to foster an environment where they can produce more with less. As a result, we believe there is clearly a demonstrated willingness to spend on integrating technological solutions into the way indoor farms are structured both now and in the future to help those operators achieve many of their financial-related goals around increasing revenues and decreasing costs.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7" w:name="page68"/>
    <w:bookmarkEnd w:id="6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polling a wide variety of indoor cultivators, Artemis discovered that “automation tops the list of technologies growers are most excited about. Second to automation is HVAC (heating, venting, and air conditioning) equipment. Third was a tie between data analytics, LED lighting, and sensors.” With the high cost of labor, it is no surprise that automation, which is a big part of our value proposition, ranked number one in this poll as most progressive growers are thinking strategically about what aspects of their business can be delegated to technological solutions instead of expensive personnel. Technology is driving significant change in the agriculture industry and will enable growers to enhance margin and institutionalize the process in which they grow.</w:t>
      </w:r>
    </w:p>
    <w:p>
      <w:pPr>
        <w:spacing w:after="0" w:line="111" w:lineRule="exact"/>
        <w:rPr>
          <w:sz w:val="20"/>
          <w:szCs w:val="20"/>
          <w:color w:val="auto"/>
        </w:rPr>
      </w:pPr>
    </w:p>
    <w:p>
      <w:pPr>
        <w:ind w:left="460" w:right="659" w:firstLine="432"/>
        <w:spacing w:after="0" w:line="293" w:lineRule="auto"/>
        <w:rPr>
          <w:sz w:val="20"/>
          <w:szCs w:val="20"/>
          <w:color w:val="auto"/>
        </w:rPr>
      </w:pPr>
      <w:r>
        <w:rPr>
          <w:rFonts w:ascii="Arial" w:cs="Arial" w:eastAsia="Arial" w:hAnsi="Arial"/>
          <w:sz w:val="16"/>
          <w:szCs w:val="16"/>
          <w:color w:val="auto"/>
        </w:rPr>
        <w:t>One of the ancillary benefits of this increased emphasis on technology is that it is giving indoor cultivators the confidence to expand their footprint. In fact, 84% of the farms that participated in the Artemis study reported that they are planning to expand their facilities in the five years spanning 2018 to 2022. More importantly, their growth plans were quite ambitious as they indicated they will be adding 22.3 million square feet of growing area. A lot of this expansion is being spearheaded by leafy greens growers as they expect to augment their existing operations with 15 million square feet in new growing area.</w:t>
      </w:r>
    </w:p>
    <w:p>
      <w:pPr>
        <w:spacing w:after="0" w:line="97"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believe our team, strategy and “Precision Elevated™” cultivation solution have all evolved to meet the needs of indoor growers and capitalize on all of the growth that is expected throughout our total addressable market over the next decade.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Well-Established Crop Market Opportunities</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With the right equipment, setup and configuration, cultivators can grow almost anything within an indoor vertical farm. With so many options at their fingertips, farmers face a huge opportunity cost when deciding what to grow and how to grow it. Even if a certain crop is biologically viable in an indoor setting, it may not be commercially viable. Consequently, there are a number of important factors including equipment, processes and economics that drive cultivators to narrow their focus to a small subset of crops that are the most conducive to long-term profitability.</w:t>
      </w:r>
    </w:p>
    <w:p>
      <w:pPr>
        <w:spacing w:after="0" w:line="125"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Given that it is expensive to operate an indoor facility, the crops that generally get the most grow space are those that generate high revenues and/or have quick grow cycles. The result, as reported in the State of Indoor Farming 2017 report by Agrilyst (now known as Artemis), is a distribution of output and activity heavily skewed toward leafy greens, tomatoes, herbs, flowers and microgreens, which easily represented the majority of crops grown indoors at that time.</w:t>
      </w:r>
    </w:p>
    <w:p>
      <w:pPr>
        <w:spacing w:after="0" w:line="107"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These findings were largely reinforced in the 2019 Global CEA (Controlled Environment Agriculture) Census. As part of this joint project spearheaded by Agritecture LLC and Autogrow, 316 indoor farms in more than 50 countries responded to a wide variety of questions to uncover insights and trends across several key areas of the indoor agriculture industry including what crops are being grown most frequently.</w:t>
      </w:r>
    </w:p>
    <w:p>
      <w:pPr>
        <w:spacing w:after="0" w:line="104"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majority of indoor farms that took part in the 2019 Global CEA Census stated that they are still focusing the bulk of their efforts on leafy greens (herbs, salad greens and microgreens) due to their quick crop cycles and high percentage of harvestable biomass. In looking at the numbers, 65% of all respondents indicated that they grow salad greens and microgreens including 61% in indoor vertical farms.</w:t>
      </w:r>
    </w:p>
    <w:p>
      <w:pPr>
        <w:spacing w:after="0" w:line="90"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The bagged salad market is a perfect example of a booming industry and also one that illustrates society’s increasing preference for healthy and clean foods. According to Grand View Research, the global packaged salad market is currently a $5.24 billion market. The CAGR is projected to be 10.2% between 2020 and 2027, which would bring the value of this market to $10.23 billion by 2027.</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following chart shows all of the crops grown across the indoor vertical farms that participated in the 2019 Global CEA Census: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74295</wp:posOffset>
            </wp:positionV>
            <wp:extent cx="5143500" cy="15005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Crops Grown By Operation — Indoor Vertical Farming (2019 Global CEA Census)</w:t>
      </w:r>
    </w:p>
    <w:p>
      <w:pPr>
        <w:spacing w:after="0" w:line="135"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With many new ventures entering this market and a large portion of the well-established entities in expansion mode, it is clear that indoor farming is here to stay and will be a big part of the future of food production both in the U.S. and throughout the rest of the world. Despite its rise in popularity, the indoor farming industry is not without its challenges, many of which are financial and operational in nature. While indoor farmers are generally progressive and well-intentioned, there is still a lot of work to be done before their facilities morph into truly optimized production and profit centers. This represents a sizeable opportunity for outside vendors to bring fresh perspectives and further innovation into the mix.</w:t>
      </w:r>
    </w:p>
    <w:p>
      <w:pPr>
        <w:spacing w:after="0" w:line="83" w:lineRule="exact"/>
        <w:rPr>
          <w:sz w:val="20"/>
          <w:szCs w:val="20"/>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We believe that our technology is a key missing ingredient that can help indoor growers of salad greens, microgreens, herbs, other leafy greens, vine vegetables and berries maximize yields, improve crop quality and consistency, and decrease production costs over time.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Cannabis Market Opportunity</w:t>
      </w:r>
    </w:p>
    <w:p>
      <w:pPr>
        <w:spacing w:after="0" w:line="144"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16"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prospectus, over 20 countries outside the U.S. currently have medicinal cannabis regulation in force, and that number is expected to significantly increase over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110"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01"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Outdoor cannabis has the lowest initial CapEx required to start cultivation. According to Marijuana Business Daily (MBD), the average startup cost per square foot of outdoor cultivation is $10. The expansive size of outdoor grows and their reliance on natural soil, lighting and weather conditions means cultivators have relatively few infrastructure needs. They can get their business off the ground quickly and with minimal upfront expenditures trading quality for lower cost production.</w:t>
      </w:r>
    </w:p>
    <w:p>
      <w:pPr>
        <w:spacing w:after="0" w:line="107"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Greenhouse grown cannabis commands a higher price per pound than field grown cannabis as the more protected environment produces higher quality flower. According to MBD, the average startup cost per square foot for greenhouse cultivation is $50, but the true costs tend to be all over the map with an executive from Ohio-based Rough Brothers, an 84-year-old greenhouse company that started taking on cannabis clients in 2013, opining that such costs can vary greatly, going so far as to say “I could build you a cannabis greenhouse for $20 a square foot or $200 a square foot.”</w:t>
      </w:r>
    </w:p>
    <w:p>
      <w:pPr>
        <w:spacing w:after="0" w:line="125" w:lineRule="exact"/>
        <w:rPr>
          <w:sz w:val="20"/>
          <w:szCs w:val="20"/>
          <w:color w:val="auto"/>
        </w:rPr>
      </w:pPr>
    </w:p>
    <w:p>
      <w:pPr>
        <w:ind w:left="460" w:right="619" w:firstLine="432"/>
        <w:spacing w:after="0" w:line="269" w:lineRule="auto"/>
        <w:rPr>
          <w:sz w:val="20"/>
          <w:szCs w:val="20"/>
          <w:color w:val="auto"/>
        </w:rPr>
      </w:pPr>
      <w:r>
        <w:rPr>
          <w:rFonts w:ascii="Arial" w:cs="Arial" w:eastAsia="Arial" w:hAnsi="Arial"/>
          <w:sz w:val="17"/>
          <w:szCs w:val="17"/>
          <w:color w:val="auto"/>
        </w:rPr>
        <w:t>Indoor grown cannabis commands the highest price per pound as it produces the highest quality flower due to the fact that growers have the most control over the environment. Indoor cultivation facilities vary significantly in sophistication and technology with the build-out costs reflecting that fact. While MBD states that the average startup cost per square foot for indoor cultivation is $75, anything close to that cost would inevitably yield a primitive and arguably insufficient setup. In contrast, Jennifer Martin, a prominent cannabis cultivation consultant, indicated on MarijuanaPropagation.com that a far more advanced and scalable configuration would likely cost between $400 to $500 per square foot. In general, the more a company invests up front, the higher the upside will be in the future. However, beyond initial build-out costs, it has historically been very expensive to grow cannabis in an indoor facility. The industry norm for direct production-related operating costs ranges from approximately $436 per pound according to a competitive cost analysis conducted by MJardin to $516 per pound, which is based on another examination of cultivation costs by the website CannaBusinessPlans.com.</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Product: the Agrify “Precision Elevated™” Cultivation Solution</w:t>
      </w:r>
    </w:p>
    <w:p>
      <w:pPr>
        <w:spacing w:after="0" w:line="14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70" w:lineRule="exact"/>
        <w:rPr>
          <w:sz w:val="20"/>
          <w:szCs w:val="20"/>
          <w:color w:val="auto"/>
        </w:rPr>
      </w:pPr>
    </w:p>
    <w:p>
      <w:pPr>
        <w:jc w:val="both"/>
        <w:ind w:left="460" w:right="659" w:firstLine="432"/>
        <w:spacing w:after="0" w:line="301" w:lineRule="auto"/>
        <w:rPr>
          <w:sz w:val="20"/>
          <w:szCs w:val="20"/>
          <w:color w:val="auto"/>
        </w:rPr>
      </w:pPr>
      <w:r>
        <w:rPr>
          <w:rFonts w:ascii="Arial" w:cs="Arial" w:eastAsia="Arial" w:hAnsi="Arial"/>
          <w:sz w:val="16"/>
          <w:szCs w:val="16"/>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460" w:right="879" w:firstLine="432"/>
        <w:spacing w:after="0" w:line="293" w:lineRule="auto"/>
        <w:rPr>
          <w:sz w:val="20"/>
          <w:szCs w:val="20"/>
          <w:color w:val="auto"/>
        </w:rPr>
      </w:pPr>
      <w:r>
        <w:rPr>
          <w:rFonts w:ascii="Arial" w:cs="Arial" w:eastAsia="Arial" w:hAnsi="Arial"/>
          <w:sz w:val="16"/>
          <w:szCs w:val="16"/>
          <w:color w:val="auto"/>
        </w:rPr>
        <w:t>Beyond these key attributes, we have several other products such as Agrify Integrated Grow Racks, environmental threat mitigation and horticulture lighting solutions as well as services such as those offered through our joint venture with Valiant-America and our equipment financing vehicle that either serve as complements to our core offering to form a novel, fully integrated approach for indoor cultivation or the individual components can also be utilized on their own, offering valuable touchpoints to potentially seed relationships and convert them into more lucrative land-and-expand engagements in the future.</w:t>
      </w:r>
    </w:p>
    <w:p>
      <w:pPr>
        <w:spacing w:after="0" w:line="56" w:lineRule="exact"/>
        <w:rPr>
          <w:sz w:val="20"/>
          <w:szCs w:val="20"/>
          <w:color w:val="auto"/>
        </w:rPr>
      </w:pPr>
    </w:p>
    <w:p>
      <w:pPr>
        <w:ind w:left="460" w:right="899" w:firstLine="432"/>
        <w:spacing w:after="0" w:line="259" w:lineRule="auto"/>
        <w:rPr>
          <w:sz w:val="20"/>
          <w:szCs w:val="20"/>
          <w:color w:val="auto"/>
        </w:rPr>
      </w:pPr>
      <w:r>
        <w:rPr>
          <w:rFonts w:ascii="Arial" w:cs="Arial" w:eastAsia="Arial" w:hAnsi="Arial"/>
          <w:sz w:val="18"/>
          <w:szCs w:val="18"/>
          <w:color w:val="auto"/>
        </w:rPr>
        <w:t>Our individual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Core Bundled Solution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Agrify Vertical Farming Unit (AVFU)</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believe our proprietary Agrify Vertical Farming Unit (AVFU) technology is the only product in the market that offers a modular, compartmentalized micro-climate growing system for indoor vertical farming. Our AVFU system is designed for large-state and multi-state operators who are looking to produce higher-quality crops consistently at scale, and the ideal facility size that we target in our sales process ranges from 20,000 square feet to 50,000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102870</wp:posOffset>
            </wp:positionV>
            <wp:extent cx="4834890" cy="3188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83489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AVFU</w:t>
      </w:r>
    </w:p>
    <w:p>
      <w:pPr>
        <w:spacing w:after="0" w:line="148" w:lineRule="exact"/>
        <w:rPr>
          <w:sz w:val="20"/>
          <w:szCs w:val="20"/>
          <w:color w:val="auto"/>
        </w:rPr>
      </w:pPr>
    </w:p>
    <w:p>
      <w:pPr>
        <w:jc w:val="both"/>
        <w:ind w:left="460" w:right="739" w:firstLine="432"/>
        <w:spacing w:after="0" w:line="286" w:lineRule="auto"/>
        <w:rPr>
          <w:sz w:val="20"/>
          <w:szCs w:val="20"/>
          <w:color w:val="auto"/>
        </w:rPr>
      </w:pPr>
      <w:r>
        <w:rPr>
          <w:rFonts w:ascii="Arial" w:cs="Arial" w:eastAsia="Arial" w:hAnsi="Arial"/>
          <w:sz w:val="17"/>
          <w:szCs w:val="17"/>
          <w:color w:val="auto"/>
        </w:rPr>
        <w:t>The AVFU is an 8 ft. long x 4 ft. wide x 9.25 ft. tall integrated hardware and software growing system. These units are designed to line up horizontally in rows, and they can be stacked vertically up to 3 units tall, taking advantage of unused indoor vertical space with the below advantages:</w:t>
      </w:r>
    </w:p>
    <w:p>
      <w:pPr>
        <w:spacing w:after="0" w:line="98" w:lineRule="exact"/>
        <w:rPr>
          <w:sz w:val="20"/>
          <w:szCs w:val="20"/>
          <w:color w:val="auto"/>
        </w:rPr>
      </w:pPr>
    </w:p>
    <w:p>
      <w:pPr>
        <w:ind w:left="1320" w:right="499" w:hanging="434"/>
        <w:spacing w:after="0" w:line="286" w:lineRule="auto"/>
        <w:tabs>
          <w:tab w:leader="none" w:pos="1311"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Superior Floor Space Utilization. </w:t>
      </w:r>
      <w:r>
        <w:rPr>
          <w:rFonts w:ascii="Arial" w:cs="Arial" w:eastAsia="Arial" w:hAnsi="Arial"/>
          <w:sz w:val="17"/>
          <w:szCs w:val="17"/>
          <w:color w:val="auto"/>
        </w:rPr>
        <w:t>Each AVFU provides two grow rows. Our design introduces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open-room facility design approach to maximize available cultivation floor print while offering superior risk mitigation via individual compartmentalized cultivation chambers.</w:t>
      </w:r>
    </w:p>
    <w:p>
      <w:pPr>
        <w:spacing w:after="0" w:line="97" w:lineRule="exact"/>
        <w:rPr>
          <w:rFonts w:ascii="Arial" w:cs="Arial" w:eastAsia="Arial" w:hAnsi="Arial"/>
          <w:sz w:val="17"/>
          <w:szCs w:val="17"/>
          <w:color w:val="auto"/>
        </w:rPr>
      </w:pPr>
    </w:p>
    <w:p>
      <w:pPr>
        <w:ind w:left="1320" w:right="639" w:hanging="434"/>
        <w:spacing w:after="0" w:line="257" w:lineRule="auto"/>
        <w:tabs>
          <w:tab w:leader="none" w:pos="1311"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Precise Environmental Controls</w:t>
      </w:r>
      <w:r>
        <w:rPr>
          <w:rFonts w:ascii="Arial" w:cs="Arial" w:eastAsia="Arial" w:hAnsi="Arial"/>
          <w:sz w:val="18"/>
          <w:szCs w:val="18"/>
          <w:color w:val="auto"/>
        </w:rPr>
        <w:t>. Each AVFU has an environmental control unit (ECU)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with our proprietary cultivation software, Agrify Insights™. This integration allows for precise control and automation over light photoperiod and intensity, temperature, humidity, vapor pressure deficit (VPD), carbon dioxide, fertigation and irrigation throughout the life cycle of the plants.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19" w:hanging="434"/>
        <w:spacing w:after="0" w:line="263" w:lineRule="auto"/>
        <w:tabs>
          <w:tab w:leader="none" w:pos="1311"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Modular Scalability</w:t>
      </w:r>
      <w:r>
        <w:rPr>
          <w:rFonts w:ascii="Arial" w:cs="Arial" w:eastAsia="Arial" w:hAnsi="Arial"/>
          <w:sz w:val="18"/>
          <w:szCs w:val="18"/>
          <w:color w:val="auto"/>
        </w:rPr>
        <w:t>. The AVFU is designed with proper loading to stack up to 3 units tall,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sextupling production volume over the same footprint. Each unit is designed to easily integrate with a mezzanine catwalk system.</w:t>
      </w:r>
    </w:p>
    <w:p>
      <w:pPr>
        <w:spacing w:after="0" w:line="116" w:lineRule="exact"/>
        <w:rPr>
          <w:rFonts w:ascii="Arial" w:cs="Arial" w:eastAsia="Arial" w:hAnsi="Arial"/>
          <w:sz w:val="18"/>
          <w:szCs w:val="18"/>
          <w:b w:val="1"/>
          <w:bCs w:val="1"/>
          <w:i w:val="1"/>
          <w:iCs w:val="1"/>
          <w:color w:val="auto"/>
        </w:rPr>
      </w:pPr>
    </w:p>
    <w:p>
      <w:pPr>
        <w:ind w:left="1320" w:right="519" w:hanging="434"/>
        <w:spacing w:after="0" w:line="255"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Biosecurity and Risk Mitigation</w:t>
      </w:r>
      <w:r>
        <w:rPr>
          <w:rFonts w:ascii="Arial" w:cs="Arial" w:eastAsia="Arial" w:hAnsi="Arial"/>
          <w:sz w:val="18"/>
          <w:szCs w:val="18"/>
          <w:color w:val="auto"/>
        </w:rPr>
        <w:t>. The AVFU has a motorized curtain on both sides of the unit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enclose the grow area to prevent light-leak 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AVFU can be easily sanitized.</w:t>
      </w:r>
    </w:p>
    <w:p>
      <w:pPr>
        <w:spacing w:after="0" w:line="124" w:lineRule="exact"/>
        <w:rPr>
          <w:rFonts w:ascii="Arial" w:cs="Arial" w:eastAsia="Arial" w:hAnsi="Arial"/>
          <w:sz w:val="18"/>
          <w:szCs w:val="18"/>
          <w:color w:val="auto"/>
        </w:rPr>
      </w:pPr>
    </w:p>
    <w:p>
      <w:pPr>
        <w:ind w:left="1320" w:right="519" w:hanging="434"/>
        <w:spacing w:after="0" w:line="279" w:lineRule="auto"/>
        <w:tabs>
          <w:tab w:leader="none" w:pos="1311"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Worker Safety</w:t>
      </w:r>
      <w:r>
        <w:rPr>
          <w:rFonts w:ascii="Arial" w:cs="Arial" w:eastAsia="Arial" w:hAnsi="Arial"/>
          <w:sz w:val="17"/>
          <w:szCs w:val="17"/>
          <w:color w:val="auto"/>
        </w:rPr>
        <w:t>. The AVFU’s working area is 8 feet tall, allowing easy access to both rows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plants within the unit. As the motorized curtains can be lifted on either side, this also allows efficient ergonomics at arm’s length. Similarly, our Interlight LED technology is dimmed or turned-off when the curtains are raised for a more ambient working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66040</wp:posOffset>
            </wp:positionV>
            <wp:extent cx="2794635" cy="3351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9463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Stacked AVFUs</w:t>
      </w:r>
    </w:p>
    <w:p>
      <w:pPr>
        <w:spacing w:after="0" w:line="162"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To further illustrate the benefit of going with the AVFU infrastructure versus a more traditional indoor cultivation setup with conventional LED lights or conventional HPS lights, we have conducted a comparative analysis internally on an actual 45,082 square foot facility.</w:t>
      </w:r>
    </w:p>
    <w:p>
      <w:pPr>
        <w:spacing w:after="0" w:line="116" w:lineRule="exact"/>
        <w:rPr>
          <w:sz w:val="20"/>
          <w:szCs w:val="20"/>
          <w:color w:val="auto"/>
        </w:rPr>
      </w:pPr>
    </w:p>
    <w:p>
      <w:pPr>
        <w:jc w:val="both"/>
        <w:ind w:left="460" w:right="539" w:firstLine="432"/>
        <w:spacing w:after="0" w:line="301" w:lineRule="auto"/>
        <w:rPr>
          <w:sz w:val="20"/>
          <w:szCs w:val="20"/>
          <w:color w:val="auto"/>
        </w:rPr>
      </w:pPr>
      <w:r>
        <w:rPr>
          <w:rFonts w:ascii="Arial" w:cs="Arial" w:eastAsia="Arial" w:hAnsi="Arial"/>
          <w:sz w:val="16"/>
          <w:szCs w:val="16"/>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66040</wp:posOffset>
            </wp:positionV>
            <wp:extent cx="5143500" cy="37801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with AVFU Setup</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100330</wp:posOffset>
            </wp:positionV>
            <wp:extent cx="4989195" cy="3651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8919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with Traditional Grow Room</w:t>
      </w:r>
    </w:p>
    <w:p>
      <w:pPr>
        <w:spacing w:after="0" w:line="121"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48895</wp:posOffset>
            </wp:positionV>
            <wp:extent cx="4800600" cy="2871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0060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15.</w:t>
      </w:r>
    </w:p>
    <w:p>
      <w:pPr>
        <w:spacing w:after="0" w:line="203" w:lineRule="exact"/>
        <w:rPr>
          <w:rFonts w:ascii="Arial" w:cs="Arial" w:eastAsia="Arial" w:hAnsi="Arial"/>
          <w:sz w:val="16"/>
          <w:szCs w:val="16"/>
          <w:i w:val="1"/>
          <w:iCs w:val="1"/>
          <w:color w:val="auto"/>
        </w:rPr>
      </w:pPr>
    </w:p>
    <w:p>
      <w:pPr>
        <w:ind w:left="4420"/>
        <w:spacing w:after="0"/>
        <w:rPr>
          <w:rFonts w:ascii="Arial" w:cs="Arial" w:eastAsia="Arial" w:hAnsi="Arial"/>
          <w:sz w:val="16"/>
          <w:szCs w:val="16"/>
          <w:i w:val="1"/>
          <w:iCs w:val="1"/>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03" w:lineRule="exact"/>
        <w:rPr>
          <w:sz w:val="20"/>
          <w:szCs w:val="20"/>
          <w:color w:val="auto"/>
        </w:rPr>
      </w:pPr>
    </w:p>
    <w:p>
      <w:pPr>
        <w:jc w:val="both"/>
        <w:ind w:left="460" w:right="579" w:firstLine="432"/>
        <w:spacing w:after="0" w:line="287" w:lineRule="auto"/>
        <w:rPr>
          <w:sz w:val="20"/>
          <w:szCs w:val="20"/>
          <w:color w:val="auto"/>
        </w:rPr>
      </w:pPr>
      <w:r>
        <w:rPr>
          <w:rFonts w:ascii="Arial" w:cs="Arial" w:eastAsia="Arial" w:hAnsi="Arial"/>
          <w:sz w:val="16"/>
          <w:szCs w:val="16"/>
          <w:color w:val="auto"/>
        </w:rPr>
        <w:t>We have also modeled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w:t>
      </w:r>
    </w:p>
    <w:p>
      <w:pPr>
        <w:spacing w:after="0" w:line="2" w:lineRule="exact"/>
        <w:rPr>
          <w:sz w:val="20"/>
          <w:szCs w:val="20"/>
          <w:color w:val="auto"/>
        </w:rPr>
      </w:pPr>
    </w:p>
    <w:p>
      <w:pPr>
        <w:ind w:left="460" w:right="499"/>
        <w:spacing w:after="0" w:line="287" w:lineRule="auto"/>
        <w:rPr>
          <w:sz w:val="20"/>
          <w:szCs w:val="20"/>
          <w:color w:val="auto"/>
        </w:rPr>
      </w:pPr>
      <w:r>
        <w:rPr>
          <w:rFonts w:ascii="Arial" w:cs="Arial" w:eastAsia="Arial" w:hAnsi="Arial"/>
          <w:sz w:val="16"/>
          <w:szCs w:val="16"/>
          <w:color w:val="auto"/>
        </w:rPr>
        <w:t>45,082 square foot facility). However, given the modular and stackable nature of the AVFUs, we are able to help the customer achieve the same canopy square footage with 253 AVFUs in a facility that is only 20,000 square feet, which is less than half the size of the traditional facility. We have included concept drawings for both facilities below. While canopy square footage is basically identical for all of the different cultivation approaches we looked at in this particular simulation, the AVFU setup requires a much smaller and theoretically much less expensive facility, and because the AVFUs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73660</wp:posOffset>
            </wp:positionV>
            <wp:extent cx="5143500" cy="32486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20,000 Square Foot Facility with AVFUs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100330</wp:posOffset>
            </wp:positionV>
            <wp:extent cx="4989195" cy="36601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89195"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45,082 Square Foot Facility with Traditional Grow Room</w:t>
      </w:r>
    </w:p>
    <w:p>
      <w:pPr>
        <w:spacing w:after="0" w:line="121"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48895</wp:posOffset>
            </wp:positionV>
            <wp:extent cx="4800600" cy="28803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80060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15.</w:t>
      </w:r>
    </w:p>
    <w:p>
      <w:pPr>
        <w:spacing w:after="0" w:line="203" w:lineRule="exact"/>
        <w:rPr>
          <w:rFonts w:ascii="Arial" w:cs="Arial" w:eastAsia="Arial" w:hAnsi="Arial"/>
          <w:sz w:val="16"/>
          <w:szCs w:val="16"/>
          <w:i w:val="1"/>
          <w:iCs w:val="1"/>
          <w:color w:val="auto"/>
        </w:rPr>
      </w:pPr>
    </w:p>
    <w:p>
      <w:pPr>
        <w:ind w:left="4420"/>
        <w:spacing w:after="0"/>
        <w:rPr>
          <w:rFonts w:ascii="Arial" w:cs="Arial" w:eastAsia="Arial" w:hAnsi="Arial"/>
          <w:sz w:val="16"/>
          <w:szCs w:val="16"/>
          <w:i w:val="1"/>
          <w:iCs w:val="1"/>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In this case, the estimated total build-out cost for the AVFU facility is approximately $5 million less than the facility with conventional LED lights, but approximately $2.6 million more than the facility with conventional HPS lights. Compared to the facility with conventional LED lights, the AVFU facility is less expensive to build and expected to drive considerably more yield, revenue and EBITDA. Even considering the roughly $2.6 million initial cost savings to build the facility with the conventional HPS lights compared to the AVFU facility, the overall economics still favor the AVFU facility as it should generate over $9 million more in estimated annual revenue and over $10 million more in annual estimated EBITDA, with a slightly faster payback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87630</wp:posOffset>
            </wp:positionV>
            <wp:extent cx="5143500" cy="31115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Facility with AVFUs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Additionally, our LED lights, have shown promising results on their own within a 50,000 square foot facility for one of our leafy green customers. This customer reported that our LED lights allowed them to increase their sellable output for romaine lettuce from approximately 92 pounds per grow board to over 210 pounds per grow board, and the amount of their sellable butter lettuce went from 105 pounds per grow board to over 128 pounds per grow board. We believe this result is typical and can be replicated because the increased crop output was the direct result of increased light output and superior light uniformity. Per watt of electricity in, our LEDs produce more usable photons to drive photosynthesis than incandescent, fluorescent, HID or most LED lights on the market.</w:t>
      </w:r>
    </w:p>
    <w:p>
      <w:pPr>
        <w:spacing w:after="0" w:line="111" w:lineRule="exact"/>
        <w:rPr>
          <w:sz w:val="20"/>
          <w:szCs w:val="20"/>
          <w:color w:val="auto"/>
        </w:rPr>
      </w:pPr>
    </w:p>
    <w:p>
      <w:pPr>
        <w:ind w:left="460" w:right="699" w:firstLine="432"/>
        <w:spacing w:after="0" w:line="301" w:lineRule="auto"/>
        <w:rPr>
          <w:sz w:val="20"/>
          <w:szCs w:val="20"/>
          <w:color w:val="auto"/>
        </w:rPr>
      </w:pPr>
      <w:r>
        <w:rPr>
          <w:rFonts w:ascii="Arial" w:cs="Arial" w:eastAsia="Arial" w:hAnsi="Arial"/>
          <w:sz w:val="16"/>
          <w:szCs w:val="16"/>
          <w:color w:val="auto"/>
        </w:rPr>
        <w:t>Overall, this customer experienced a roughly 28% increase in revenue after only 7 weeks of using our lights. They have also reported a noticeable improvement in the appearance of their end products with their chopped romaine looking fuller and greener when grown under our lights versus the lights of another vendor. Lastly, this customer indicated that they are benefiting from a 1-2 day extension in average shelf life.</w:t>
      </w:r>
    </w:p>
    <w:p>
      <w:pPr>
        <w:spacing w:after="0" w:line="90"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Our premium indoor grow solutions, whether it’s our AVFUs or our LED lights, are designed, engineered and calibrated to drive significant improvements for our customers, who trust us to deliver the type of productivity and quality that was previously unattainable.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Integrated Grow Racks (AIGR)</w:t>
      </w:r>
    </w:p>
    <w:p>
      <w:pPr>
        <w:spacing w:after="0" w:line="162"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We currently offer 2 ft. x 8 ft. indoor agricultural integrated grow racks to supplement the growing process that is occurring within the AVFUs. These racks are differentiated based on the number of integrated shelving tiers within the grow rack system: 2-tier, 4-tier, and 5-tier grow racks. Each shelving tier consists of: Two Agrify Model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311" w:lineRule="auto"/>
        <w:rPr>
          <w:sz w:val="20"/>
          <w:szCs w:val="20"/>
          <w:color w:val="auto"/>
        </w:rPr>
      </w:pPr>
      <w:r>
        <w:rPr>
          <w:rFonts w:ascii="Arial" w:cs="Arial" w:eastAsia="Arial" w:hAnsi="Arial"/>
          <w:sz w:val="16"/>
          <w:szCs w:val="16"/>
          <w:color w:val="auto"/>
        </w:rPr>
        <w:t>W 2 ft. x 4 ft. LED grow lights, hydroponic plumbing, and a drainable basin. Our grow racks have been designed to optimize working conditions, allowing a farm hand/grower to plant, inspect and harvest crops with increased ease. The manufacturer’s suggested retail price on these units ranges from $5,000 to $7,500.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60960</wp:posOffset>
            </wp:positionV>
            <wp:extent cx="2023110" cy="21259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2311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4-Tier Agrify Integrated Grow Rack</w:t>
      </w:r>
    </w:p>
    <w:p>
      <w:pPr>
        <w:spacing w:after="0" w:line="158" w:lineRule="exact"/>
        <w:rPr>
          <w:sz w:val="20"/>
          <w:szCs w:val="20"/>
          <w:color w:val="auto"/>
        </w:rPr>
      </w:pPr>
    </w:p>
    <w:p>
      <w:pPr>
        <w:ind w:left="460" w:right="679" w:firstLine="432"/>
        <w:spacing w:after="0" w:line="255" w:lineRule="auto"/>
        <w:rPr>
          <w:sz w:val="20"/>
          <w:szCs w:val="20"/>
          <w:color w:val="auto"/>
        </w:rPr>
      </w:pPr>
      <w:r>
        <w:rPr>
          <w:rFonts w:ascii="Arial" w:cs="Arial" w:eastAsia="Arial" w:hAnsi="Arial"/>
          <w:sz w:val="18"/>
          <w:szCs w:val="18"/>
          <w:color w:val="auto"/>
        </w:rPr>
        <w:t>The difference between an AIGR and an AVFU is an AIGR is designed as a propagation unit with the intended purpose to support the ongoing need in a facility for new plant stock (i.e. plants to grow). The AIGR will support clones or seedlings for 2-4 weeks while they build a root system and grow into “teenage” (more mature) plants. Once that occurs, the plants will be repotted into a larger container and then transferred to an AVFU where the plants will grow to maturity through their vegetative and flowering phases until the flowers produced are ripe and can be harvested.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Insights™</w:t>
      </w:r>
    </w:p>
    <w:p>
      <w:pPr>
        <w:spacing w:after="0" w:line="14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A key component of our cultivation solution is our proprietary software, Agrify Insights™, which has been developed in-house. A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113"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Agrify Insights™ software is focused around optimizing four key components:</w:t>
      </w:r>
    </w:p>
    <w:p>
      <w:pPr>
        <w:spacing w:after="0" w:line="144" w:lineRule="exact"/>
        <w:rPr>
          <w:sz w:val="20"/>
          <w:szCs w:val="20"/>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Optimization at the plant level;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Optimization at the AVFU unit level;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Optimization at the facility level;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Optimization at the business level.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93" w:lineRule="auto"/>
        <w:rPr>
          <w:sz w:val="20"/>
          <w:szCs w:val="20"/>
          <w:color w:val="auto"/>
        </w:rPr>
      </w:pPr>
      <w:r>
        <w:rPr>
          <w:rFonts w:ascii="Arial" w:cs="Arial" w:eastAsia="Arial" w:hAnsi="Arial"/>
          <w:sz w:val="16"/>
          <w:szCs w:val="16"/>
          <w:color w:val="auto"/>
        </w:rPr>
        <w:t>When these key components are combined, they encompass the cultivation operations of an Agrify customer. By reducing human error, providing insights through data collection and analysis, Agrify Insights™ minimizes risk and increases operational efficiencies. Ultimately, our customers are seeking to produce the same consistent end product no matter where they are located. Through our technology grow platform, we enable our customers to have the ability to create brands that are identifiable by taste, look and smell no different than any other consumer product company that provides a branded food or drink product.</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Plant Level Optimization</w:t>
      </w:r>
    </w:p>
    <w:p>
      <w:pPr>
        <w:spacing w:after="0" w:line="15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recoding over 1.5 million data points per AVFU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adjusting the ratio of blue to red light can enhance the production of certain aromatic chemical compounds,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AVFUs that are set to mimic the climate of different geographies to see where the varieties are suited to grow.</w:t>
      </w:r>
    </w:p>
    <w:p>
      <w:pPr>
        <w:spacing w:after="0" w:line="119"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Our “Grow Plans” are the templates or recipes that define the parameters for each lifecycle. Grow Plans define the environmental settings (light - photoperiod and intensity/ temp / humidity / VPD / CO2 / irrigation / fertilization) for each crop variety and cultivator as well as the schedule for completing, as applicable, “plant-touching” tasks such as bottoming, pruning, and harvest. Agrify Insights™ ships to the customer with many pre-developed Grow Plans and customers can create their own particular Grow Plans, electing to share them with other customers or not.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Individual AVFU Level Optimization</w:t>
      </w:r>
    </w:p>
    <w:p>
      <w:pPr>
        <w:spacing w:after="0" w:line="144" w:lineRule="exact"/>
        <w:rPr>
          <w:sz w:val="20"/>
          <w:szCs w:val="20"/>
          <w:color w:val="auto"/>
        </w:rPr>
      </w:pPr>
    </w:p>
    <w:p>
      <w:pPr>
        <w:ind w:left="460" w:right="999" w:firstLine="432"/>
        <w:spacing w:after="0" w:line="342" w:lineRule="auto"/>
        <w:rPr>
          <w:sz w:val="20"/>
          <w:szCs w:val="20"/>
          <w:color w:val="auto"/>
        </w:rPr>
      </w:pPr>
      <w:r>
        <w:rPr>
          <w:rFonts w:ascii="Arial" w:cs="Arial" w:eastAsia="Arial" w:hAnsi="Arial"/>
          <w:sz w:val="16"/>
          <w:szCs w:val="16"/>
          <w:color w:val="auto"/>
        </w:rPr>
        <w:t>Our AVFU hardware provides cultivation environmental control within the growth chamber. This hardware and its component valves, motors and sensors are directed and controlled by Agrify Insights™.</w:t>
      </w:r>
    </w:p>
    <w:p>
      <w:pPr>
        <w:spacing w:after="0" w:line="56" w:lineRule="exact"/>
        <w:rPr>
          <w:sz w:val="20"/>
          <w:szCs w:val="20"/>
          <w:color w:val="auto"/>
        </w:rPr>
      </w:pPr>
    </w:p>
    <w:p>
      <w:pPr>
        <w:ind w:left="1320" w:right="679" w:hanging="434"/>
        <w:spacing w:after="0" w:line="263"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Monitor and Control Agrify Hardware. </w:t>
      </w:r>
      <w:r>
        <w:rPr>
          <w:rFonts w:ascii="Arial" w:cs="Arial" w:eastAsia="Arial" w:hAnsi="Arial"/>
          <w:sz w:val="18"/>
          <w:szCs w:val="18"/>
          <w:color w:val="auto"/>
        </w:rPr>
        <w:t>Agrify Insights™ can either automatically or manually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our hardware. For example, the water-chilled fan coil can keep temperature in a range accurate to 1.5 degrees Fahrenheit.</w:t>
      </w:r>
    </w:p>
    <w:p>
      <w:pPr>
        <w:spacing w:after="0" w:line="116" w:lineRule="exact"/>
        <w:rPr>
          <w:rFonts w:ascii="Arial" w:cs="Arial" w:eastAsia="Arial" w:hAnsi="Arial"/>
          <w:sz w:val="18"/>
          <w:szCs w:val="18"/>
          <w:color w:val="auto"/>
        </w:rPr>
      </w:pPr>
    </w:p>
    <w:p>
      <w:pPr>
        <w:ind w:left="1320" w:right="459" w:hanging="434"/>
        <w:spacing w:after="0" w:line="289" w:lineRule="auto"/>
        <w:tabs>
          <w:tab w:leader="none" w:pos="1311"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Cultivation Environmental Control</w:t>
      </w:r>
      <w:r>
        <w:rPr>
          <w:rFonts w:ascii="Arial" w:cs="Arial" w:eastAsia="Arial" w:hAnsi="Arial"/>
          <w:sz w:val="16"/>
          <w:szCs w:val="16"/>
          <w:color w:val="auto"/>
        </w:rPr>
        <w:t>. Using Agrify Insights™, users can view environmental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charts that plot temperature, humidity, carbon dioxide and vapor pressure deficit (or VPD)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one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and why.</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Facility Level Optimization</w:t>
      </w:r>
    </w:p>
    <w:p>
      <w:pPr>
        <w:spacing w:after="0" w:line="144"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Our modular AVFUs are deployed in scale at a customer’s facility with the smallest deployment to date being 63 AVFUs. Agrify Insights™ is designed to operate these individual AVFUs as a combined facility. Agrify Insights™ features at the facility level include:</w:t>
      </w:r>
    </w:p>
    <w:p>
      <w:pPr>
        <w:spacing w:after="0" w:line="116" w:lineRule="exact"/>
        <w:rPr>
          <w:sz w:val="20"/>
          <w:szCs w:val="20"/>
          <w:color w:val="auto"/>
        </w:rPr>
      </w:pPr>
    </w:p>
    <w:p>
      <w:pPr>
        <w:ind w:left="1320" w:right="499" w:hanging="434"/>
        <w:spacing w:after="0" w:line="255" w:lineRule="auto"/>
        <w:tabs>
          <w:tab w:leader="none" w:pos="1311"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Production Planning</w:t>
      </w:r>
      <w:r>
        <w:rPr>
          <w:rFonts w:ascii="Arial" w:cs="Arial" w:eastAsia="Arial" w:hAnsi="Arial"/>
          <w:sz w:val="18"/>
          <w:szCs w:val="18"/>
          <w:color w:val="auto"/>
        </w:rPr>
        <w:t>. The production planning feature is designed to maximize a facility’s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utilization by executing a “best-fit” scheduling 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9" w:name="page80"/>
    <w:bookmarkEnd w:id="7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99" w:hanging="434"/>
        <w:spacing w:after="0" w:line="259" w:lineRule="auto"/>
        <w:tabs>
          <w:tab w:leader="none" w:pos="1311"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Workforce Management. </w:t>
      </w:r>
      <w:r>
        <w:rPr>
          <w:rFonts w:ascii="Arial" w:cs="Arial" w:eastAsia="Arial" w:hAnsi="Arial"/>
          <w:sz w:val="18"/>
          <w:szCs w:val="18"/>
          <w:color w:val="auto"/>
        </w:rPr>
        <w:t>Agrify Insights™ includes a workforce planning feature to assign tasks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staff. These tasks can be automatically assigned based on user role or their knowledge, skills, and abilities. The calendar displays the estimated amount of time required to complete plant-touching tasks on any given day.</w:t>
      </w:r>
    </w:p>
    <w:p>
      <w:pPr>
        <w:spacing w:after="0" w:line="119" w:lineRule="exact"/>
        <w:rPr>
          <w:rFonts w:ascii="Arial" w:cs="Arial" w:eastAsia="Arial" w:hAnsi="Arial"/>
          <w:sz w:val="18"/>
          <w:szCs w:val="18"/>
          <w:b w:val="1"/>
          <w:bCs w:val="1"/>
          <w:i w:val="1"/>
          <w:iCs w:val="1"/>
          <w:color w:val="auto"/>
        </w:rPr>
      </w:pPr>
    </w:p>
    <w:p>
      <w:pPr>
        <w:ind w:left="1320" w:right="579" w:hanging="434"/>
        <w:spacing w:after="0" w:line="259"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Automatic Notification System. </w:t>
      </w:r>
      <w:r>
        <w:rPr>
          <w:rFonts w:ascii="Arial" w:cs="Arial" w:eastAsia="Arial" w:hAnsi="Arial"/>
          <w:sz w:val="18"/>
          <w:szCs w:val="18"/>
          <w:color w:val="auto"/>
        </w:rPr>
        <w:t>Users can select to subscribe to anomalous events, and users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notified in the order in which they are listed. If a user does not acknowledge the notification within the specified time frame, the next user in the list is notified, providing the business with 24/7 monitoring and notifications.</w:t>
      </w:r>
    </w:p>
    <w:p>
      <w:pPr>
        <w:spacing w:after="0" w:line="119" w:lineRule="exact"/>
        <w:rPr>
          <w:rFonts w:ascii="Arial" w:cs="Arial" w:eastAsia="Arial" w:hAnsi="Arial"/>
          <w:sz w:val="18"/>
          <w:szCs w:val="18"/>
          <w:color w:val="auto"/>
        </w:rPr>
      </w:pPr>
    </w:p>
    <w:p>
      <w:pPr>
        <w:ind w:left="1320" w:right="659" w:hanging="434"/>
        <w:spacing w:after="0" w:line="308" w:lineRule="auto"/>
        <w:tabs>
          <w:tab w:leader="none" w:pos="1311"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Preventative Maintenance</w:t>
      </w:r>
      <w:r>
        <w:rPr>
          <w:rFonts w:ascii="Arial" w:cs="Arial" w:eastAsia="Arial" w:hAnsi="Arial"/>
          <w:sz w:val="17"/>
          <w:szCs w:val="17"/>
          <w:color w:val="auto"/>
        </w:rPr>
        <w:t>. Our equipment and facility preventative maintenance schedules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tasks are contained, tracked and monitored within Agrify Insights™.</w:t>
      </w:r>
    </w:p>
    <w:p>
      <w:pPr>
        <w:spacing w:after="0" w:line="65" w:lineRule="exact"/>
        <w:rPr>
          <w:rFonts w:ascii="Arial" w:cs="Arial" w:eastAsia="Arial" w:hAnsi="Arial"/>
          <w:sz w:val="17"/>
          <w:szCs w:val="17"/>
          <w:color w:val="auto"/>
        </w:rPr>
      </w:pPr>
    </w:p>
    <w:p>
      <w:pPr>
        <w:ind w:left="1320" w:right="67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Facility Infrastructure Controls</w:t>
      </w:r>
      <w:r>
        <w:rPr>
          <w:rFonts w:ascii="Arial" w:cs="Arial" w:eastAsia="Arial" w:hAnsi="Arial"/>
          <w:sz w:val="18"/>
          <w:szCs w:val="18"/>
          <w:color w:val="auto"/>
        </w:rPr>
        <w:t>. Agrify Insights™ controls the irrigation on a facility level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connects with the water chilled HVAC system and ambient lighting system, providing our customers a central piece of software for facility management.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Optimization at the Business Level</w:t>
      </w:r>
    </w:p>
    <w:p>
      <w:pPr>
        <w:spacing w:after="0" w:line="15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16" w:lineRule="exact"/>
        <w:rPr>
          <w:sz w:val="20"/>
          <w:szCs w:val="20"/>
          <w:color w:val="auto"/>
        </w:rPr>
      </w:pPr>
    </w:p>
    <w:p>
      <w:pPr>
        <w:ind w:left="1320" w:right="559" w:hanging="434"/>
        <w:spacing w:after="0" w:line="259"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Consumables Procurement Integration</w:t>
      </w:r>
      <w:r>
        <w:rPr>
          <w:rFonts w:ascii="Arial" w:cs="Arial" w:eastAsia="Arial" w:hAnsi="Arial"/>
          <w:sz w:val="18"/>
          <w:szCs w:val="18"/>
          <w:color w:val="auto"/>
        </w:rPr>
        <w:t>. Each task can also be assigned a set of consumables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whose inventory will be reduced when the task is started. This feature can help customers manage supply levels and can automatically create and submit purchase orders so that they never run out of required supplies.</w:t>
      </w:r>
    </w:p>
    <w:p>
      <w:pPr>
        <w:spacing w:after="0" w:line="105" w:lineRule="exact"/>
        <w:rPr>
          <w:rFonts w:ascii="Arial" w:cs="Arial" w:eastAsia="Arial" w:hAnsi="Arial"/>
          <w:sz w:val="18"/>
          <w:szCs w:val="18"/>
          <w:color w:val="auto"/>
        </w:rPr>
      </w:pPr>
    </w:p>
    <w:p>
      <w:pPr>
        <w:ind w:left="1320" w:right="479" w:hanging="434"/>
        <w:spacing w:after="0" w:line="311" w:lineRule="auto"/>
        <w:tabs>
          <w:tab w:leader="none" w:pos="1311"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Online SOPs and Safety Datasheets. </w:t>
      </w:r>
      <w:r>
        <w:rPr>
          <w:rFonts w:ascii="Arial" w:cs="Arial" w:eastAsia="Arial" w:hAnsi="Arial"/>
          <w:sz w:val="16"/>
          <w:szCs w:val="16"/>
          <w:color w:val="auto"/>
        </w:rPr>
        <w:t>Agrify Insights™ hosts digital copies of our included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Operating Procedures and datasheets, or users can upload their own via our content management system, ensuring that the most recent version of SOPs and forms are available to users.</w:t>
      </w:r>
    </w:p>
    <w:p>
      <w:pPr>
        <w:spacing w:after="0" w:line="81" w:lineRule="exact"/>
        <w:rPr>
          <w:rFonts w:ascii="Arial" w:cs="Arial" w:eastAsia="Arial" w:hAnsi="Arial"/>
          <w:sz w:val="16"/>
          <w:szCs w:val="16"/>
          <w:color w:val="auto"/>
        </w:rPr>
      </w:pPr>
    </w:p>
    <w:p>
      <w:pPr>
        <w:ind w:left="1320" w:right="579" w:hanging="434"/>
        <w:spacing w:after="0" w:line="255"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Roles-Based Dashboards. </w:t>
      </w:r>
      <w:r>
        <w:rPr>
          <w:rFonts w:ascii="Arial" w:cs="Arial" w:eastAsia="Arial" w:hAnsi="Arial"/>
          <w:sz w:val="18"/>
          <w:szCs w:val="18"/>
          <w:color w:val="auto"/>
        </w:rPr>
        <w:t>Ability to obtain access to information specifically suited to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workforce’s various needs. Facility owners have access to high-level information about crop yields and equipment usage in an easy to 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24" w:lineRule="exact"/>
        <w:rPr>
          <w:rFonts w:ascii="Arial" w:cs="Arial" w:eastAsia="Arial" w:hAnsi="Arial"/>
          <w:sz w:val="18"/>
          <w:szCs w:val="18"/>
          <w:color w:val="auto"/>
        </w:rPr>
      </w:pPr>
    </w:p>
    <w:p>
      <w:pPr>
        <w:ind w:left="1320" w:right="459" w:hanging="434"/>
        <w:spacing w:after="0" w:line="259"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Collection. </w:t>
      </w:r>
      <w:r>
        <w:rPr>
          <w:rFonts w:ascii="Arial" w:cs="Arial" w:eastAsia="Arial" w:hAnsi="Arial"/>
          <w:sz w:val="18"/>
          <w:szCs w:val="18"/>
          <w:color w:val="auto"/>
        </w:rPr>
        <w:t>Agrify Insights™ is a centralized repository for all data relating to the cultivation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aspects of our clients’ business, including research and development testing data, and the ability to capture and compare test results. By doing so, Agrify Insights™ becomes a customers’ cultivation statement of record.</w:t>
      </w:r>
    </w:p>
    <w:p>
      <w:pPr>
        <w:spacing w:after="0" w:line="105" w:lineRule="exact"/>
        <w:rPr>
          <w:rFonts w:ascii="Arial" w:cs="Arial" w:eastAsia="Arial" w:hAnsi="Arial"/>
          <w:sz w:val="18"/>
          <w:szCs w:val="18"/>
          <w:color w:val="auto"/>
        </w:rPr>
      </w:pPr>
    </w:p>
    <w:p>
      <w:pPr>
        <w:ind w:left="1320" w:right="639" w:hanging="434"/>
        <w:spacing w:after="0" w:line="311" w:lineRule="auto"/>
        <w:tabs>
          <w:tab w:leader="none" w:pos="1311"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Regulatory Reporting Integration. </w:t>
      </w:r>
      <w:r>
        <w:rPr>
          <w:rFonts w:ascii="Arial" w:cs="Arial" w:eastAsia="Arial" w:hAnsi="Arial"/>
          <w:sz w:val="16"/>
          <w:szCs w:val="16"/>
          <w:color w:val="auto"/>
        </w:rPr>
        <w:t>We have commenced working to integrate Agrify Insights™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Metrc, a leading seed-to-sale integration, enabling customers to do regulatory reporting through the software. The integration is expected to be completed before the end of 2020.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Product Offerings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Bluezone Model 420 — Air Cleaning System</w:t>
      </w:r>
    </w:p>
    <w:p>
      <w:pPr>
        <w:spacing w:after="0" w:line="158"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Destructive impact from pathogens is a major issue for our customers and their industry. The Bluezone Model 420 is a U.S. military tested and fielded air purification system that kills and removes airborne pathogens such as powdery mildew, botrytis, and other highly infectious bacteria from indoor grow rooms and produce storage. Such interferences can drastically interrupt businesses’ supply chains, leading to lost time and revenue.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100330</wp:posOffset>
            </wp:positionV>
            <wp:extent cx="2245995" cy="17487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4599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Bluezone Model 420</w:t>
      </w:r>
    </w:p>
    <w:p>
      <w:pPr>
        <w:spacing w:after="0" w:line="135"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Each unit covers 15,000 cubic feet or air volume. The unit draws air into a self-contained reaction chamber and kills contaminants with ultraviolet-enhanced oxidation, and chemicals are broken down so that the air circulating through the Bluezone comes out clean and safe. Bluezone is California Air Resources Board (CARB) Certified for ozone emissions, as ozone is kept inside the Bluezone reaction chamber. Bluezone is also ETL Safety Certified and NSF Sanitation Certified. The MSRP for the Bluezone Model 420 is $4,500.</w:t>
      </w:r>
    </w:p>
    <w:p>
      <w:pPr>
        <w:spacing w:after="0" w:line="80"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We are the exclusive distributor for the Bluezone Model 420 for the indoor agriculture market worldwide. Under our distribution agreement with Bluezone Products, Inc.,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Guichao Hua, a member of our board of directors, has an ownership interest in Bluezone of approximately 3%. Raymond Chang, our Chairman of the Board and Chief Executive Officer, has an ownership interest in Bluezone of approximately 8%. Mr. Chang is also a director of Bluezone. To date, we have generated limited revenue from sales of Bluezone products.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Enozo — Pesticide-Free Surface Protection</w:t>
      </w:r>
    </w:p>
    <w:p>
      <w:pPr>
        <w:spacing w:after="0" w:line="131"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The Enozo spray bottle offers a water-based alternative to traditional cleaners, deodorizers, and sanitizers. This surface cleaning solution uses ozonated water to kill 99.9% of bacteria like E. coli and Salmonella in only 30 seconds. Aqueous ozone (AO) is a very powerful sanitizer produced in controlled concentrations (below OSHA PEL and STEL requirements) and contains no harsh chemicals, fragrances or dyes. This technology is designed to help reduce workplace illnesses and hazards like irritated skin and allergic reactions, while protecting indoor air quality and physical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70485</wp:posOffset>
            </wp:positionV>
            <wp:extent cx="1200150" cy="16541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Enozo Spray Bottle</w:t>
      </w:r>
    </w:p>
    <w:p>
      <w:pPr>
        <w:spacing w:after="0" w:line="148"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Enozo dispenses at least 10 full reservoirs (one gallon) of aqueous ozone sanitizing solution per charge, lasting 5,000 refills over the unit’s battery life. This eliminates the need to buy hundreds of plastic, one-time use bottles of cleaners. Enozo is registered by the U.S. Environmental Protection Agency for public health use. The manufactuerer’s suggested retail price for the Enozo spray bottle is $499.</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have rights to sell Enozo products pursuant to a distribution agreement between us and Enozo Technologies Inc. The distribution agreement is for an initial term of five years with auto renewal for successive one year periods unless earlier terminated. The agreement requires us to make the following minimum purchases to retain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To date, we have not generated meaningful revenue from sales of Enozo products.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Horticultural Lights</w:t>
      </w:r>
    </w:p>
    <w:p>
      <w:pPr>
        <w:spacing w:after="0" w:line="15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We believe our LEDs are the most advanced horticulture grow lights on the market offering advanced cultivators maximum spectrum adjustment with dimming of light intensity that are essential to custom craft a harvest. By partnering with us, growers will experience industry-leading LED grow lighting technology, outperforming traditional cultivators using other lighting alternatives. Our LED technology has helped our customers qualify for substantial energy rebates from their utility providers, with one customer receiving nearly a half a million-dollar rebate using our LED solutions.</w:t>
      </w:r>
    </w:p>
    <w:p>
      <w:pPr>
        <w:spacing w:after="0" w:line="125"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Our horticulture lighting is a high-performance, adjustable spectrum LED grow lighting solution for commercial horticulture cultivation, with the flexibility and lighting intensity to scale from vegetative growth phase to higher light needs in bloom phase. Full independent spectrum dimming offers growers increased level of control and experimentation to perfect their grow recipes. Our LED grow lights have passed the most stringent third-party accredited testing. These lights retail for between $249 and $999 depending on the model and specs.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Agrify-Valiant Joint Venture</w:t>
      </w:r>
    </w:p>
    <w:p>
      <w:pPr>
        <w:spacing w:after="0" w:line="14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In December 2019, we established Agrify-Valiant, LLC as a joint venture with Valiant-America. Valiant-America is experienced in consulting and general contracting of a wide range of industrial facilities, but it has a particular specialization and expertise in the development of indoor farming facilities. Valiant’s qualified professionals possess a deep working knowledge of our grow systems and how to integrate our offerings when developing cultivation facilities.</w:t>
      </w:r>
    </w:p>
    <w:p>
      <w:pPr>
        <w:spacing w:after="0" w:line="120"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Given that many of our customers are either new entrants to the market or companies in expansion mode, it became obvious to us that the majority of them need many services other than just equipment and software, including architectural, engineering, construction and installation services, which we are able to now offer through our joint venture with Valiant-America. The Agrify-Valiant joint venture complements our offering and provides our clients with an end-to-end turnkey solution. We believe being able to provide a full suite of technology products and services to these customers helps to embed us with these customers and enables us to become mission critical to their operations.</w:t>
      </w:r>
    </w:p>
    <w:p>
      <w:pPr>
        <w:spacing w:after="0" w:line="11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Through this strategic and synergistic partnership, we are able to offer our customers relevant value-added services related to architectural, engineering, construction and installation needs, and we are also able to derive significant revenues from the indoor agriculture deals that close under the auspices of this joint venture. Given that we are a majority 60% owner of, and control, the Agrify-Valiant, LLC, we consolidate 100% of the revenues that go through the joint venture, and we recognize 60% of all net profits. Revenue from Agrify-Valiant is recognized after the agreed upon work has been completed. Pursuant to the operating agreement of Agrify-Valiant, at any time between the second and fifth anniversary of this offering, we have the right to “call” Valiant’s 40% equity interest from Valiant, and Valiant has the right to “put” its 40% equity interest to us. The consideration for the equity purchased pursuant to this right shall be paid in shares of our common stock based on a formula taking into account at the time of exercise the fair market value of our common stock, as well as our gross sales and net earnings.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Equipment Financing</w:t>
      </w:r>
    </w:p>
    <w:p>
      <w:pPr>
        <w:spacing w:after="0" w:line="14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recognize that many new cultivators face particular capital and time constraints, and we also recognize that the initial cost of our equipment can be a deterrent for some. We solve this problem by offering equipment financing plans for select good credit customers, which we believe further enables us to become a vendor of choice. While we proactively show our prospects that the strong and immediate return on investment derived from Agrify solutions</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2" w:name="page83"/>
    <w:bookmarkEnd w:id="8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57" w:lineRule="auto"/>
        <w:rPr>
          <w:sz w:val="20"/>
          <w:szCs w:val="20"/>
          <w:color w:val="auto"/>
        </w:rPr>
      </w:pPr>
      <w:r>
        <w:rPr>
          <w:rFonts w:ascii="Arial" w:cs="Arial" w:eastAsia="Arial" w:hAnsi="Arial"/>
          <w:sz w:val="18"/>
          <w:szCs w:val="18"/>
          <w:color w:val="auto"/>
        </w:rPr>
        <w:t>will more than make up for associated start-up costs, we wanted to do even more to support our prospective customers, which is why we unveiled an equipment financing program to help remove this final barrier to entry for otherwise excited cultivators. This requires participating credit-worthy customers to pay a substantial down payment, typically between 30% and 50% of the purchase price, with the balance financed over two years, with interest, under commercially reasonable terms.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Landscape</w:t>
      </w:r>
    </w:p>
    <w:p>
      <w:pPr>
        <w:spacing w:after="0" w:line="162"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We believe our full suite of product offerings form an unmatched ecosystem for indoor growing. At this time, our Agrify Vertical Farming Unit, our overall bundled solution and our engineering/installation services are highly differentiated from anything else on the market so in one sense we do not have any direct competitors who offer the same type of comprehensive value proposition and single-source benefit.</w:t>
      </w:r>
    </w:p>
    <w:p>
      <w:pPr>
        <w:spacing w:after="0" w:line="10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At the same time, our customers are actively being approached by a variety of companies who do offer compelling standalone products and services so we recognize that our customers do have choices and alternatives, and they also need to factor in opportunity cost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spacing w:after="0" w:line="79" w:lineRule="exact"/>
        <w:rPr>
          <w:sz w:val="20"/>
          <w:szCs w:val="20"/>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Semi-Integrated Vertical Cultivation Systems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Sprout AI</w:t>
      </w:r>
    </w:p>
    <w:p>
      <w:pPr>
        <w:spacing w:after="0" w:line="161" w:lineRule="exact"/>
        <w:rPr>
          <w:rFonts w:ascii="Arial" w:cs="Arial" w:eastAsia="Arial" w:hAnsi="Arial"/>
          <w:sz w:val="18"/>
          <w:szCs w:val="18"/>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Aeroponic Systems </w:t>
      </w:r>
      <w:r>
        <w:rPr>
          <w:rFonts w:ascii="Arial" w:cs="Arial" w:eastAsia="Arial" w:hAnsi="Arial"/>
          <w:sz w:val="18"/>
          <w:szCs w:val="18"/>
          <w:color w:val="auto"/>
        </w:rPr>
        <w:t>— AEssenceGrows and Thrive Growing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Horticultural Lighting </w:t>
      </w:r>
      <w:r>
        <w:rPr>
          <w:rFonts w:ascii="Arial" w:cs="Arial" w:eastAsia="Arial" w:hAnsi="Arial"/>
          <w:sz w:val="18"/>
          <w:szCs w:val="18"/>
          <w:color w:val="auto"/>
        </w:rPr>
        <w:t>— Gavita, Fluence, VividGro, and Heliospectra</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Threat Mitigation Solutions </w:t>
      </w:r>
      <w:r>
        <w:rPr>
          <w:rFonts w:ascii="Arial" w:cs="Arial" w:eastAsia="Arial" w:hAnsi="Arial"/>
          <w:sz w:val="18"/>
          <w:szCs w:val="18"/>
          <w:color w:val="auto"/>
        </w:rPr>
        <w:t>— Element Air and Tersano</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Monitoring Software </w:t>
      </w:r>
      <w:r>
        <w:rPr>
          <w:rFonts w:ascii="Arial" w:cs="Arial" w:eastAsia="Arial" w:hAnsi="Arial"/>
          <w:sz w:val="18"/>
          <w:szCs w:val="18"/>
          <w:color w:val="auto"/>
        </w:rPr>
        <w:t>— Grownetics and Trym</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Cultivation Software </w:t>
      </w:r>
      <w:r>
        <w:rPr>
          <w:rFonts w:ascii="Arial" w:cs="Arial" w:eastAsia="Arial" w:hAnsi="Arial"/>
          <w:sz w:val="18"/>
          <w:szCs w:val="18"/>
          <w:color w:val="auto"/>
        </w:rPr>
        <w:t>— Quantum Leaf and Flourish</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Vertical Cultivation Racking Systems </w:t>
      </w:r>
      <w:r>
        <w:rPr>
          <w:rFonts w:ascii="Arial" w:cs="Arial" w:eastAsia="Arial" w:hAnsi="Arial"/>
          <w:sz w:val="18"/>
          <w:szCs w:val="18"/>
          <w:color w:val="auto"/>
        </w:rPr>
        <w:t>— Pipp Horticulture and Montel</w:t>
      </w:r>
    </w:p>
    <w:p>
      <w:pPr>
        <w:spacing w:after="0" w:line="158"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it’s our ability to offer an unrivaled level of precision through a total end-to-end turnkey solution that sets us apart from existing competitors and potential new market entrants.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Customers</w:t>
      </w:r>
    </w:p>
    <w:p>
      <w:pPr>
        <w:spacing w:after="0" w:line="16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primarily market and sell our products to newly licensed, well-funded producers in a single market as well as multi-state operators. Our customers choose us for a number of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 and also provides consistent standard operating procedures across different facilities, helping every facility to achieve the highest GMP standards. Our ability to provide a “one-stop shop” experience allows us to be the preferred vendor to many of these customers by streamlining their entry into or expansion of their cultivation capabilities. In addition, we believe our customers find great value in the advice and recommendations provided by our knowledgeable sales and service associates, which further increases demand for our products.</w:t>
      </w:r>
    </w:p>
    <w:p>
      <w:pPr>
        <w:spacing w:after="0" w:line="10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of the data that we are collecting from our existing customer base to make continuous improvements to our offerings and better serve our current and new customers in the future.</w:t>
      </w:r>
    </w:p>
    <w:p>
      <w:pPr>
        <w:spacing w:after="0" w:line="125"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To date, we have customers in the following states: Nevada, Colorado, Washington, Michigan, Minnesota, Rhode Island, Massachusetts and Illinois. We also have a customer in Oman.</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3" w:name="page84"/>
    <w:bookmarkEnd w:id="8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As for our enterprise-level business, we currently have 1,526 AVFUs deployed and/or booked, and all of them will be powered by Agrify Insights™. Our existing active deployments cover approximately 75,000 square feet of facility space, and that number is expected to grow significantly once we go live with some of our newer customers and once we are able to close more deals from our $105 million qualified pipeline.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Growth Strategy</w:t>
      </w:r>
    </w:p>
    <w:p>
      <w:pPr>
        <w:spacing w:after="0" w:line="162"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We have developed a multi-pronged growth strategy as described below to help us capitalize on the sizable opportunity at hand. Through methodical sales and marketing efforts, our joint venture with Valiant-America, scale-up manufacturing, and equipment financing, we believe we have implemented several key initiatives we can use to grow our business more effectively. We also intend to opportunistically pursue the strategies described below to continue our upward trajectory and enhance shareholder value. We believe we have made significant progress in 2020 in the form of $66.8 million in new bookings, and we expect this amount to increase based on the strength of the opportunities in our qualified pipeline. We believe our revenues will be enhanced by the many improvements we have made and the growth strategy we have started to implement since Raymond Chang (our Chairman of the Board and Chief Executive Officer) and Guichao Hua (a member of our board of directors) purchased a controlling interest in our company in 2019 and rebranded us as Agrify. Specifically, 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Rigorous Sales Process and Strong Infrastructure in Place to Enable Revenue Growth</w:t>
      </w:r>
    </w:p>
    <w:p>
      <w:pPr>
        <w:spacing w:after="0" w:line="15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We utilize a rigorous Sandler Training sales process to evaluate potential new opportunities and then advance vetted prospects through the different phases of our qualified pipeline. The Sandler Training sales process is a sales process that was originally developed in 1967 by David Sandler as a conscious departure from more traditional sales methods that often relied on pushy and aggressive tactics. The Sandler Training sales process, which is based on the psychology of human behavior, is consistent with the values and culture we have chosen to implement at Agrify, and consequently our salespeople spend most of their time building relationships and qualifying opportunities in order to make closing new business more streamlined, collaborative and organic in nature. There are specific requirements, milestones, and events that we have identified along the sales process that must be met to move prospects through the different parts of the buyer journey in order to convert them from vetted opportunities into committed sales orders within a 12-month period. At each phase of the pipeline, a prospect opportunity is assigned a probability value for closing, providing management production forecast ability. We are diligent in making sure that we are engaging in conversations with well-funded entities that are in good standing with any licensing requirements that they face (or entities that are at least on the cusp of being viable candidates for our grow solutions). We also take into account infrastructure, facility readiness and the presence of key personnel.</w:t>
      </w:r>
    </w:p>
    <w:p>
      <w:pPr>
        <w:spacing w:after="0" w:line="101" w:lineRule="exact"/>
        <w:rPr>
          <w:sz w:val="20"/>
          <w:szCs w:val="20"/>
          <w:color w:val="auto"/>
        </w:rPr>
      </w:pPr>
    </w:p>
    <w:p>
      <w:pPr>
        <w:ind w:left="460" w:right="619" w:firstLine="432"/>
        <w:spacing w:after="0" w:line="286" w:lineRule="auto"/>
        <w:rPr>
          <w:sz w:val="20"/>
          <w:szCs w:val="20"/>
          <w:color w:val="auto"/>
        </w:rPr>
      </w:pPr>
      <w:r>
        <w:rPr>
          <w:rFonts w:ascii="Arial" w:cs="Arial" w:eastAsia="Arial" w:hAnsi="Arial"/>
          <w:sz w:val="16"/>
          <w:szCs w:val="16"/>
          <w:color w:val="auto"/>
        </w:rPr>
        <w:t>To date, the results of our sales process have been encouraging as there has been a high level of alignment, accountability and achievement amongst our sales team. As of December 31 2020, our backlog, which consists of purchase orders or purchase commitments, is $59.3 million. We expect to recognize approximately $40 million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 Additionally, four of our last five purchase orders or purchase commitments (all of which were secured during 2020) have been for between $2.3 million and $11.1 million, and we expect that our average contract size will continue to increase over time. Given our emphasis on large scale high-value enterprise sales versus high-volume sales, we believe that we will be able to significantly scale our business in the coming years without needing to drastically increase our headcount. For us, it is all about having the right well-trained, knowledgeable sales team instead of the largest sales team.</w:t>
      </w:r>
    </w:p>
    <w:p>
      <w:pPr>
        <w:spacing w:after="0" w:line="106"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Looking ahead, our sales team is responsible for overseeing nationwide sales and support, and they will drive our expansion into future international markets. Our territory managers work in tandem with our in-house technology solutions and horticultural experts to provide customers a turnkey indoor facility integrated system proposal. Agreements include the equipment being purchased and multi-year SaaS commitments that bring in substantial trailing revenues.</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4" w:name="page85"/>
    <w:bookmarkEnd w:id="8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Marketing Team Aligned with Sales Force to Maximize Our Industry Visibility to Drive Revenue</w:t>
      </w:r>
    </w:p>
    <w:p>
      <w:pPr>
        <w:spacing w:after="0" w:line="144"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Our marketing department works in tandem with our sales and business development representatives to best represent and sell our Agrify “Precision Elevated™” cultivation solution to the indoor agriculture industry. The sales and business development representatives push prospects through a sales funnel, also known as a “buyer’s journey”. A strategic sales model has been developed to create a seamless transition from the initial communication with a prospect through targeted messaging and eventually moving all the way through the funnel. The movement through this funnel is referred to as TOFU/MOFU/BOFU (Top of the Funnel/Middle of the Funnel/Bottom of the Funnel), which is focused on attention, consideration and decision-making, keeping the messaging consistent, the potential buyer engaged, and ultimately leads the prospect to close on a deal.</w:t>
      </w:r>
    </w:p>
    <w:p>
      <w:pPr>
        <w:spacing w:after="0" w:line="98"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Our sales funnel duties are completed using a customer relationship management (CRM) system, which allows us to track, qualify, and report on the ROI of our marketing initiatives. Leads are added into our pipeline funnel predominantly through our digital marketing efforts, including direct marketing, organic social media growth, thought leadership, and demand generation via paid advertisements and press releases.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Direct Marketing</w:t>
      </w:r>
    </w:p>
    <w:p>
      <w:pPr>
        <w:spacing w:after="0" w:line="158"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We capitalize on our direct marketing efforts by utilizing our internal CRM database, as well as the external help of trusted industry databases to target the right audience. Additionally, by taking advantage of our partners’ networks, such as those of Valiant-America, Bluezone, and Enozo, we are able to reach an extensive and reliable list of cultivators and industry professionals. Emails go out on a weekly basis and are subdivided by product focus and state, depending on the campaign. We use A/B testing in our email campaign strategy in order to harness meaningful messages that result in 40% engagement and above average open and click through rates. We are turning impressions into contacts at a rapid rate and have managed to grow our contact list by over 100% in one quarter. We are seeing 20% of these leads become sales qualified and 10% result in an opportunity.</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Social Media and Thought Leadership</w:t>
      </w:r>
    </w:p>
    <w:p>
      <w:pPr>
        <w:spacing w:after="0" w:line="14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Through the creation and promotion of engaging content that positions us as a thought leader, we continue to organically grow our social media audience. We share original video, photography, industry-related articles, and blog content on a consistent basis. By developing strategic partnerships with well-known and respected brands, we are working to better position ourselves with marketing and branding efforts on social. Furthermore, we promote our social media in our communication via email and on our website. We also keep our finger on the pulse of trends and competitors in the market, remaining in-the-know. We have successfully more than doubled our social media presence across all platforms in the first half of 2020 and continue to show improvement in transitioning our social media audience into prospects.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Trade Shows</w:t>
      </w:r>
    </w:p>
    <w:p>
      <w:pPr>
        <w:spacing w:after="0" w:line="14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While digital marketing has been a consistent driver of leads and visibility for Agrify, trade shows related to various indoor agriculture topics have also proven to be highly effective. When attending trade shows, we typically position ourselves front and center, with high-level sponsorships and outstanding booth placement and presentation. Our product and subject matter experts take advantage of speaking opportunities, positioning Agrify as industry thought leaders. We expect to continue to grow our industry presence by generating leads using conferences as a platform. The trade show plan has been carefully vetted to ensure that these shows are reputable, have a strong business to business focus, high foot-traffic rates, as well as hosted in a desirable market.</w:t>
      </w:r>
    </w:p>
    <w:p>
      <w:pPr>
        <w:spacing w:after="0" w:line="97"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2019, we were able to capture over 800 leads at our biggest event and over 200 leads per show at smaller regional conferences. More than 75% have become marketing qualified leads, of which 50% later became sales qualified. Many of these leads are now customers or in the process of becoming customers. We are seeing the largest amount of marketing qualified leads come through our trade show attendance. Given the proven success of these conferences, their reputation, their audiences and their industry magnitude, we expect to continue to seek headline and sponsorship roles. As a result of the COVID-19 pandemic, only three trade shows have been completed so far in 2020, with several others have been postponed. Accordingly, during the pandemic we have reallocated our resources to focus more heavily on our other means of generating leads, particularly through expanding our direct sales force.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100330</wp:posOffset>
            </wp:positionV>
            <wp:extent cx="5143500" cy="38576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Paid Advertising</w:t>
      </w:r>
    </w:p>
    <w:p>
      <w:pPr>
        <w:spacing w:after="0" w:line="144" w:lineRule="exact"/>
        <w:rPr>
          <w:sz w:val="20"/>
          <w:szCs w:val="20"/>
          <w:color w:val="auto"/>
        </w:rPr>
      </w:pPr>
    </w:p>
    <w:p>
      <w:pPr>
        <w:ind w:left="460" w:right="639" w:firstLine="432"/>
        <w:spacing w:after="0" w:line="296" w:lineRule="auto"/>
        <w:rPr>
          <w:sz w:val="20"/>
          <w:szCs w:val="20"/>
          <w:color w:val="auto"/>
        </w:rPr>
      </w:pPr>
      <w:r>
        <w:rPr>
          <w:rFonts w:ascii="Arial" w:cs="Arial" w:eastAsia="Arial" w:hAnsi="Arial"/>
          <w:sz w:val="16"/>
          <w:szCs w:val="16"/>
          <w:color w:val="auto"/>
        </w:rPr>
        <w:t>We utilize paid advertising such as banner ads on high-trafficked media sites that largely focus on agricultural technology and other relevant topics. We provide content offers and other downloadable materials in order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Public Relations Campaigns</w:t>
      </w:r>
    </w:p>
    <w:p>
      <w:pPr>
        <w:spacing w:after="0" w:line="15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We have successfully gained the interest of press from networks such as CNN, CFN, industry trade journals, and more. With our industry positioning using thought-leadership and on-going participation in industry conferences, we have been highlighted every month through the Newswire and featured in a variety of media outlets. We will continue to sponsor and keynote in industry-related events including; tech and agriculture conferences, podcasts, radio shows and more to continue to gain press and ultimately more exposure.</w:t>
      </w:r>
    </w:p>
    <w:p>
      <w:pPr>
        <w:spacing w:after="0" w:line="125"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Through our digital marketing efforts, we promote our solutions to customers who stand to benefit most from our products and services, which spans a wide range of indoor agriculture verticals. We aim to bring in at least twenty new qualified leads a week by driving traffic to our website, keeping impression numbers high, while also keeping our cost-per-lead low. As we receive more data, we plan on continuing to monitor the digital efforts that garner the most leads and make adjustments accordingly.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Joint Venture with Valiant-America</w:t>
      </w:r>
    </w:p>
    <w:p>
      <w:pPr>
        <w:spacing w:after="0" w:line="148"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In December 2019, we established Agrify-Valiant, LLC as a joint venture with Valiant-America. From a growth perspective, we believe our joint venture with Valiant-America gives us a credible and complementary channel partner with extensive industry relationships to help us gain additional market share by making our solution a prominent part of their discussions involving future projects in this space.</w:t>
      </w:r>
    </w:p>
    <w:p>
      <w:pPr>
        <w:spacing w:after="0" w:line="104" w:lineRule="exact"/>
        <w:rPr>
          <w:sz w:val="20"/>
          <w:szCs w:val="20"/>
          <w:color w:val="auto"/>
        </w:rPr>
      </w:pPr>
    </w:p>
    <w:p>
      <w:pPr>
        <w:ind w:left="460" w:right="619" w:firstLine="432"/>
        <w:spacing w:after="0" w:line="286" w:lineRule="auto"/>
        <w:rPr>
          <w:sz w:val="20"/>
          <w:szCs w:val="20"/>
          <w:color w:val="auto"/>
        </w:rPr>
      </w:pPr>
      <w:r>
        <w:rPr>
          <w:rFonts w:ascii="Arial" w:cs="Arial" w:eastAsia="Arial" w:hAnsi="Arial"/>
          <w:sz w:val="17"/>
          <w:szCs w:val="17"/>
          <w:color w:val="auto"/>
        </w:rPr>
        <w:t>We believe this joint venture positions us as the only fully integrated grow solution in the industry as we are now able to provide services around facility design, mechanical and engineering planning, general contracting, hardware and equipment installation, and commissioning for all indoor agriculture customers.</w:t>
      </w:r>
    </w:p>
    <w:p>
      <w:pPr>
        <w:spacing w:after="0" w:line="98" w:lineRule="exact"/>
        <w:rPr>
          <w:sz w:val="20"/>
          <w:szCs w:val="20"/>
          <w:color w:val="auto"/>
        </w:rPr>
      </w:pPr>
    </w:p>
    <w:p>
      <w:pPr>
        <w:ind w:left="460" w:right="699" w:firstLine="432"/>
        <w:spacing w:after="0" w:line="293" w:lineRule="auto"/>
        <w:rPr>
          <w:sz w:val="20"/>
          <w:szCs w:val="20"/>
          <w:color w:val="auto"/>
        </w:rPr>
      </w:pPr>
      <w:r>
        <w:rPr>
          <w:rFonts w:ascii="Arial" w:cs="Arial" w:eastAsia="Arial" w:hAnsi="Arial"/>
          <w:sz w:val="16"/>
          <w:szCs w:val="16"/>
          <w:color w:val="auto"/>
        </w:rPr>
        <w:t>We believe our turnkey offerings are highly differentiated from anything else on the market in that they combine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segment.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Scale-Up Manufacturing Capabilities in Order to Meet the Increasing Demand for Our Grow Solutions</w:t>
      </w:r>
    </w:p>
    <w:p>
      <w:pPr>
        <w:spacing w:after="0" w:line="171"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currently use contract manufacturers (CMs) in the U.S. and in Asia for prototyping and volume manufacturing, and we plan to expand our capabilities in order to meet the increasing demand for our grow solutions. We design the systems internally, and then work with our CMs and suppliers to refine, prototype, and test the designs. The designs are documented at a level that allows us to have our products manufactured at multiple CMs, both in the U.S. and abroad.</w:t>
      </w:r>
    </w:p>
    <w:p>
      <w:pPr>
        <w:spacing w:after="0" w:line="120" w:lineRule="exact"/>
        <w:rPr>
          <w:sz w:val="20"/>
          <w:szCs w:val="20"/>
          <w:color w:val="auto"/>
        </w:rPr>
      </w:pPr>
    </w:p>
    <w:p>
      <w:pPr>
        <w:ind w:left="460" w:right="619" w:firstLine="432"/>
        <w:spacing w:after="0" w:line="288" w:lineRule="auto"/>
        <w:rPr>
          <w:sz w:val="20"/>
          <w:szCs w:val="20"/>
          <w:color w:val="auto"/>
        </w:rPr>
      </w:pPr>
      <w:r>
        <w:rPr>
          <w:rFonts w:ascii="Arial" w:cs="Arial" w:eastAsia="Arial" w:hAnsi="Arial"/>
          <w:sz w:val="16"/>
          <w:szCs w:val="16"/>
          <w:color w:val="auto"/>
        </w:rPr>
        <w:t>Additionally, we work with domestic suppliers on a wide range of metal fabrication to allow for rapid prototyping and product development. One such CM and metal fabrication shop that we have worked with extensively in the past is Harbor Mountain Holdings, LLC (“HMH”), which is based in the Atlanta, GA area. HMH has been producing and assembling many of our products for over three years, and they have served our needs well as a versatile and valued partner. On July 21, 2020, we acquired HMH, including the acquisition of HMH’s research and development, testing, and flexible manufacturing plant located just outside Atlanta, GA, along with key personnel and equipment. We believe this acquisition fits in nicely with our overall scale-up manufacturing strategy. For the remainder of 2020, HMH will be asked to support our AVFU sales and production goals as a primary manufacturing location. In 2021 and beyond, we expect HMH to evolve into more of a service, engineering development and prototyping, and test facility.</w:t>
      </w:r>
    </w:p>
    <w:p>
      <w:pPr>
        <w:spacing w:after="0" w:line="10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On December 7, 2020, we entered into a five year supply agreement with Mack Molding Co., a Vermont corporation (“Mack”), pursuant to which Mack will become a key supplier of Company’s AVFUs. Mack is a leading supplier of molded plastic parts, fabricated metal parts and high-level assemblies to the medical, industrial, transportation, energy/environment, computer and business equipment, defense/aerospace and consumer markets. Founded in 1920, Mack is a wholly-owned subsidiary of the privately-held Mack Group corporation, which also includes Mack Technologies and Mack Prototype.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 In the event we are unable to agree with Mack on pricing or a minimum requirements percentage, either party may terminate the agreement upon notice without further consequence or obligation.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believe the supply agreement with Mack provides us with several key benefits, including:</w:t>
      </w:r>
    </w:p>
    <w:p>
      <w:pPr>
        <w:spacing w:after="0" w:line="158" w:lineRule="exact"/>
        <w:rPr>
          <w:sz w:val="20"/>
          <w:szCs w:val="20"/>
          <w:color w:val="auto"/>
        </w:rPr>
      </w:pPr>
    </w:p>
    <w:p>
      <w:pPr>
        <w:ind w:left="1320" w:right="779" w:hanging="434"/>
        <w:spacing w:after="0" w:line="263"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Rapid Scaling: </w:t>
      </w:r>
      <w:r>
        <w:rPr>
          <w:rFonts w:ascii="Arial" w:cs="Arial" w:eastAsia="Arial" w:hAnsi="Arial"/>
          <w:sz w:val="18"/>
          <w:szCs w:val="18"/>
          <w:color w:val="auto"/>
        </w:rPr>
        <w:t>We can scale to customer orders, as Mack has agreed to maintain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safety stock of AVFUs in inventory and allow us to store additional inventory pending customer deliveries; and</w:t>
      </w:r>
    </w:p>
    <w:p>
      <w:pPr>
        <w:spacing w:after="0" w:line="116" w:lineRule="exact"/>
        <w:rPr>
          <w:rFonts w:ascii="Arial" w:cs="Arial" w:eastAsia="Arial" w:hAnsi="Arial"/>
          <w:sz w:val="18"/>
          <w:szCs w:val="18"/>
          <w:color w:val="auto"/>
        </w:rPr>
      </w:pPr>
    </w:p>
    <w:p>
      <w:pPr>
        <w:ind w:left="1320" w:right="699" w:hanging="434"/>
        <w:spacing w:after="0" w:line="301" w:lineRule="auto"/>
        <w:tabs>
          <w:tab w:leader="none" w:pos="1311"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Long-Term Efficiencies: </w:t>
      </w:r>
      <w:r>
        <w:rPr>
          <w:rFonts w:ascii="Arial" w:cs="Arial" w:eastAsia="Arial" w:hAnsi="Arial"/>
          <w:sz w:val="16"/>
          <w:szCs w:val="16"/>
          <w:color w:val="auto"/>
        </w:rPr>
        <w:t>Under a strategic partner governance structure, we intend to meet with</w:t>
      </w:r>
      <w:r>
        <w:rPr>
          <w:rFonts w:ascii="Arial" w:cs="Arial" w:eastAsia="Arial" w:hAnsi="Arial"/>
          <w:sz w:val="16"/>
          <w:szCs w:val="16"/>
          <w:i w:val="1"/>
          <w:iCs w:val="1"/>
          <w:color w:val="auto"/>
        </w:rPr>
        <w:t xml:space="preserve"> </w:t>
      </w:r>
      <w:r>
        <w:rPr>
          <w:rFonts w:ascii="Arial" w:cs="Arial" w:eastAsia="Arial" w:hAnsi="Arial"/>
          <w:sz w:val="16"/>
          <w:szCs w:val="16"/>
          <w:color w:val="auto"/>
        </w:rPr>
        <w:t>Mack at least quarterly in efforts to improve components acquisition and logistics, to lower production costs over time, provide additional alternatives for third party component vendors and allow us to provide input as to Mack’s overall production process and operational effectiveness.</w:t>
      </w:r>
    </w:p>
    <w:p>
      <w:pPr>
        <w:spacing w:after="0" w:line="76" w:lineRule="exact"/>
        <w:rPr>
          <w:sz w:val="20"/>
          <w:szCs w:val="20"/>
          <w:color w:val="auto"/>
        </w:rPr>
      </w:pPr>
    </w:p>
    <w:p>
      <w:pPr>
        <w:jc w:val="both"/>
        <w:ind w:left="460" w:right="619" w:firstLine="432"/>
        <w:spacing w:after="0" w:line="277" w:lineRule="auto"/>
        <w:rPr>
          <w:sz w:val="20"/>
          <w:szCs w:val="20"/>
          <w:color w:val="auto"/>
        </w:rPr>
      </w:pPr>
      <w:r>
        <w:rPr>
          <w:rFonts w:ascii="Arial" w:cs="Arial" w:eastAsia="Arial" w:hAnsi="Arial"/>
          <w:sz w:val="18"/>
          <w:szCs w:val="18"/>
          <w:color w:val="auto"/>
        </w:rPr>
        <w:t>We anticipate that this key strategic relationship with Mack will grow with our continued and expanding need for additional AVFUs.</w:t>
      </w:r>
    </w:p>
    <w:p>
      <w:pPr>
        <w:spacing w:after="0" w:line="103" w:lineRule="exact"/>
        <w:rPr>
          <w:sz w:val="20"/>
          <w:szCs w:val="20"/>
          <w:color w:val="auto"/>
        </w:rPr>
      </w:pPr>
    </w:p>
    <w:p>
      <w:pPr>
        <w:jc w:val="both"/>
        <w:ind w:left="460" w:right="639" w:firstLine="432"/>
        <w:spacing w:after="0" w:line="301" w:lineRule="auto"/>
        <w:rPr>
          <w:sz w:val="20"/>
          <w:szCs w:val="20"/>
          <w:color w:val="auto"/>
        </w:rPr>
      </w:pPr>
      <w:r>
        <w:rPr>
          <w:rFonts w:ascii="Arial" w:cs="Arial" w:eastAsia="Arial" w:hAnsi="Arial"/>
          <w:sz w:val="16"/>
          <w:szCs w:val="16"/>
          <w:color w:val="auto"/>
        </w:rPr>
        <w:t>Overall, our approach to manufacturing is to use CMs to prototype, iterate, and begin initial production, then transition to volume production including in lower cost geographies, which results in both rapid time-to-market and low production costs. As we grow, we intend to continually analyze and evolve our manufacturing capabilities to best meet our customer needs while always focusing on ways to maximize operating margins.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Equipment Financing Program</w:t>
      </w:r>
    </w:p>
    <w:p>
      <w:pPr>
        <w:spacing w:after="0" w:line="162"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Our equipment financing program, which we believe is novel in the indoor agriculture space, is instrumental in removing certain points of friction from the sales cycle and it can be a major factor that tips the scales in our favor with certain prospects. When any of our credit-worthy customers take advantage of this opportunity, they are able expedite their speed to market as a result of not having to finance their purchase with 100% equity. As a result, we are able to collect between 30% and 50% of the purchase order immediately, with the balance typically being repaid over a two-year period, with interest, under commercially reasonable terms. By offering this equipment financing option, we have effectively broadened our prospect pool, and we believe that this will lead to more deals closing over time.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We rely on a combination of patent, trademark, copyright, trade secret, including federal, state and common law rights in the United States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Patents</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filed United States provisional patent application 62/830,770 on April 8, 2019 titled “Device for Light Limiting Current” that serves as the priority document for our April 6, 2020 filing of PCT application PCT/US2020/026878. This application is directed to, among other things, a current limiting device coupled with a light emitting diode driver.</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Trademarks and Copyrights</w:t>
      </w:r>
    </w:p>
    <w:p>
      <w:pPr>
        <w:spacing w:after="0" w:line="158"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We, or our subsidiaries, have a pending United States trademark applications for AGRIFY and TRIGROW. In addition, we recognize common-law trademark rights TECHOPS, AGRIFY INSIGHTS and AGRINAMICS for different software as a service products.</w:t>
      </w:r>
    </w:p>
    <w:p>
      <w:pPr>
        <w:spacing w:after="0" w:line="103" w:lineRule="exact"/>
        <w:rPr>
          <w:sz w:val="20"/>
          <w:szCs w:val="20"/>
          <w:color w:val="auto"/>
        </w:rPr>
      </w:pPr>
    </w:p>
    <w:p>
      <w:pPr>
        <w:ind w:left="460" w:right="779" w:firstLine="432"/>
        <w:spacing w:after="0" w:line="301" w:lineRule="auto"/>
        <w:rPr>
          <w:sz w:val="20"/>
          <w:szCs w:val="20"/>
          <w:color w:val="auto"/>
        </w:rPr>
      </w:pPr>
      <w:r>
        <w:rPr>
          <w:rFonts w:ascii="Arial" w:cs="Arial" w:eastAsia="Arial" w:hAnsi="Arial"/>
          <w:sz w:val="16"/>
          <w:szCs w:val="16"/>
          <w:color w:val="auto"/>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899" w:firstLine="432"/>
        <w:spacing w:after="0" w:line="257" w:lineRule="auto"/>
        <w:rPr>
          <w:sz w:val="20"/>
          <w:szCs w:val="20"/>
          <w:color w:val="auto"/>
        </w:rPr>
      </w:pPr>
      <w:r>
        <w:rPr>
          <w:rFonts w:ascii="Arial" w:cs="Arial" w:eastAsia="Arial" w:hAnsi="Arial"/>
          <w:sz w:val="18"/>
          <w:szCs w:val="18"/>
          <w:color w:val="auto"/>
        </w:rPr>
        <w:t>Although we have not sought copyright registration for our technology or works to date, we rely on common law copyright and trade secret protections in relation to our TechOps/Agrify Insights™ computer program for indoor agriculture management. We have registered our Internet domain names related to our business. We license software from third parties and utilize open source software for integration into our applications.</w:t>
      </w:r>
    </w:p>
    <w:p>
      <w:pPr>
        <w:spacing w:after="0" w:line="93" w:lineRule="exact"/>
        <w:rPr>
          <w:sz w:val="20"/>
          <w:szCs w:val="20"/>
          <w:color w:val="auto"/>
        </w:rPr>
      </w:pPr>
    </w:p>
    <w:p>
      <w:pPr>
        <w:ind w:left="460" w:right="819" w:firstLine="432"/>
        <w:spacing w:after="0" w:line="275" w:lineRule="auto"/>
        <w:rPr>
          <w:sz w:val="20"/>
          <w:szCs w:val="20"/>
          <w:color w:val="auto"/>
        </w:rPr>
      </w:pPr>
      <w:r>
        <w:rPr>
          <w:rFonts w:ascii="Arial" w:cs="Arial" w:eastAsia="Arial" w:hAnsi="Arial"/>
          <w:sz w:val="17"/>
          <w:szCs w:val="17"/>
          <w:color w:val="auto"/>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Employees and Human Capital Resources</w:t>
      </w:r>
    </w:p>
    <w:p>
      <w:pPr>
        <w:spacing w:after="0" w:line="14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As of the date of this prospectus, we have over 40 employees located in or around Burlington, Massachusetts. Since our prior office lease in Burlington expired in July 2020, we currently have no physical office and our employees are working remotely. However, we may consider entering into a new office lease in the future although we have no current plans to do so. We may also pursue additional warehousing capabilities. None of our employees are subject to collective bargaining agreements. We consider our relationship with our employees to be good.</w:t>
      </w:r>
    </w:p>
    <w:p>
      <w:pPr>
        <w:spacing w:after="0" w:line="9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incentive plan is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From time to time, we may be subject to various claims, legal actions and regulatory proceedings arising in the ordinary course of business. On January 5, 2021, we received a demand letter from two of our former employees (and one of such employee’s affiliated entities), asserting that such individuals were entitled to compensation arising out of their employment by us, as well as their partial ownership of TriGrow. The demand letter asserts that the former employees are due certain sales commissions under their applicable bonus plan, equity earn-outs based on certain sales targets, and various equity purchases through our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 We do not believe these claims have any merit and intend to vigorously defend against these claims.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History</w:t>
      </w:r>
    </w:p>
    <w:p>
      <w:pPr>
        <w:spacing w:after="0" w:line="135"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89"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On January 22, 2020, we and Agrify Merger Sub, Inc., our newly formed wholly-owned subsidiary (or Merger Sub), entered into an Agreement of Merger with TriGrow Systems, Inc., a Nevada corporation (or TriGrow), pursuant to which TriGrow was merged with and into Merger Sub, with Merger Sub as the surviving corporation, resulting in our indirect acquisition of TriGrow.</w:t>
      </w:r>
    </w:p>
    <w:p>
      <w:pPr>
        <w:spacing w:after="0" w:line="106"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 December 8, 2019, we formed Agrify-Valiant, LLC, a 60/40 joint-venture limited liability company, in which we are the 60% majority owner with Valiant-America, LLC, one of the largest premium integrated consulting and general contracting firms in North America with more than 10 years of facility general contracting experience across many states.</w:t>
      </w:r>
    </w:p>
    <w:p>
      <w:pPr>
        <w:spacing w:after="0" w:line="92"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On July 21, 2020, we acquired Harbor Mountain Holdings, LLC (“HMH”), who we have had a close working relationship with for over three years, including the acquisition of HMH’s research and development, testing, and flexible manufacturing plant located just outside Atlanta, GA, along with key personnel and equipment. We believe this acquisition will give us increased, and in some respects, new in-house resources and capabilities around engineering, prototyping, manufacturing, testing, warehousing and installation services.</w:t>
      </w:r>
    </w:p>
    <w:p>
      <w:pPr>
        <w:sectPr>
          <w:pgSz w:w="11900" w:h="16838" w:orient="portrait"/>
          <w:cols w:equalWidth="0" w:num="1">
            <w:col w:w="9019"/>
          </w:cols>
          <w:pgMar w:left="1440" w:top="274"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48" w:lineRule="exact"/>
        <w:rPr>
          <w:sz w:val="20"/>
          <w:szCs w:val="20"/>
          <w:color w:val="auto"/>
        </w:rPr>
      </w:pPr>
    </w:p>
    <w:p>
      <w:pPr>
        <w:ind w:left="460" w:right="1059" w:firstLine="432"/>
        <w:spacing w:after="0" w:line="277" w:lineRule="auto"/>
        <w:rPr>
          <w:sz w:val="20"/>
          <w:szCs w:val="20"/>
          <w:color w:val="auto"/>
        </w:rPr>
      </w:pPr>
      <w:r>
        <w:rPr>
          <w:rFonts w:ascii="Arial" w:cs="Arial" w:eastAsia="Arial" w:hAnsi="Arial"/>
          <w:sz w:val="18"/>
          <w:szCs w:val="18"/>
          <w:color w:val="auto"/>
        </w:rPr>
        <w:t>The following table sets forth certain information about our executive officers, key employees and directors as of the date of this prospectus.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31"/>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20"/>
                <w:szCs w:val="20"/>
                <w:color w:val="auto"/>
              </w:rPr>
            </w:pPr>
          </w:p>
        </w:tc>
        <w:tc>
          <w:tcPr>
            <w:tcW w:w="4800" w:type="dxa"/>
            <w:vAlign w:val="bottom"/>
          </w:tcPr>
          <w:p>
            <w:pPr>
              <w:ind w:left="214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Raymond Chang</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Chairman of the Board of Directors</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Niv Krikov</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Robert Harrison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Guichao Hua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Thomas Massie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Krishnan Varier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Timothy Mahoney</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Timothy Oakes</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S. Kressy</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40"/>
        </w:trPr>
        <w:tc>
          <w:tcPr>
            <w:tcW w:w="2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499" w:firstLine="432"/>
        <w:spacing w:after="0" w:line="283" w:lineRule="auto"/>
        <w:rPr>
          <w:sz w:val="20"/>
          <w:szCs w:val="20"/>
          <w:color w:val="auto"/>
        </w:rPr>
      </w:pPr>
      <w:r>
        <w:rPr>
          <w:rFonts w:ascii="Arial" w:cs="Arial" w:eastAsia="Arial" w:hAnsi="Arial"/>
          <w:sz w:val="16"/>
          <w:szCs w:val="16"/>
          <w:b w:val="1"/>
          <w:bCs w:val="1"/>
          <w:i w:val="1"/>
          <w:iCs w:val="1"/>
          <w:color w:val="auto"/>
        </w:rPr>
        <w:t xml:space="preserve">Raymond Chang. </w:t>
      </w:r>
      <w:r>
        <w:rPr>
          <w:rFonts w:ascii="Arial" w:cs="Arial" w:eastAsia="Arial" w:hAnsi="Arial"/>
          <w:sz w:val="16"/>
          <w:szCs w:val="16"/>
          <w:color w:val="auto"/>
        </w:rPr>
        <w:t>Mr. Chang has served as our president, chief executive officer and chairman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since June 15, 2019. From 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 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twenty-five “Next Generation Global Leaders Under 40” and by Business Week Asia as one of Asia’s 20 most influential new economy leaders in the 21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We believe that Mr. Chang’s successful serial entrepreneurial and management track records make him a qualified member of our board.</w:t>
      </w:r>
    </w:p>
    <w:p>
      <w:pPr>
        <w:spacing w:after="0" w:line="10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i w:val="1"/>
          <w:iCs w:val="1"/>
          <w:color w:val="auto"/>
        </w:rPr>
        <w:t xml:space="preserve">Niv Krikov. </w:t>
      </w:r>
      <w:r>
        <w:rPr>
          <w:rFonts w:ascii="Arial" w:cs="Arial" w:eastAsia="Arial" w:hAnsi="Arial"/>
          <w:sz w:val="17"/>
          <w:szCs w:val="17"/>
          <w:color w:val="auto"/>
        </w:rPr>
        <w:t>Mr. Krikov has served as our chief financial officer since January 20, 2020.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2018 to January 2020, Mr. Krikov served as the chief financial officer of Desalitech, Inc., a water purification company based in Newton, MA. From January 2016 to November 2017, Mr. Krikov served as the chief financial officer of PeerApp, a technology company for development and license of high-performance cache solutions for telecommunication networks based in Austin, TX. From November 2014 to December 2015, Mr. Krikov served as the chief financial officer of Proftect, Inc., a technology company for development and license of high-performance cache solutions for telecommunication networks based in the Boston area. From March 2007 to November 2014, Mr. Krikov served as the chief financial officer of NTS, Inc., a publicly traded international telecommunication company listed on the NYSE (NYSE: NTS) and TASE Prior to that, Mr. Krikov served as corporate controller with Nur Macroprinters Ltd. (NASDAQ: NURM) prior to it being acquired in 2007 by Hewlett Packard Company and as controller and credit and revenue manager with Alvarion Ltd. Mr. Krikov received his BA from Tel Aviv University and his LLM from Bar-Ilan University.</w:t>
      </w:r>
    </w:p>
    <w:p>
      <w:pPr>
        <w:spacing w:after="0" w:line="98"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b w:val="1"/>
          <w:bCs w:val="1"/>
          <w:i w:val="1"/>
          <w:iCs w:val="1"/>
          <w:color w:val="auto"/>
        </w:rPr>
        <w:t>Robert Harrison</w:t>
      </w:r>
      <w:r>
        <w:rPr>
          <w:rFonts w:ascii="Arial" w:cs="Arial" w:eastAsia="Arial" w:hAnsi="Arial"/>
          <w:sz w:val="18"/>
          <w:szCs w:val="18"/>
          <w:color w:val="auto"/>
        </w:rPr>
        <w:t>. Mr. Harrison has served as our chief operating officer since July 21, 2020.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Harrison joined us on April 15, 2020 as our director, project management. From January 2014 to October 2019, Mr. Harrison served as the region head LED lamps of LEDVANCE / Osram Sylvania, a worldwide leader in innovative lighting products as well as intelligent and connected lighting solutions under the Sylvania and Osram brands. At LEDVANCE / Osram Sylvania, Mr. Harrison ran the business unit for LED lighting in North America and South America. From November 2009 to January 2014, Mr. Harrison served as the director of engineering responsible for Osram Sylvania’s solid-state lighting and power electronics activities as well as the head of the project management office. Prior to LEDVANCE / Osram Sylvania, Mr. Harrison held roles in the automotive</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0" w:name="page91"/>
    <w:bookmarkEnd w:id="9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99"/>
        <w:spacing w:after="0" w:line="286" w:lineRule="auto"/>
        <w:rPr>
          <w:sz w:val="20"/>
          <w:szCs w:val="20"/>
          <w:color w:val="auto"/>
        </w:rPr>
      </w:pPr>
      <w:r>
        <w:rPr>
          <w:rFonts w:ascii="Arial" w:cs="Arial" w:eastAsia="Arial" w:hAnsi="Arial"/>
          <w:sz w:val="17"/>
          <w:szCs w:val="17"/>
          <w:color w:val="auto"/>
        </w:rPr>
        <w:t>metrology, industrial automation and biomedical areas. Mr. Harrison is PMP certified with the Project Management Institute and holds 16 patents. Mr. Harrison received his BS and MS degrees in Mechanical Engineering from Worcester Polytechnic Institute and his MBA from Babson College.</w:t>
      </w:r>
    </w:p>
    <w:p>
      <w:pPr>
        <w:spacing w:after="0" w:line="98"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Guichao Hua. </w:t>
      </w:r>
      <w:r>
        <w:rPr>
          <w:rFonts w:ascii="Arial" w:cs="Arial" w:eastAsia="Arial" w:hAnsi="Arial"/>
          <w:sz w:val="16"/>
          <w:szCs w:val="16"/>
          <w:color w:val="auto"/>
        </w:rPr>
        <w:t>Mr. Hua has served as a member of our board of directors since June 15, 2019. Mr. Hua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renowned expert in the global power electronics arena. He brings over 25 years of experience in the lighting industry and has extensive knowledge in running successful businesses. In 2007, Mr. Hua founded Inventronics Inc., which is currently one of the largest companies in the world engaged in the design and manufacture of high efficiency, high reliability and long-life LED drivers, and served as the founder and chief executive officer from 2007 to 2019, and has served as the executive chairman since 2019. In 2016, Inventronics became a public company in China (300582.SZ). In December 2017, Mr. Hua founded 4D Bios Inc., which is focused on the design, manufacture, and marketing and sales of LED vertical farm systems. 4D Bios aims to become a global leader in this high-tech new agriculture industry. Mr. Hua is a co-founder and former vice president of engineering of VPT Inc., which is now one of the largest military/aerospace power companies in the world. Mr. Hua received his Ph.D. from the Center for Power Electronic System (CPES) at Virginia Tech in 1994, and served as research associate and scientist in CPES for 5 years. Mr. Hua has obtained more than 20 U.S. patents and published more than 70 theses, enjoying a strong reputation in the switch power industry. We believe that Mr. Hua’s exemplary career building thriving global hardware companies along with his design, engineering and manufacturing expertise makes him a qualified member of our board.</w:t>
      </w:r>
    </w:p>
    <w:p>
      <w:pPr>
        <w:spacing w:after="0" w:line="100"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Thomas Massie</w:t>
      </w:r>
      <w:r>
        <w:rPr>
          <w:rFonts w:ascii="Arial" w:cs="Arial" w:eastAsia="Arial" w:hAnsi="Arial"/>
          <w:sz w:val="16"/>
          <w:szCs w:val="16"/>
          <w:color w:val="auto"/>
        </w:rPr>
        <w:t>. Mr. Massie has served as a member of our board of directors since June 24,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2016, Mr. Massie has been a partner with WAVE Equity Partners, a Boston based private equity firm that accelerates market validated companies solving some of the world’s greatest challenges in essential markets for energy, food, water, and waste. In addition, since 2016, Mr. Massie has served as the chief executive officer of Topline Performance Solutions, Inc., a management consulting firm based in Woburn, MA. From 1987 to 2016, Mr. Massie was the founder and chief executive officer of three technology related companies, Mass Micro Systems, Focus Enhancements and Bridgeline Digital, each of which subsequently went public on NASDAQ. From 2002 to 2007, Mr. Massie was a board member and chairman of the corporate governance committee for MapInfo Corp., which was acquired by Pitney Bowes in 2007. Mr. Massie is a guest lecturer at the University of Massachusetts, Robert J. Manning School of Business and attended Wayne State University. Mr. Massie was a non-commissioned officer in the United States Army and is currently the chairman of the board for Warriors A Team, a nonprofit dedicated to assisting struggling veterans to successfully re-acclimate in civilian life. We believe that Mr. Massie’s demonstrated sales leadership, private equity experience and track record of taking companies public makes him a qualified member of our board.</w:t>
      </w:r>
    </w:p>
    <w:p>
      <w:pPr>
        <w:spacing w:after="0" w:line="90"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b w:val="1"/>
          <w:bCs w:val="1"/>
          <w:i w:val="1"/>
          <w:iCs w:val="1"/>
          <w:color w:val="auto"/>
        </w:rPr>
        <w:t xml:space="preserve">Krishnan Varier. </w:t>
      </w:r>
      <w:r>
        <w:rPr>
          <w:rFonts w:ascii="Arial" w:cs="Arial" w:eastAsia="Arial" w:hAnsi="Arial"/>
          <w:sz w:val="16"/>
          <w:szCs w:val="16"/>
          <w:color w:val="auto"/>
        </w:rPr>
        <w:t>Mr. Varier has served as a member of our board of directors since June 24, 2020.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Varier joined Arcadian Capital Management in 2018 to help lead its principal investing activities, including deal sourcing, due diligence and negotiations, bringing more than 15 years of financial services and Wall Street deal-making experience and knowledge. For much of his career, Mr. Varier served as a healthcare investment banker in relationship coverage roles with Cowen (2014-2016), BofA-Merrill Lynch (2011-2013) and Morgan Keegan and has completed more than $6 billion in closed capital raising and merger and acquisition transactions. Mr. Varier began independently working with companies in the cannabis industry in 2016 in varying capacities as a private investor, mentor, advisor and consultant as part of Varier Venture Consulting LLC. Mr. Varier completed his undergraduate studies in 2001 at the University of Texas at Austin, where he earned a B.A. in Economics with a focus in Business Administration. He initially gained experience as a wealth manager for AXA Advisors, and later with the Austin-based brokerage firm Eltekon Financial. He then joined Bank of America’s Global Corporate Bank in Charlotte, NC, as part of its Treasury Solutions Group inside sales team covering large-cap industrial corporate clients. Mr. Varier also holds an MBA from the University of North Carolina at Chapel Hill, Kenan-Flagler Business School, with a double-focus in Finance and Investment Management. We believe that Mr. Varier’s role as an investor with a deep focus on our industry combined with his lengthy history in investment banking makes him a qualified member of our board.</w:t>
      </w:r>
    </w:p>
    <w:p>
      <w:pPr>
        <w:spacing w:after="0" w:line="109"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b w:val="1"/>
          <w:bCs w:val="1"/>
          <w:i w:val="1"/>
          <w:iCs w:val="1"/>
          <w:color w:val="auto"/>
        </w:rPr>
        <w:t xml:space="preserve">Timothy Mahoney. </w:t>
      </w:r>
      <w:r>
        <w:rPr>
          <w:rFonts w:ascii="Arial" w:cs="Arial" w:eastAsia="Arial" w:hAnsi="Arial"/>
          <w:sz w:val="18"/>
          <w:szCs w:val="18"/>
          <w:color w:val="auto"/>
        </w:rPr>
        <w:t>Mr. Mahoney has served as a member of our board of directors since December 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Mr. Mahoney served as a U.S. Representative for Florida’s 16th congressional district from January 2007 to January 2009. Mr. Mahoney is the owner of Caribou LLC, a strategic advisory firm he found in 2009 that consults with CEOs and their boards on managing systemic risk and maximizing shareholder value through the identification and capture of strategic opportunities. In March 2013, Mr. Mahoney also founded Cannae Policy Group, a Washington D.C. based public policy company, where he serves as a chief political strategist advising companies, associations, and governments on complex public policy issues. Before becoming a Congressman, from</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1" w:name="page92"/>
    <w:bookmarkEnd w:id="9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88" w:lineRule="auto"/>
        <w:rPr>
          <w:sz w:val="20"/>
          <w:szCs w:val="20"/>
          <w:color w:val="auto"/>
        </w:rPr>
      </w:pPr>
      <w:r>
        <w:rPr>
          <w:rFonts w:ascii="Arial" w:cs="Arial" w:eastAsia="Arial" w:hAnsi="Arial"/>
          <w:sz w:val="16"/>
          <w:szCs w:val="16"/>
          <w:color w:val="auto"/>
        </w:rPr>
        <w:t>1998 to 2007, Mr. Mahoney was a co-founder of vFinance, Inc., which subsequently acquired National Holdings Corporation. National has grown to become one of America’s leading middle-market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We believe Mr. Mahoney’s knowledge and experience with the legislative process of Congress and his diverse experience and knowledge in corporate governance make him qualified to be a member of our board.</w:t>
      </w:r>
    </w:p>
    <w:p>
      <w:pPr>
        <w:spacing w:after="0" w:line="101"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b w:val="1"/>
          <w:bCs w:val="1"/>
          <w:i w:val="1"/>
          <w:iCs w:val="1"/>
          <w:color w:val="auto"/>
        </w:rPr>
        <w:t xml:space="preserve">Timothy Oakes. </w:t>
      </w:r>
      <w:r>
        <w:rPr>
          <w:rFonts w:ascii="Arial" w:cs="Arial" w:eastAsia="Arial" w:hAnsi="Arial"/>
          <w:sz w:val="16"/>
          <w:szCs w:val="16"/>
          <w:color w:val="auto"/>
        </w:rPr>
        <w:t>Mr. Oakes has served as a member of our board of directors since December 17,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September 2019, Mr. Oakes has served as the chief accounting officer of Endurance International Group Holdings, Inc., a publicly listed company (NASDAQ: EIGI) which is a global provider of cloud-based platform solutions designed to help small and medium-sized businesses succeed online. From April 2018 to September 2019, Mr. Oakes worked as an independent business consultant, providing financial and operational advice. From August 2004 to April 2018, Mr. Oakes served in various finance and accounting roles at Edgewater Technology, Inc., a then publicly traded information technology consulting services company. Mr. Oakes joined Edgewater in 2004 as a Director of Finance and was subsequently promoted to Vice President of Finance in 2007, Chief Accounting Officer in 2008 and Chief Financial Officer in 2009. Mr. Oakes holds a Bachelor of Science degree in Business Administration from Stonehill College. He began his career in accountancy at the Boston office of KPMG LLP. We believe Mr. Oakes’ executive positions at various publicly traded companies and extensive background in business, public accounting, mergers and acquisitions and corporate governance matters make him qualified to be a member of our board.</w:t>
      </w:r>
    </w:p>
    <w:p>
      <w:pPr>
        <w:spacing w:after="0" w:line="106" w:lineRule="exact"/>
        <w:rPr>
          <w:sz w:val="20"/>
          <w:szCs w:val="20"/>
          <w:color w:val="auto"/>
        </w:rPr>
      </w:pPr>
    </w:p>
    <w:p>
      <w:pPr>
        <w:ind w:left="460" w:right="719" w:firstLine="432"/>
        <w:spacing w:after="0" w:line="291" w:lineRule="auto"/>
        <w:rPr>
          <w:sz w:val="20"/>
          <w:szCs w:val="20"/>
          <w:color w:val="auto"/>
        </w:rPr>
      </w:pPr>
      <w:r>
        <w:rPr>
          <w:rFonts w:ascii="Arial" w:cs="Arial" w:eastAsia="Arial" w:hAnsi="Arial"/>
          <w:sz w:val="16"/>
          <w:szCs w:val="16"/>
          <w:b w:val="1"/>
          <w:bCs w:val="1"/>
          <w:i w:val="1"/>
          <w:iCs w:val="1"/>
          <w:color w:val="auto"/>
        </w:rPr>
        <w:t xml:space="preserve">Matthew S. Kressy. </w:t>
      </w:r>
      <w:r>
        <w:rPr>
          <w:rFonts w:ascii="Arial" w:cs="Arial" w:eastAsia="Arial" w:hAnsi="Arial"/>
          <w:sz w:val="16"/>
          <w:szCs w:val="16"/>
          <w:color w:val="auto"/>
        </w:rPr>
        <w:t>Mr. Kressy has served as a member of our board of directors since December 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Since 2015, Mr. Kressy has served as senior lecturer and founding director of the MIT Integrated</w:t>
      </w:r>
    </w:p>
    <w:p>
      <w:pPr>
        <w:ind w:left="460" w:right="499"/>
        <w:spacing w:after="0" w:line="268" w:lineRule="auto"/>
        <w:rPr>
          <w:sz w:val="20"/>
          <w:szCs w:val="20"/>
          <w:color w:val="auto"/>
        </w:rPr>
      </w:pPr>
      <w:r>
        <w:rPr>
          <w:rFonts w:ascii="Arial" w:cs="Arial" w:eastAsia="Arial" w:hAnsi="Arial"/>
          <w:sz w:val="17"/>
          <w:szCs w:val="17"/>
          <w:color w:val="auto"/>
        </w:rPr>
        <w:t>Design &amp; Management (IDM) master’s degree program. He is an expert in product design and development. As an entrepreneur and founder of Designturn Inc. since 1999, he has designed, invented, engineered, and manufactured products for a wide range of clients, from startups to Fortune 500 companies. In addition, Mr. Kressy has co-taught collaborative courses in product design and development at top design and business schools including the MIT Sloan School of Management, the Rhode Island School of Design (RISD), and Harvard Business School. He holds a BFA in industrial design from RISD. We believe that Mr. Kressy’s career as an entrepreneur combined with his expertise in product design, development and manufacturing makes him qualified to be a member of our board.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The board of directors has reviewed the independence of our directors based on the listing standards of the NASDAQ. Based on this review, the board of directors has determined that each of Thomas Massie, Krishnan Varier, Timothy Mahoney and Timothy Oakes are independent within the meaning of the NASDAQ rules. In making this determination, our board of directors considered the relationships that each of these non-employee directors has with us and all other facts and circumstances our board of directors deemed relevant in determining their independence. As required under applicable NASDAQ rules, we anticipate that our independent directors will meet in regularly scheduled executive sessions at which only independent directors are present.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Committees</w:t>
      </w:r>
    </w:p>
    <w:p>
      <w:pPr>
        <w:spacing w:after="0" w:line="162"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Our Board has established the following three standing committees: audit committee; compensation committee; and nominating and governance committee, or nominating committee. Our board of directors has adopted written charters for each of these committees. Copies of the charters will be available on our website. Our board of directors may establish other committees as it deems necessary or appropriate from time to time.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audit committee is responsible for, among other matters:</w:t>
      </w:r>
    </w:p>
    <w:p>
      <w:pPr>
        <w:spacing w:after="0" w:line="144" w:lineRule="exact"/>
        <w:rPr>
          <w:sz w:val="20"/>
          <w:szCs w:val="20"/>
          <w:color w:val="auto"/>
        </w:rPr>
      </w:pPr>
    </w:p>
    <w:p>
      <w:pPr>
        <w:ind w:left="1320" w:right="97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102" w:lineRule="exact"/>
        <w:rPr>
          <w:rFonts w:ascii="Arial" w:cs="Arial" w:eastAsia="Arial" w:hAnsi="Arial"/>
          <w:sz w:val="18"/>
          <w:szCs w:val="18"/>
          <w:color w:val="auto"/>
        </w:rPr>
      </w:pPr>
    </w:p>
    <w:p>
      <w:pPr>
        <w:ind w:left="1320" w:right="87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89"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02" w:lineRule="exact"/>
        <w:rPr>
          <w:rFonts w:ascii="Arial" w:cs="Arial" w:eastAsia="Arial" w:hAnsi="Arial"/>
          <w:sz w:val="18"/>
          <w:szCs w:val="18"/>
          <w:color w:val="auto"/>
        </w:rPr>
      </w:pPr>
    </w:p>
    <w:p>
      <w:pPr>
        <w:ind w:left="1320" w:right="679" w:hanging="434"/>
        <w:spacing w:after="0" w:line="263"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16"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89"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102" w:lineRule="exact"/>
        <w:rPr>
          <w:rFonts w:ascii="Arial" w:cs="Arial" w:eastAsia="Arial" w:hAnsi="Arial"/>
          <w:sz w:val="18"/>
          <w:szCs w:val="18"/>
          <w:color w:val="auto"/>
        </w:rPr>
      </w:pPr>
    </w:p>
    <w:p>
      <w:pPr>
        <w:ind w:left="1320" w:right="73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establishing procedures for the confidential and/or anonymous submission of concerns regarding accounting, internal controls or auditing matters;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144"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Our audit committee consists of Krishnan Varier, Timothy Mahoney and Timothy Oakes, with Mr. Oakes serving as the chairman. The NASDAQ rules require us to have one independent audit committee member upon the listing of our common stock, a majority of independent directors within 90 days of the date of this prospectus and all independent audit committee members within one year of the date of this prospectus. Our board of directors has affirmatively determined that Krishnan Varier, Timothy Mahoney and Timothy Oakes meet the definition of “independent director” for purposes of serving on an audit committee under Rule 10A-3 and NASDAQ rules. Our board of directors has determined that Mr. Oakes qualifies as an “audit committee financial expert,” as such term is defined in Item 407(d)(5) of Regulation S-K.</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compensation committee is responsible for, among other matters:</w:t>
      </w:r>
    </w:p>
    <w:p>
      <w:pPr>
        <w:spacing w:after="0" w:line="158" w:lineRule="exact"/>
        <w:rPr>
          <w:sz w:val="20"/>
          <w:szCs w:val="20"/>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approving the compensation of our directors and executive officers;</w:t>
      </w:r>
    </w:p>
    <w:p>
      <w:pPr>
        <w:spacing w:after="0" w:line="144"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158"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Our compensation committee consists of Thomas Massie, Timothy Mahoney and Timothy Oakes, with Mr. Mahoney serving as the chairman.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44"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The purpose of the nominating committee is to assist the board in identifying qualified individuals to become board members, in determining the composition of the board and in monitoring the process to assess board effectiveness. Our nominating committee consists of Thomas Massie, Krishnan Varier and Timothy Mahoney, with Mr. Massie serving as the chairman.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Leadership Structure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Currently, Raymond Chang is our principal executive officer and our chairman of the board.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 Oversight</w:t>
      </w:r>
    </w:p>
    <w:p>
      <w:pPr>
        <w:spacing w:after="0" w:line="162"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Our board of directors will oversee a company-wide approach to risk management. Our board of directors will determine the appropriate risk level for us generally, assess the specific risks faced by us and review the steps taken by management to manage those risks. While our board of directors will have ultimate oversight responsibility for the risk management process, its committees will oversee risk in certain specified areas.</w:t>
      </w:r>
    </w:p>
    <w:p>
      <w:pPr>
        <w:spacing w:after="0" w:line="76"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Specifically, our compensation committee is responsible for overseeing the management of risks relating to our executive compensation plans and arrangements, and the incentives created by the compensation awards it administers. Our audit committee oversees management of enterprise risks and financial risks, as well as potential conflicts of interests. Our board of directors is responsible for overseeing the management of risks associated with the independence of our board of directors.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62"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Our board of directors adopted a Code of Business Conduct and Ethics that applies to our directors, officers and employees. A copy of this code will be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44"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following table provides information regarding the compensation paid during the years ended December 31, 2020 and 2019 to each of the executive officers named below, who are collectively referred to as “named executive officers” elsewhere in this prospectus.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Non-Equity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Non-qualified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98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8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All Other</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2"/>
              </w:rPr>
              <w:t>Bonus</w:t>
            </w:r>
          </w:p>
        </w:tc>
        <w:tc>
          <w:tcPr>
            <w:tcW w:w="5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80" w:type="dxa"/>
            <w:vAlign w:val="bottom"/>
            <w:gridSpan w:val="2"/>
          </w:tcPr>
          <w:p>
            <w:pPr>
              <w:jc w:val="right"/>
              <w:ind w:right="8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8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1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560" w:type="dxa"/>
            <w:vAlign w:val="bottom"/>
            <w:gridSpan w:val="2"/>
          </w:tcPr>
          <w:p>
            <w:pPr>
              <w:jc w:val="right"/>
              <w:ind w:right="80"/>
              <w:spacing w:after="0" w:line="153" w:lineRule="exact"/>
              <w:rPr>
                <w:sz w:val="20"/>
                <w:szCs w:val="20"/>
                <w:color w:val="auto"/>
              </w:rPr>
            </w:pPr>
            <w:r>
              <w:rPr>
                <w:rFonts w:ascii="Arial" w:cs="Arial" w:eastAsia="Arial" w:hAnsi="Arial"/>
                <w:sz w:val="14"/>
                <w:szCs w:val="14"/>
                <w:b w:val="1"/>
                <w:bCs w:val="1"/>
                <w:color w:val="auto"/>
                <w:w w:val="90"/>
              </w:rPr>
              <w:t>Awards</w:t>
            </w:r>
          </w:p>
        </w:tc>
        <w:tc>
          <w:tcPr>
            <w:tcW w:w="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Awards</w:t>
            </w:r>
          </w:p>
        </w:tc>
        <w:tc>
          <w:tcPr>
            <w:tcW w:w="980" w:type="dxa"/>
            <w:vAlign w:val="bottom"/>
            <w:gridSpan w:val="2"/>
          </w:tcPr>
          <w:p>
            <w:pPr>
              <w:jc w:val="right"/>
              <w:ind w:right="80"/>
              <w:spacing w:after="0" w:line="153" w:lineRule="exact"/>
              <w:rPr>
                <w:sz w:val="20"/>
                <w:szCs w:val="20"/>
                <w:color w:val="auto"/>
              </w:rPr>
            </w:pPr>
            <w:r>
              <w:rPr>
                <w:rFonts w:ascii="Arial" w:cs="Arial" w:eastAsia="Arial" w:hAnsi="Arial"/>
                <w:sz w:val="14"/>
                <w:szCs w:val="14"/>
                <w:b w:val="1"/>
                <w:bCs w:val="1"/>
                <w:color w:val="auto"/>
                <w:w w:val="90"/>
              </w:rPr>
              <w:t>Compensation</w:t>
            </w: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Earnings</w:t>
            </w:r>
          </w:p>
        </w:tc>
        <w:tc>
          <w:tcPr>
            <w:tcW w:w="104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w w:val="96"/>
              </w:rPr>
              <w:t>Compensation</w:t>
            </w: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76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74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80" w:type="dxa"/>
            <w:vAlign w:val="bottom"/>
          </w:tcPr>
          <w:p>
            <w:pPr>
              <w:jc w:val="right"/>
              <w:ind w:right="2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480" w:type="dxa"/>
            <w:vAlign w:val="bottom"/>
          </w:tcPr>
          <w:p>
            <w:pPr>
              <w:jc w:val="right"/>
              <w:ind w:right="8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4"/>
                <w:szCs w:val="14"/>
                <w:b w:val="1"/>
                <w:bCs w:val="1"/>
                <w:color w:val="auto"/>
                <w:w w:val="83"/>
                <w:vertAlign w:val="superscript"/>
              </w:rPr>
              <w:t>(1)</w:t>
            </w:r>
          </w:p>
        </w:tc>
        <w:tc>
          <w:tcPr>
            <w:tcW w:w="80" w:type="dxa"/>
            <w:vAlign w:val="bottom"/>
          </w:tcPr>
          <w:p>
            <w:pPr>
              <w:spacing w:after="0"/>
              <w:rPr>
                <w:sz w:val="17"/>
                <w:szCs w:val="17"/>
                <w:color w:val="auto"/>
              </w:rPr>
            </w:pPr>
          </w:p>
        </w:tc>
        <w:tc>
          <w:tcPr>
            <w:tcW w:w="900" w:type="dxa"/>
            <w:vAlign w:val="bottom"/>
          </w:tcPr>
          <w:p>
            <w:pPr>
              <w:jc w:val="right"/>
              <w:ind w:right="28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580" w:type="dxa"/>
            <w:vAlign w:val="bottom"/>
          </w:tcPr>
          <w:p>
            <w:pPr>
              <w:jc w:val="right"/>
              <w:ind w:right="12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Raymond Chang</w:t>
            </w: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4"/>
              </w:rPr>
              <w:t>2020</w:t>
            </w:r>
          </w:p>
        </w:tc>
        <w:tc>
          <w:tcPr>
            <w:tcW w:w="8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153,800</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245,079</w:t>
            </w:r>
          </w:p>
        </w:tc>
        <w:tc>
          <w:tcPr>
            <w:tcW w:w="8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34,472</w:t>
            </w:r>
            <w:r>
              <w:rPr>
                <w:rFonts w:ascii="Arial" w:cs="Arial" w:eastAsia="Arial" w:hAnsi="Arial"/>
                <w:sz w:val="21"/>
                <w:szCs w:val="21"/>
                <w:color w:val="auto"/>
                <w:vertAlign w:val="superscript"/>
              </w:rPr>
              <w:t>(2)</w:t>
            </w:r>
          </w:p>
        </w:tc>
        <w:tc>
          <w:tcPr>
            <w:tcW w:w="8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433,351</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Chief Executive Officer</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2019</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86,345</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40,043</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line="207" w:lineRule="exact"/>
              <w:rPr>
                <w:sz w:val="20"/>
                <w:szCs w:val="20"/>
                <w:color w:val="auto"/>
              </w:rPr>
            </w:pPr>
            <w:r>
              <w:rPr>
                <w:rFonts w:ascii="Arial" w:cs="Arial" w:eastAsia="Arial" w:hAnsi="Arial"/>
                <w:sz w:val="16"/>
                <w:szCs w:val="16"/>
                <w:color w:val="auto"/>
              </w:rPr>
              <w:t>13,848</w:t>
            </w:r>
            <w:r>
              <w:rPr>
                <w:rFonts w:ascii="Arial" w:cs="Arial" w:eastAsia="Arial" w:hAnsi="Arial"/>
                <w:sz w:val="21"/>
                <w:szCs w:val="21"/>
                <w:color w:val="auto"/>
                <w:vertAlign w:val="superscript"/>
              </w:rPr>
              <w:t>(2)</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140,236</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5"/>
              </w:rPr>
              <w:t>and Chairman of the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Board</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760" w:type="dxa"/>
            <w:vAlign w:val="bottom"/>
          </w:tcPr>
          <w:p>
            <w:pPr>
              <w:spacing w:after="0"/>
              <w:rPr>
                <w:sz w:val="20"/>
                <w:szCs w:val="20"/>
                <w:color w:val="auto"/>
              </w:rPr>
            </w:pPr>
            <w:r>
              <w:rPr>
                <w:rFonts w:ascii="Arial" w:cs="Arial" w:eastAsia="Arial" w:hAnsi="Arial"/>
                <w:sz w:val="16"/>
                <w:szCs w:val="16"/>
                <w:b w:val="1"/>
                <w:bCs w:val="1"/>
                <w:color w:val="auto"/>
              </w:rPr>
              <w:t>Matthew Liotta</w:t>
            </w:r>
            <w:r>
              <w:rPr>
                <w:rFonts w:ascii="Arial" w:cs="Arial" w:eastAsia="Arial" w:hAnsi="Arial"/>
                <w:sz w:val="16"/>
                <w:szCs w:val="16"/>
                <w:color w:val="auto"/>
              </w:rPr>
              <w:t>,</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2020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6"/>
              </w:rPr>
              <w:t>161,774</w:t>
            </w:r>
            <w:r>
              <w:rPr>
                <w:rFonts w:ascii="Arial" w:cs="Arial" w:eastAsia="Arial" w:hAnsi="Arial"/>
                <w:sz w:val="21"/>
                <w:szCs w:val="21"/>
                <w:color w:val="auto"/>
                <w:w w:val="96"/>
                <w:vertAlign w:val="superscript"/>
              </w:rPr>
              <w:t>(3)</w:t>
            </w: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91,664</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34,472</w:t>
            </w:r>
            <w:r>
              <w:rPr>
                <w:rFonts w:ascii="Arial" w:cs="Arial" w:eastAsia="Arial" w:hAnsi="Arial"/>
                <w:sz w:val="21"/>
                <w:szCs w:val="21"/>
                <w:color w:val="auto"/>
                <w:vertAlign w:val="superscript"/>
              </w:rPr>
              <w:t>(4)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287,010</w:t>
            </w:r>
          </w:p>
        </w:tc>
        <w:tc>
          <w:tcPr>
            <w:tcW w:w="0" w:type="dxa"/>
            <w:vAlign w:val="bottom"/>
          </w:tcPr>
          <w:p>
            <w:pPr>
              <w:spacing w:after="0"/>
              <w:rPr>
                <w:sz w:val="1"/>
                <w:szCs w:val="1"/>
                <w:color w:val="auto"/>
              </w:rPr>
            </w:pPr>
          </w:p>
        </w:tc>
      </w:tr>
      <w:tr>
        <w:trPr>
          <w:trHeight w:val="207"/>
        </w:trPr>
        <w:tc>
          <w:tcPr>
            <w:tcW w:w="1760" w:type="dxa"/>
            <w:vAlign w:val="bottom"/>
          </w:tcPr>
          <w:p>
            <w:pPr>
              <w:ind w:left="180"/>
              <w:spacing w:after="0"/>
              <w:rPr>
                <w:sz w:val="20"/>
                <w:szCs w:val="20"/>
                <w:color w:val="auto"/>
              </w:rPr>
            </w:pPr>
            <w:r>
              <w:rPr>
                <w:rFonts w:ascii="Arial" w:cs="Arial" w:eastAsia="Arial" w:hAnsi="Arial"/>
                <w:sz w:val="16"/>
                <w:szCs w:val="16"/>
                <w:color w:val="auto"/>
              </w:rPr>
              <w:t>Former Chief</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2019</w:t>
            </w:r>
          </w:p>
        </w:tc>
        <w:tc>
          <w:tcPr>
            <w:tcW w:w="740" w:type="dxa"/>
            <w:vAlign w:val="bottom"/>
            <w:gridSpan w:val="2"/>
          </w:tcPr>
          <w:p>
            <w:pPr>
              <w:jc w:val="right"/>
              <w:ind w:right="41"/>
              <w:spacing w:after="0"/>
              <w:rPr>
                <w:sz w:val="20"/>
                <w:szCs w:val="20"/>
                <w:color w:val="auto"/>
              </w:rPr>
            </w:pPr>
            <w:r>
              <w:rPr>
                <w:rFonts w:ascii="Arial" w:cs="Arial" w:eastAsia="Arial" w:hAnsi="Arial"/>
                <w:sz w:val="16"/>
                <w:szCs w:val="16"/>
                <w:color w:val="auto"/>
              </w:rPr>
              <w:t>87,019</w:t>
            </w:r>
          </w:p>
        </w:tc>
        <w:tc>
          <w:tcPr>
            <w:tcW w:w="10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16,534</w:t>
            </w:r>
          </w:p>
        </w:tc>
        <w:tc>
          <w:tcPr>
            <w:tcW w:w="8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line="207" w:lineRule="exact"/>
              <w:rPr>
                <w:sz w:val="20"/>
                <w:szCs w:val="20"/>
                <w:color w:val="auto"/>
              </w:rPr>
            </w:pPr>
            <w:r>
              <w:rPr>
                <w:rFonts w:ascii="Arial" w:cs="Arial" w:eastAsia="Arial" w:hAnsi="Arial"/>
                <w:sz w:val="16"/>
                <w:szCs w:val="16"/>
                <w:color w:val="auto"/>
              </w:rPr>
              <w:t>140,514</w:t>
            </w:r>
            <w:r>
              <w:rPr>
                <w:rFonts w:ascii="Arial" w:cs="Arial" w:eastAsia="Arial" w:hAnsi="Arial"/>
                <w:sz w:val="21"/>
                <w:szCs w:val="21"/>
                <w:color w:val="auto"/>
                <w:vertAlign w:val="superscript"/>
              </w:rPr>
              <w:t>(5)</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244,067</w:t>
            </w:r>
          </w:p>
        </w:tc>
        <w:tc>
          <w:tcPr>
            <w:tcW w:w="0" w:type="dxa"/>
            <w:vAlign w:val="bottom"/>
          </w:tcPr>
          <w:p>
            <w:pPr>
              <w:spacing w:after="0"/>
              <w:rPr>
                <w:sz w:val="1"/>
                <w:szCs w:val="1"/>
                <w:color w:val="auto"/>
              </w:rPr>
            </w:pPr>
          </w:p>
        </w:tc>
      </w:tr>
      <w:tr>
        <w:trPr>
          <w:trHeight w:val="266"/>
        </w:trPr>
        <w:tc>
          <w:tcPr>
            <w:tcW w:w="1760" w:type="dxa"/>
            <w:vAlign w:val="bottom"/>
          </w:tcPr>
          <w:p>
            <w:pPr>
              <w:ind w:left="360"/>
              <w:spacing w:after="0"/>
              <w:rPr>
                <w:sz w:val="20"/>
                <w:szCs w:val="20"/>
                <w:color w:val="auto"/>
              </w:rPr>
            </w:pPr>
            <w:r>
              <w:rPr>
                <w:rFonts w:ascii="Arial" w:cs="Arial" w:eastAsia="Arial" w:hAnsi="Arial"/>
                <w:sz w:val="16"/>
                <w:szCs w:val="16"/>
                <w:color w:val="auto"/>
                <w:w w:val="91"/>
              </w:rPr>
              <w:t>Technology Officer</w:t>
            </w:r>
            <w:r>
              <w:rPr>
                <w:rFonts w:ascii="Arial" w:cs="Arial" w:eastAsia="Arial" w:hAnsi="Arial"/>
                <w:sz w:val="21"/>
                <w:szCs w:val="21"/>
                <w:color w:val="auto"/>
                <w:w w:val="91"/>
                <w:vertAlign w:val="superscript"/>
              </w:rPr>
              <w:t>(3)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1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Niv Krikov</w:t>
            </w:r>
            <w:r>
              <w:rPr>
                <w:rFonts w:ascii="Arial" w:cs="Arial" w:eastAsia="Arial" w:hAnsi="Arial"/>
                <w:sz w:val="16"/>
                <w:szCs w:val="16"/>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2020</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133,712</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40,776</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31,599</w:t>
            </w:r>
            <w:r>
              <w:rPr>
                <w:rFonts w:ascii="Arial" w:cs="Arial" w:eastAsia="Arial" w:hAnsi="Arial"/>
                <w:sz w:val="21"/>
                <w:szCs w:val="21"/>
                <w:color w:val="auto"/>
                <w:vertAlign w:val="superscript"/>
              </w:rPr>
              <w:t>(4)</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206,087</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Chief Financial Officer</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2019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1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1760" w:type="dxa"/>
            <w:vAlign w:val="bottom"/>
          </w:tcPr>
          <w:p>
            <w:pPr>
              <w:spacing w:after="0"/>
              <w:rPr>
                <w:sz w:val="20"/>
                <w:szCs w:val="20"/>
                <w:color w:val="auto"/>
              </w:rPr>
            </w:pPr>
            <w:r>
              <w:rPr>
                <w:rFonts w:ascii="Arial" w:cs="Arial" w:eastAsia="Arial" w:hAnsi="Arial"/>
                <w:sz w:val="16"/>
                <w:szCs w:val="16"/>
                <w:b w:val="1"/>
                <w:bCs w:val="1"/>
                <w:color w:val="auto"/>
              </w:rPr>
              <w:t>Robert Harrison,</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2020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94,112</w:t>
            </w:r>
            <w:r>
              <w:rPr>
                <w:rFonts w:ascii="Arial" w:cs="Arial" w:eastAsia="Arial" w:hAnsi="Arial"/>
                <w:sz w:val="21"/>
                <w:szCs w:val="21"/>
                <w:color w:val="auto"/>
                <w:vertAlign w:val="superscript"/>
              </w:rPr>
              <w:t>(3)</w:t>
            </w: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15,643</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24,418</w:t>
            </w:r>
            <w:r>
              <w:rPr>
                <w:rFonts w:ascii="Arial" w:cs="Arial" w:eastAsia="Arial" w:hAnsi="Arial"/>
                <w:sz w:val="21"/>
                <w:szCs w:val="21"/>
                <w:color w:val="auto"/>
                <w:vertAlign w:val="superscript"/>
              </w:rPr>
              <w:t>(4)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134,173</w:t>
            </w: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Arial" w:cs="Arial" w:eastAsia="Arial" w:hAnsi="Arial"/>
                <w:sz w:val="16"/>
                <w:szCs w:val="16"/>
                <w:color w:val="auto"/>
                <w:w w:val="95"/>
              </w:rPr>
              <w:t>Chief Operating Officer</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2019</w:t>
            </w: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8"/>
        </w:trPr>
        <w:tc>
          <w:tcPr>
            <w:tcW w:w="1760" w:type="dxa"/>
            <w:vAlign w:val="bottom"/>
          </w:tcPr>
          <w:p>
            <w:pPr>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880" w:right="919" w:hanging="426"/>
        <w:spacing w:after="0" w:line="265" w:lineRule="auto"/>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Reflects the aggregate grant date fair value of stock options granted during the relevant fiscal year calculated in accordance with FASB ASC Topic 718. For a discussion of valuation assumptions, see Note 9 to our audited consolidated financial statements included in this proxy statement/prospectus.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payment of health plan premiums as per our policy.</w:t>
      </w:r>
    </w:p>
    <w:p>
      <w:pPr>
        <w:spacing w:after="0" w:line="18" w:lineRule="exact"/>
        <w:rPr>
          <w:rFonts w:ascii="Arial" w:cs="Arial" w:eastAsia="Arial" w:hAnsi="Arial"/>
          <w:sz w:val="16"/>
          <w:szCs w:val="16"/>
          <w:color w:val="auto"/>
        </w:rPr>
      </w:pPr>
    </w:p>
    <w:p>
      <w:pPr>
        <w:ind w:left="880" w:right="539" w:hanging="426"/>
        <w:spacing w:after="0" w:line="264" w:lineRule="auto"/>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August 5, 2020, Mr. Liotta resigned from his position as chief technology officer and is no longer an employee of our company. On December 17, 2020, Mr. Liotta resigned from our board of directors and in consideration of such resignation, we agreed on the acceleration of vesting of all unvested options to purchase shares of our common stock held by Mr. Liotta and his spouse, Jennifer Liotta.</w:t>
      </w:r>
    </w:p>
    <w:p>
      <w:pPr>
        <w:ind w:left="880" w:hanging="426"/>
        <w:spacing w:after="0"/>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payment of health plan premiums as per our policy.</w:t>
      </w:r>
    </w:p>
    <w:p>
      <w:pPr>
        <w:spacing w:after="0" w:line="18" w:lineRule="exact"/>
        <w:rPr>
          <w:rFonts w:ascii="Arial" w:cs="Arial" w:eastAsia="Arial" w:hAnsi="Arial"/>
          <w:sz w:val="16"/>
          <w:szCs w:val="16"/>
          <w:color w:val="auto"/>
        </w:rPr>
      </w:pPr>
    </w:p>
    <w:p>
      <w:pPr>
        <w:jc w:val="both"/>
        <w:ind w:left="880" w:right="519" w:hanging="426"/>
        <w:spacing w:after="0" w:line="276" w:lineRule="auto"/>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our payment of health plan premiums as per our policy in the total amount of $13,848 and consulting fees of $126,666 as per consulting agreement between TriGrow and Argand Group, LLC, a company controlled by Matthew Liotta.</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Raymond Chang</w:t>
      </w:r>
    </w:p>
    <w:p>
      <w:pPr>
        <w:spacing w:after="0" w:line="14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We will enter into an employment agreement with Raymond Chang to serve as our Chief Executive Officer effective as of the closing of this offering. We agreed to pay Mr. Chang an annual base salary of $300,000. Mr. Chang will be eligible to receive a discretionary performance-based bonus of up to $300,000 that will be determined and paid at the sole discretion of the Company and may be based on a variety of factors, including his individual performance and the overall performance of the Company. The agreement is for an initial term of three years, to be automatically extended for successive three-year periods, subject to earlier termination as provided in the agreement.</w:t>
      </w:r>
    </w:p>
    <w:p>
      <w:pPr>
        <w:spacing w:after="0" w:line="11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the event that Mr. Chang’s employment is terminated by us without cause or in connection with a change of control or by Mr. Chang for good reason, he will be entitled to receive certain severance benefits, including severance pay equal to the greater of (a) 300% of his annual base salary and (b) $1,000,000.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 In addition to the terms of our standard invention assignment, restrictive covenants, and confidentiality agreement, Mr. Chang’s employment agreement contains confidentiality, non-solicitation and non-competition provisions, whereby</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5" w:name="page96"/>
    <w:bookmarkEnd w:id="9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59"/>
        <w:spacing w:after="0" w:line="277" w:lineRule="auto"/>
        <w:rPr>
          <w:sz w:val="20"/>
          <w:szCs w:val="20"/>
          <w:color w:val="auto"/>
        </w:rPr>
      </w:pPr>
      <w:r>
        <w:rPr>
          <w:rFonts w:ascii="Arial" w:cs="Arial" w:eastAsia="Arial" w:hAnsi="Arial"/>
          <w:sz w:val="18"/>
          <w:szCs w:val="18"/>
          <w:color w:val="auto"/>
        </w:rPr>
        <w:t>Mr. Chang is subject to non-solicitation restrictions for a period of at least one year and to non-competition restrictions for a period of at least six months following his employment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Niv Krikov</w:t>
      </w:r>
    </w:p>
    <w:p>
      <w:pPr>
        <w:spacing w:after="0" w:line="15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On January 20, 2020, we and Mr. Krikov entered into an employment agreement pursuant to which Mr. Krikov agreed to be our chief financial officer, effective as of February 1, 2020. Pursuant to this agreement, Mr. Krikov is paid an annual gross salary of $175,000. Mr. Krikov’s employment is on an “at will” basis and the agreement may be terminated by either party at any time and for any reason.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Robert Harrison</w:t>
      </w:r>
    </w:p>
    <w:p>
      <w:pPr>
        <w:spacing w:after="0" w:line="158"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On April 15, 2020, we and Mr. Harrison entered into an employment agreement pursuant to which Mr. Harrison agreed to be our Director of Project Management. Pursuant to this agreement, Mr. Harrison is paid an annual gross salary of $125,000. On July 21, 2020, Mr. Harrison was appointed to be our Chief Operating Officer. Mr. Harrison’s employment is on an “at will” basis and the agreement may be terminated by either party at any time and for any reason.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Former Chief Technology Officer</w:t>
      </w:r>
    </w:p>
    <w:p>
      <w:pPr>
        <w:spacing w:after="0" w:line="14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On June 4, 2019, we and Matthew Liotta entered into an employment agreement pursuant to which Mr. Liotta agreed to be our chief technology officer, effective as of June 4, 2019. Pursuant to this agreement, Mr. Liotta was paid an annual gross salary of $170,000 and agreed to a one year non-competition restriction as well as a one year non-solicitation restriction. Mr. Liotta accepted a temporary salary reduction of 35% as of April 1, 2020. On August 5, 2020, Mr. Liotta resigned as chief technology officer to pursue other opportunities. In consideration for his service to our company, Mr. Liotta entered into a separation agreement pursuant to which he will receive severance in an amount equal to six months of his base salary payable over such period. On December 17, 2020, Mr. Liotta resigned from our board of directors and in consideration of such resignation, we agreed on the acceleration of vesting of all unvested options to purchase shares of our common stock held by Mr. Liotta and his spouse, Jennifer Liotta.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62" w:lineRule="exact"/>
        <w:rPr>
          <w:sz w:val="20"/>
          <w:szCs w:val="20"/>
          <w:color w:val="auto"/>
        </w:rPr>
      </w:pPr>
    </w:p>
    <w:p>
      <w:pPr>
        <w:ind w:left="460" w:right="679" w:firstLine="432"/>
        <w:spacing w:after="0" w:line="311" w:lineRule="auto"/>
        <w:rPr>
          <w:sz w:val="20"/>
          <w:szCs w:val="20"/>
          <w:color w:val="auto"/>
        </w:rPr>
      </w:pPr>
      <w:r>
        <w:rPr>
          <w:rFonts w:ascii="Arial" w:cs="Arial" w:eastAsia="Arial" w:hAnsi="Arial"/>
          <w:sz w:val="16"/>
          <w:szCs w:val="16"/>
          <w:color w:val="auto"/>
        </w:rPr>
        <w:t>Pursuant to Mr. Chang’s employment agreement as more fully described above, he is entitled to receive potential payments upon a termination of employment without cause or resignation for good reason or termination of employment without cause or resignation for good reason following a change in control.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 Equity Incentive Awards At Fiscal Year-End</w:t>
      </w:r>
    </w:p>
    <w:p>
      <w:pPr>
        <w:spacing w:after="0" w:line="14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following table sets forth certain information concerning option awards and stock awards held by our named executive officers as of December 31, 2020. Option awards that were granted in 2019 were subsequently revoked and in May 2020, we issued replacement options for the same number of shares but with a lower exercise price.</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tcPr>
          <w:p>
            <w:pPr>
              <w:ind w:left="28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Plan</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Number</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Market</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Unearned</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Shares,</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Shares</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Units or</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or Units</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 or</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Stock</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Units of</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Rights</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00" w:type="dxa"/>
            <w:vAlign w:val="bottom"/>
            <w:gridSpan w:val="2"/>
            <w:vMerge w:val="continue"/>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5"/>
              </w:rPr>
              <w:t>that Have</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1"/>
              </w:rPr>
              <w:t>Stock that</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that Have</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Unearned</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gridSpan w:val="2"/>
            <w:vMerge w:val="continue"/>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 Not</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48"/>
        </w:trPr>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6"/>
        </w:trPr>
        <w:tc>
          <w:tcPr>
            <w:tcW w:w="1180" w:type="dxa"/>
            <w:vAlign w:val="bottom"/>
            <w:gridSpan w:val="2"/>
            <w:vMerge w:val="continue"/>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Exercisable</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Unexercisable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Raymond</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73"/>
              <w:spacing w:after="0" w:line="182" w:lineRule="exact"/>
              <w:rPr>
                <w:sz w:val="20"/>
                <w:szCs w:val="20"/>
                <w:color w:val="auto"/>
              </w:rPr>
            </w:pPr>
            <w:r>
              <w:rPr>
                <w:rFonts w:ascii="Arial" w:cs="Arial" w:eastAsia="Arial" w:hAnsi="Arial"/>
                <w:sz w:val="16"/>
                <w:szCs w:val="16"/>
                <w:color w:val="auto"/>
              </w:rPr>
              <w:t>108,017</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229,698</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2.28</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6"/>
                <w:szCs w:val="16"/>
                <w:color w:val="auto"/>
                <w:w w:val="95"/>
              </w:rPr>
              <w:t>May 6,</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440"/>
              <w:spacing w:after="0" w:line="182" w:lineRule="exact"/>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520"/>
              <w:spacing w:after="0" w:line="182" w:lineRule="exact"/>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Chang</w:t>
            </w:r>
            <w:r>
              <w:rPr>
                <w:rFonts w:ascii="Arial" w:cs="Arial" w:eastAsia="Arial" w:hAnsi="Arial"/>
                <w:sz w:val="21"/>
                <w:szCs w:val="21"/>
                <w:b w:val="1"/>
                <w:bCs w:val="1"/>
                <w:color w:val="auto"/>
                <w:vertAlign w:val="superscript"/>
              </w:rPr>
              <w:t>(1)</w:t>
            </w: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14,267</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July 20,</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80" w:type="dxa"/>
            <w:vAlign w:val="bottom"/>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264,823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19,</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80" w:type="dxa"/>
            <w:vAlign w:val="bottom"/>
            <w:gridSpan w:val="2"/>
            <w:shd w:val="clear" w:color="auto" w:fill="CCEEFF"/>
          </w:tcPr>
          <w:p>
            <w:pPr>
              <w:spacing w:after="0" w:line="193" w:lineRule="exact"/>
              <w:rPr>
                <w:sz w:val="20"/>
                <w:szCs w:val="20"/>
                <w:color w:val="auto"/>
              </w:rPr>
            </w:pPr>
            <w:r>
              <w:rPr>
                <w:rFonts w:ascii="Arial" w:cs="Arial" w:eastAsia="Arial" w:hAnsi="Arial"/>
                <w:sz w:val="16"/>
                <w:szCs w:val="16"/>
                <w:b w:val="1"/>
                <w:bCs w:val="1"/>
                <w:color w:val="auto"/>
              </w:rPr>
              <w:t>Niv Krikov</w:t>
            </w:r>
            <w:r>
              <w:rPr>
                <w:rFonts w:ascii="Arial" w:cs="Arial" w:eastAsia="Arial" w:hAnsi="Arial"/>
                <w:sz w:val="21"/>
                <w:szCs w:val="21"/>
                <w:b w:val="1"/>
                <w:bCs w:val="1"/>
                <w:color w:val="auto"/>
                <w:vertAlign w:val="superscript"/>
              </w:rPr>
              <w:t>(2)</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147,410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5"/>
              </w:rPr>
              <w:t>May 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ind w:left="460"/>
              <w:spacing w:after="0" w:line="192"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9"/>
                <w:szCs w:val="9"/>
                <w:color w:val="auto"/>
              </w:rPr>
              <w:t>(2)</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23,282</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July 20,</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80" w:type="dxa"/>
            <w:vAlign w:val="bottom"/>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60"/>
              <w:spacing w:after="0" w:line="192"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9"/>
                <w:szCs w:val="9"/>
                <w:color w:val="auto"/>
              </w:rPr>
              <w:t>(2)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137,711</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19,</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Robert</w:t>
            </w:r>
          </w:p>
        </w:tc>
        <w:tc>
          <w:tcPr>
            <w:tcW w:w="840" w:type="dxa"/>
            <w:vAlign w:val="bottom"/>
            <w:gridSpan w:val="2"/>
            <w:shd w:val="clear" w:color="auto" w:fill="CCEEFF"/>
          </w:tcPr>
          <w:p>
            <w:pPr>
              <w:ind w:left="46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9"/>
                <w:szCs w:val="9"/>
                <w:color w:val="auto"/>
              </w:rPr>
              <w:t>(2)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13,401</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5"/>
              </w:rPr>
              <w:t>May 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Harrison</w:t>
            </w:r>
            <w:r>
              <w:rPr>
                <w:rFonts w:ascii="Arial" w:cs="Arial" w:eastAsia="Arial" w:hAnsi="Arial"/>
                <w:sz w:val="21"/>
                <w:szCs w:val="21"/>
                <w:b w:val="1"/>
                <w:bCs w:val="1"/>
                <w:color w:val="auto"/>
                <w:vertAlign w:val="superscript"/>
              </w:rPr>
              <w:t>(3)</w:t>
            </w: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ind w:left="460"/>
              <w:spacing w:after="0" w:line="192"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9"/>
                <w:szCs w:val="9"/>
                <w:color w:val="auto"/>
              </w:rPr>
              <w:t>(2)</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71,944</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July 20,</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80" w:type="dxa"/>
            <w:vAlign w:val="bottom"/>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60"/>
              <w:spacing w:after="0" w:line="192"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9"/>
                <w:szCs w:val="9"/>
                <w:color w:val="auto"/>
              </w:rPr>
              <w:t>(2)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68,856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19,</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Matthew</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6"/>
                <w:szCs w:val="16"/>
                <w:color w:val="auto"/>
              </w:rPr>
              <w:t>54,011</w:t>
            </w:r>
            <w:r>
              <w:rPr>
                <w:rFonts w:ascii="Arial" w:cs="Arial" w:eastAsia="Arial" w:hAnsi="Arial"/>
                <w:sz w:val="21"/>
                <w:szCs w:val="21"/>
                <w:color w:val="auto"/>
                <w:vertAlign w:val="superscript"/>
              </w:rPr>
              <w:t>(2)</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141,651</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5"/>
              </w:rPr>
              <w:t>May 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Liotta</w:t>
            </w:r>
            <w:r>
              <w:rPr>
                <w:rFonts w:ascii="Arial" w:cs="Arial" w:eastAsia="Arial" w:hAnsi="Arial"/>
                <w:sz w:val="21"/>
                <w:szCs w:val="21"/>
                <w:b w:val="1"/>
                <w:bCs w:val="1"/>
                <w:color w:val="auto"/>
                <w:vertAlign w:val="superscript"/>
              </w:rPr>
              <w:t>(4)</w:t>
            </w: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79" w:hanging="426"/>
        <w:spacing w:after="0" w:line="307" w:lineRule="auto"/>
        <w:tabs>
          <w:tab w:leader="none" w:pos="8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On December 9, 2019, Mr. Chang was granted options to purchase 150,103 shares of our common stock under our 2019 Plan, which options vest in equal monthly installments over a period of 48 months, exercisable at $3.10 per share and expiring 10 years from the date of grant. These options were subsequently cancelled in May 2020. On May 6, 2020 Mr. Chang was granted options to purchase 337,715 shares of common stock at an exercise price per share of $2.28 and expiring 10 years from the date of grant. 90,719 of the stock options were fully vested on the grant date and the remaining stock options vest monthly over 24 to 48 months, and 153,223 shares are subject to accelerated vesting in the event of a change of control transaction or initial public offering. On July 20, 2020, Mr. Chang was granted options to purchase 14,267 shares of common stock at an exercise price per share of $2.28 and expiring 10 years from the date of grant. 25% of the options vest 12 months following issuance and the balance vests in 36 equal monthly installments thereafter. On October 19, 2020, Mr. Chang was granted stock options to purchase 264,823 shares of common stock under our 2019 Plan at an exercise price per share of $4.86 and expiring 10 years from the date of grant. 25% of the options vest 12 months following issuance and the balance vests in 36 equal monthly installments thereafter. Each of the July 20, 2020 and October 19, 2020 stock option grants provides for accelerated vesting in the event of a change of control transaction or an initial public offering under which 50% of such options (assuming none have previously vested) will vest immediately prior to such event.</w:t>
      </w:r>
    </w:p>
    <w:p>
      <w:pPr>
        <w:spacing w:after="0" w:line="158" w:lineRule="exact"/>
        <w:rPr>
          <w:rFonts w:ascii="Arial" w:cs="Arial" w:eastAsia="Arial" w:hAnsi="Arial"/>
          <w:sz w:val="14"/>
          <w:szCs w:val="14"/>
          <w:color w:val="auto"/>
        </w:rPr>
      </w:pPr>
    </w:p>
    <w:p>
      <w:pPr>
        <w:ind w:left="880" w:right="479" w:hanging="426"/>
        <w:spacing w:after="0" w:line="308" w:lineRule="auto"/>
        <w:tabs>
          <w:tab w:leader="none" w:pos="8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On May 6, 2020, Mr. Krikov was granted stock options to purchase 147,410 shares of common stock under our 2019 Stock Option Plan (the “2019 Plan”) at an exercise price per share of $2.28 and expiring 10 years from the date of grant. 25% of the options vest 12 months following issuance and the balance vests in 36 equal monthly installments thereafter. On July 20, 2020, Mr. Krikov was granted stock options to purchase 23,282 shares of common stock under our 2019 Plan at an exercise price per share of $2.28 and expiring 10 years from the date of grant. 25% of the options vest 12 months following issuance and the balance vests in 36 equal monthly installments thereafter. On October 19, 2020, Mr. Krikov was granted stock options to purchase 137,711 shares of common stock under our 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sectPr>
          <w:pgSz w:w="11900" w:h="16838" w:orient="portrait"/>
          <w:cols w:equalWidth="0" w:num="1">
            <w:col w:w="9019"/>
          </w:cols>
          <w:pgMar w:left="1440" w:top="274" w:right="1440" w:bottom="115" w:gutter="0" w:footer="0" w:header="0"/>
        </w:sectPr>
      </w:pP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5" w:gutter="0" w:footer="0" w:header="0"/>
          <w:type w:val="continuous"/>
        </w:sectPr>
      </w:pPr>
    </w:p>
    <w:bookmarkStart w:id="97" w:name="page98"/>
    <w:bookmarkEnd w:id="9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519" w:hanging="426"/>
        <w:spacing w:after="0" w:line="300"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 May 6, 2020, Mr. Harrison was granted stock options to purchase 13,401 shares of common stock under our 2019 Plan at an exercise price per share of $2.28. 25% of the options vest 12 months following issuance and the balance vests in 36 equal monthly installments thereafter. On July 20, 2020, Mr. Harrison was granted stock options to purchase 71,944 shares of common stock under our 2019 Plan at an exercise price per share of $2.28. 25% of the options vest 12 months following issuance and the balance vests in 36 equal monthly installments thereafter. On October 19, 2020, Mr. Harrison was granted stock options to purchase 68,856 shares of common stock under our</w:t>
      </w:r>
    </w:p>
    <w:p>
      <w:pPr>
        <w:spacing w:after="0" w:line="1" w:lineRule="exact"/>
        <w:rPr>
          <w:rFonts w:ascii="Arial" w:cs="Arial" w:eastAsia="Arial" w:hAnsi="Arial"/>
          <w:sz w:val="14"/>
          <w:szCs w:val="14"/>
          <w:color w:val="auto"/>
        </w:rPr>
      </w:pPr>
    </w:p>
    <w:p>
      <w:pPr>
        <w:ind w:left="880" w:right="479"/>
        <w:spacing w:after="0" w:line="264" w:lineRule="auto"/>
        <w:rPr>
          <w:rFonts w:ascii="Arial" w:cs="Arial" w:eastAsia="Arial" w:hAnsi="Arial"/>
          <w:sz w:val="14"/>
          <w:szCs w:val="14"/>
          <w:color w:val="auto"/>
        </w:rPr>
      </w:pPr>
      <w:r>
        <w:rPr>
          <w:rFonts w:ascii="Arial" w:cs="Arial" w:eastAsia="Arial" w:hAnsi="Arial"/>
          <w:sz w:val="16"/>
          <w:szCs w:val="16"/>
          <w:color w:val="auto"/>
        </w:rPr>
        <w:t>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ind w:left="880" w:right="519" w:hanging="426"/>
        <w:spacing w:after="0" w:line="286" w:lineRule="auto"/>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December 26, 2019, Mr. Liotta was granted options to purchase 75,054 shares of our common stock under our 2019 Plan, which options vested in equal monthly installments over a period of 48 months, exercisable at $3.42 per share and expiring 5 years from the date of grant. These options were subsequently cancelled in May 2020. On May 6, 2020, Mr. Liotta was granted stock options to purchase 195,662 shares of common stock under our 2019 Plan at an exercise price per share of $2.51 and expiring 5 years from the date of grant. 45,346 of the stock options were fully vested on the grant date and the remaining stock options vest monthly over 24 to 48 months. On August 5, 2020, Mr. Liotta resigned from his position as chief technology officer and is no longer an employee of our company. On December 17, 2020, Mr. Liotta resigned from our board of directors and in consideration of such resignation, we agreed on the acceleration of vesting of all unvested options to purchase shares of our common stock held by Mr. Liotta and his spouse, Jennifer Liotta.</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Non-Executive Director Compensation</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Except as set forth below, the non-executive members of our board of directors have not received any compensation prior to this offering and no arrangements have been entered into in relating to compensation after this offering. Following this offering, the board of directors will establish a compensation package for the non-executive members of the board of directors.</w:t>
      </w:r>
    </w:p>
    <w:p>
      <w:pPr>
        <w:spacing w:after="0" w:line="119" w:lineRule="exact"/>
        <w:rPr>
          <w:sz w:val="20"/>
          <w:szCs w:val="20"/>
          <w:color w:val="auto"/>
        </w:rPr>
      </w:pPr>
    </w:p>
    <w:p>
      <w:pPr>
        <w:ind w:left="460" w:right="579" w:firstLine="432"/>
        <w:spacing w:after="0" w:line="285" w:lineRule="auto"/>
        <w:rPr>
          <w:sz w:val="20"/>
          <w:szCs w:val="20"/>
          <w:color w:val="auto"/>
        </w:rPr>
      </w:pPr>
      <w:r>
        <w:rPr>
          <w:rFonts w:ascii="Arial" w:cs="Arial" w:eastAsia="Arial" w:hAnsi="Arial"/>
          <w:sz w:val="16"/>
          <w:szCs w:val="16"/>
          <w:color w:val="auto"/>
        </w:rPr>
        <w:t>On May 6, 2020, Mr. Massie was granted options to purchase 18,358 shares of common stock at an exercise price per share of $2.28 and expiring 10 years from the date of grant. 8,913 of the stock options were fully vested on grant date and the remaining stock options are vested monthly over 24 to 48 months. This stock option grant provides that 1,674 shares are subject to accelerated for vesting in the event of a change of control transaction or an initial public offering. On August 10, 2020, Mr. Massie was granted options to purchase 13,276 shares of common stock at an exercise price per share of $2.28 and expiring 10 years from the date of grant. 25% of the options vest 12 months following issuance and the balance vests in 36 equal monthly installments thereafter. On October 19, 2020, Mr. Massie was granted stock options to purchase 36,900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 On December 21, 2020, Mr. Massie was granted stock options to purchase 22,127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04" w:lineRule="exact"/>
        <w:rPr>
          <w:sz w:val="20"/>
          <w:szCs w:val="20"/>
          <w:color w:val="auto"/>
        </w:rPr>
      </w:pPr>
    </w:p>
    <w:p>
      <w:pPr>
        <w:ind w:left="460" w:right="599" w:firstLine="432"/>
        <w:spacing w:after="0" w:line="268" w:lineRule="auto"/>
        <w:rPr>
          <w:sz w:val="20"/>
          <w:szCs w:val="20"/>
          <w:color w:val="auto"/>
        </w:rPr>
      </w:pPr>
      <w:r>
        <w:rPr>
          <w:rFonts w:ascii="Arial" w:cs="Arial" w:eastAsia="Arial" w:hAnsi="Arial"/>
          <w:sz w:val="17"/>
          <w:szCs w:val="17"/>
          <w:color w:val="auto"/>
        </w:rPr>
        <w:t>On July 20, 2020, Mr. Varier was granted options to purchase 3,161 shares of common stock at an exercise price per share of $2.28 and expiring 10 years from the date of grant. 25% of the options vest 12 months following issuance and the balance vests in 36 equal monthly installments thereafter. This stock option grant provides that 50% of shares are subject to accelerated for vesting in the event of a change of control transaction or an initial public offering. On August 10, 2020, Mr. Varier was granted options to purchase 2,086 shares of common stock at an exercise price per share of $2.28 and expiring 10 years from the date of grant. 25% of the options vest 12 months following issuance and the balance vests in 36 equal monthly installments thereafter. On October 19, 2020, Mr. Varier was granted stock options to purchase 35,873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8" w:name="page99"/>
    <w:bookmarkEnd w:id="9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On October 19, 2020, Mr. Hua was granted stock options to purchase 41,120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5"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On October 19, 2020, Mr. Mahoney was granted stock options to purchase 41,120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5"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On October 19, 2020, Mr. Oakes was granted stock options to purchase 41,120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11"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On December 21, 2020, Mr. Kressy was granted stock options to purchase 22,127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ind w:left="460" w:right="879" w:firstLine="432"/>
        <w:spacing w:after="0" w:line="263" w:lineRule="auto"/>
        <w:rPr>
          <w:sz w:val="20"/>
          <w:szCs w:val="20"/>
          <w:color w:val="auto"/>
        </w:rPr>
      </w:pPr>
      <w:r>
        <w:rPr>
          <w:rFonts w:ascii="Arial" w:cs="Arial" w:eastAsia="Arial" w:hAnsi="Arial"/>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2019 Stock Option Plan</w:t>
      </w:r>
    </w:p>
    <w:p>
      <w:pPr>
        <w:spacing w:after="0" w:line="162"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On June 4, 2019, we adopted and approved the 2019 Stock Option Plan which provides for the issuance of 1,743,744 shares of our common stock. On August 10, 2020 and October 8, 2020, our Board of Directors and stockholders, respectively, approved an increase to the maximum number of shares of common stock authorized for issuance over the term of the 2019 Plan from 1,743,744 shares to 3,355,083 shares. As of the date of this prospectus, we have granted an aggregate of 3,030,359 options to various officers, directors, employees and consultants under the 2019 Plan. As of the date of this prospectus, there are 324,724 shares available to be granted under the 2019 Plan. On or prior to the consummation of this offering, we intend to cancel the 2019 Plan and convert these stock options to the 2020 Plan, as more fully described below. Under the 2019 Stock Option Plan, the standard vesting schedule provides that 25% of the options vest 12 months following issuance and the balance vests in 36 equal monthly installments thereafter. However, our board of directors is permitted to provide for alternative or accelerated vesting schedules in approving each stock option grant. In many cases, our board of directors has included an accelerated vesting schedule under which 50% of the stock options granted vest immediately prior to a change of control transaction or the our first underwritten public offering.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2020 Omnibus Equity Incentive Plan</w:t>
      </w:r>
    </w:p>
    <w:p>
      <w:pPr>
        <w:spacing w:after="0" w:line="148"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Our board of directors and stockholders have adopted and approved the 2020 Omnibus Equity Incentive Plan (the “2020 Plan”), which has replaced the 2019 Plan. The 2020 Plan is a comprehensive incentive compensation plan under which we can grant equity-based and other incentive awards to our officers, employees, directors, consultants and advisers. The purpose of the 2020 Plan is to help us attract, motivate and retain such persons with awards under the 2020 Plan and thereby enhance shareholder value.</w:t>
      </w:r>
    </w:p>
    <w:p>
      <w:pPr>
        <w:spacing w:after="0" w:line="94"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2020 Plan is administered by the board, and upon consummation of this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administered by the compensation committee of the board, which shall consist of three members of the board, each of whom is a “non-employee director” within the meaning of Rule 16b-3 promulgated under the Exchange Act</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9" w:name="page100"/>
    <w:bookmarkEnd w:id="9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285" w:lineRule="auto"/>
        <w:rPr>
          <w:sz w:val="20"/>
          <w:szCs w:val="20"/>
          <w:color w:val="auto"/>
        </w:rPr>
      </w:pPr>
      <w:r>
        <w:rPr>
          <w:rFonts w:ascii="Arial" w:cs="Arial" w:eastAsia="Arial" w:hAnsi="Arial"/>
          <w:sz w:val="16"/>
          <w:szCs w:val="16"/>
          <w:color w:val="auto"/>
        </w:rPr>
        <w:t>and “independent” for purposes of any applicable listing requirements. If a member of the compensation committee is eligible to receive an award under the 2020 Plan, such compensation committee member shall have no authority under the plan with respect to his or her own award. Among other things, the compensation committee has complete discretion, subject to the express limits of the 2020 Plan, to determine the directors, employees and nonemployee consultants to be granted an award, the type of award to be granted the terms and conditions of the award, the form of payment to be made and/or the number of shares of common stock subject to each award, the exercise price of each option and base price of each stock appreciation right (“SAR”), the term of each award, the vesting schedule for an award, whether to accelerate vesting, the value of the common stock underlying the award, and the required withholding, if any. The compensation committee may amend, modify or terminate any outstanding award, provided that the participant’s consent to such action is required if the action would impair the participant’s rights or entitlements with respect to that award. The compensation committee is also authorized to construe the award agreements, and may prescribe rules relating to the 2020 Plan. Notwithstanding the foregoing, the compensation committee does not have any authority to grant or modify an award under the 2020 Plan with terms or conditions that would cause the grant, vesting or exercise thereof to be considered nonqualified “deferred compensation” subject to Code Section 409A, unless such award is structured to be exempt from or comply with all requirements of Code Section 409A.</w:t>
      </w:r>
    </w:p>
    <w:p>
      <w:pPr>
        <w:spacing w:after="0" w:line="109"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i w:val="1"/>
          <w:iCs w:val="1"/>
          <w:color w:val="auto"/>
        </w:rPr>
        <w:t>Grant of Awards; Shares Available for Awards</w:t>
      </w:r>
      <w:r>
        <w:rPr>
          <w:rFonts w:ascii="Arial" w:cs="Arial" w:eastAsia="Arial" w:hAnsi="Arial"/>
          <w:sz w:val="16"/>
          <w:szCs w:val="16"/>
          <w:color w:val="auto"/>
        </w:rPr>
        <w:t>. The 2020 Plan provides for the grant of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reserved and available for grant and issuance under the 2020 Plan is 1,580,474 shares, plus any reserved shares of common stock not issued or subject to outstanding awards granted under our 2019 Stock Plan (the “Prior Plan”). No more than 1,580,474 shares of common stock in the aggregate may be issued under the 2020 Plan in connection with incentive stock options. Shares shall be deemed to have been issued under the 2020 Plan solely to the extent actually issued and delivered pursuant to an award. If any award granted under the Prior Plan or the 2020 Plan expires, is cancelled, or terminates unexercised or is forfeited, the number of shares subject thereto is again available for grant under the 2020 Plan. The 2020 Plan shall continue in effect, unless sooner terminated, until the tenth (10</w:t>
      </w:r>
      <w:r>
        <w:rPr>
          <w:rFonts w:ascii="Arial" w:cs="Arial" w:eastAsia="Arial" w:hAnsi="Arial"/>
          <w:sz w:val="18"/>
          <w:szCs w:val="18"/>
          <w:color w:val="auto"/>
          <w:vertAlign w:val="superscript"/>
        </w:rPr>
        <w:t>th</w:t>
      </w:r>
      <w:r>
        <w:rPr>
          <w:rFonts w:ascii="Arial" w:cs="Arial" w:eastAsia="Arial" w:hAnsi="Arial"/>
          <w:sz w:val="16"/>
          <w:szCs w:val="16"/>
          <w:color w:val="auto"/>
        </w:rPr>
        <w:t>) anniversary of the date on which it is adopted by the board of directors. The board of directors in its discretion may terminate the 2020 Plan at any time with respect to any shares for which awards have not theretofore been granted; provided, however, that the 2020 Plan’s termination shall not materially and adversely impair the rights of a holder, without the consent of the holder, with respect to any award previously granted.</w:t>
      </w:r>
    </w:p>
    <w:p>
      <w:pPr>
        <w:spacing w:after="0" w:line="323"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Future new hires and additional non-employee directors and/or consultants would be eligible to participate in the 2020 Plan as well. The number of stock options and/or shares of restricted stock to be granted to executives and directors cannot be determined at this time as the grant of stock options and/or shares of restricted stock is dependent upon various factors such as hiring requirements and job performance.</w:t>
      </w:r>
    </w:p>
    <w:p>
      <w:pPr>
        <w:spacing w:after="0" w:line="76"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2020 Plan provides for either “incentive stock options” (“ISOs”), which are 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to meet the requirements for special federal income tax treatment under Section 422 of the Code, or “nonqualified stock options” (“NQSOs”). Stock options may be granted on such terms and conditions as the compensation committee may determine, which shall be specified in the option agreement; provided, however, that the per share exercise price under a stock option may not be less than the fair market value of a share of common stock on the date of grant and the term of the stock option may not exceed 10 years (110% of such value and five years in the case of an ISO granted to an employee who owns (or is deemed to own) more than 10% of the total combined voting power of all classes of capital stock of our Company or a parent or subsidiary of our Company). ISOs may only be granted to employees. In addition, the aggregate fair market value of common stock covered by one or more ISOs (determined at the time of grant), which are exercisable for the first time by an employee during any calendar year may not exceed $100,000. Any excess is treated as a NQSO.</w:t>
      </w:r>
    </w:p>
    <w:p>
      <w:pPr>
        <w:spacing w:after="0" w:line="104"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A SAR entitles the participant, upon exercise, to receive an amount,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or stock or a combination thereof, equal to the increase in the fair market value of the underlying common stock between the date of grant and the date of exercise. The compensation committee shall set forth in the applicable SAR award agreement the terms and conditions of the SAR, including the base value for the SAR (which shall not be less than the fair market value of a share on the date of grant), the number of shares subject to the SAR and the period during which the SAR may be exercised and any other special rules and/or requirements which the compensation committee imposes on the SAR. No SAR shall be exercisable after the expiration of ten (10) years from the date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0" w:name="page101"/>
    <w:bookmarkEnd w:id="10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90" w:lineRule="auto"/>
        <w:rPr>
          <w:sz w:val="20"/>
          <w:szCs w:val="20"/>
          <w:color w:val="auto"/>
        </w:rPr>
      </w:pPr>
      <w:r>
        <w:rPr>
          <w:rFonts w:ascii="Arial" w:cs="Arial" w:eastAsia="Arial" w:hAnsi="Arial"/>
          <w:sz w:val="16"/>
          <w:szCs w:val="16"/>
          <w:color w:val="auto"/>
        </w:rPr>
        <w:t>of grant. SARs may be granted in tandem with, or independently of, stock options granted under the 2020 Plan. A SAR granted in tandem with a stock option (i) is exercisable only at such times, and to the extent, that the related stock option is exercisable in accordance with the procedure for exercise of the related stock option; (ii) terminates upon termination or exercise of the related stock option (likewise, the common stock option granted in tandem with a SAR terminates upon exercise of the SAR); (iii) is transferable only with the related stock option; and (iv) if the related stock option is an ISO, may be exercised only when the value of the stock subject to the stock option exceeds the exercise price of the stock option. A SAR that is not granted in tandem with a stock option is exercisable at such times as the compensation committee may specify.</w:t>
      </w:r>
    </w:p>
    <w:p>
      <w:pPr>
        <w:spacing w:after="0" w:line="98"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i w:val="1"/>
          <w:iCs w:val="1"/>
          <w:color w:val="auto"/>
        </w:rPr>
        <w:t>Performance Shares and Performance Unit Awards</w:t>
      </w:r>
      <w:r>
        <w:rPr>
          <w:rFonts w:ascii="Arial" w:cs="Arial" w:eastAsia="Arial" w:hAnsi="Arial"/>
          <w:sz w:val="16"/>
          <w:szCs w:val="16"/>
          <w:color w:val="auto"/>
        </w:rPr>
        <w:t>. Performance share and performance unit awards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 the participant to receive cash or shares of common stock upon the attainment of specified performance goals. In the case of performance units, the right to acquire the units is denominated in cash values. The compensation committee shall set forth in the applicable award agreement the performance goals and objectives and the period of time to which such goals and objectives shall apply. If such goals and objectives are achieved, such distribution of shares, or payment in cash, as the case may be, shall be made no later than by the fifteenth (15</w:t>
      </w:r>
      <w:r>
        <w:rPr>
          <w:rFonts w:ascii="Arial" w:cs="Arial" w:eastAsia="Arial" w:hAnsi="Arial"/>
          <w:sz w:val="18"/>
          <w:szCs w:val="18"/>
          <w:color w:val="auto"/>
          <w:vertAlign w:val="superscript"/>
        </w:rPr>
        <w:t>th</w:t>
      </w:r>
      <w:r>
        <w:rPr>
          <w:rFonts w:ascii="Arial" w:cs="Arial" w:eastAsia="Arial" w:hAnsi="Arial"/>
          <w:sz w:val="16"/>
          <w:szCs w:val="16"/>
          <w:color w:val="auto"/>
        </w:rPr>
        <w:t>) day of the third (3</w:t>
      </w:r>
      <w:r>
        <w:rPr>
          <w:rFonts w:ascii="Arial" w:cs="Arial" w:eastAsia="Arial" w:hAnsi="Arial"/>
          <w:sz w:val="18"/>
          <w:szCs w:val="18"/>
          <w:color w:val="auto"/>
          <w:vertAlign w:val="superscript"/>
        </w:rPr>
        <w:t>rd</w:t>
      </w:r>
      <w:r>
        <w:rPr>
          <w:rFonts w:ascii="Arial" w:cs="Arial" w:eastAsia="Arial" w:hAnsi="Arial"/>
          <w:sz w:val="16"/>
          <w:szCs w:val="16"/>
          <w:color w:val="auto"/>
        </w:rPr>
        <w:t>) calendar month next following the end of the Company’s fiscal year to which such performance goals and objectives relate, unless otherwise structured to comply with Code Section 409A.</w:t>
      </w:r>
    </w:p>
    <w:p>
      <w:pPr>
        <w:spacing w:after="0" w:line="95"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i w:val="1"/>
          <w:iCs w:val="1"/>
          <w:color w:val="auto"/>
        </w:rPr>
        <w:t>Distribution Equivalent Right Awards</w:t>
      </w:r>
      <w:r>
        <w:rPr>
          <w:rFonts w:ascii="Arial" w:cs="Arial" w:eastAsia="Arial" w:hAnsi="Arial"/>
          <w:sz w:val="17"/>
          <w:szCs w:val="17"/>
          <w:color w:val="auto"/>
        </w:rPr>
        <w:t>. A distribution equivalent right award entitles the participant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bookkeeping credits, cash payments and/or common stock distributions equal in amount to the distributions that would have been made to the participant had the participant held a specified number of shares of common stock during the period the participant held the distribution equivalent right. A distribution equivalent right may be awarded as a component of another award (but not an option or SAR award) under the 2020 Plan, where, if so awarded, such distribution equivalent right will expire or be forfeited by the participant under the same conditions as under such other award. The compensation committee shall set forth in the applicable distribution equivalent rights award agreement the terms and conditions, if any, including whether the holder is to receive credits currently in cash, is to have such credits reinvested (at fair market value determined as of the date of reinvestment) in additional ordinary shares, or is to be entitled to choose among such alternatives.</w:t>
      </w:r>
    </w:p>
    <w:p>
      <w:pPr>
        <w:spacing w:after="0" w:line="101"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A restricted stock award is a grant or sale of common stock to the holder,</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such restrictions on transferability, risk of forfeiture and other restrictions, if any, as the compensation committee or the board of directors may impose, which restrictions may lapse separately or in combination at such times, under such circumstances (including based on achievement of performance goals and/or future service requirements), in such installments or otherwise, as the compensation committee or the board of directors may determine at the date of grant or purchase or thereafter. If provided for under the restricted stock award agreement, a participant who is granted or has purchased restricted stock shall have all of the rights of a shareholder, including the right to vote the restricted stock and the right to receive dividends thereon (subject to any mandatory reinvestment or other requirement imposed by the compensation committee or the board of directors or in the award agreement). During the restricted period applicable to the restricted stock, subject to certain exceptions, the restricted stock may not be sold, transferred, pledged, exchanged, hypothecated, or otherwise disposed of by the participant.</w:t>
      </w:r>
    </w:p>
    <w:p>
      <w:pPr>
        <w:spacing w:after="0" w:line="111" w:lineRule="exact"/>
        <w:rPr>
          <w:sz w:val="20"/>
          <w:szCs w:val="20"/>
          <w:color w:val="auto"/>
        </w:rPr>
      </w:pPr>
    </w:p>
    <w:p>
      <w:pPr>
        <w:ind w:left="460" w:right="519" w:firstLine="432"/>
        <w:spacing w:after="0" w:line="266"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A restricted stock unit award provides for a grant of shares or a cash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to be made to the holder upon the satisfaction of predetermined individual service-related vesting requirements, based on the number of units awarded to the holder. The compensation committee shall set forth in the applicable restricted stock unit award agreement the individual service-based vesting requirements which the holder would be required to satisfy before the holder would become entitled to payment and the number of units awarded to the holder. The holder of a restricted stock unit shall be entitled to receive a cash payment equal to the fair market value of an ordinary share, or one ordinary share, as determined in the sole discretion of the compensation committee and as set forth in the restricted stock unit award agreement, for each restricted stock unit subject to such restricted stock unit award, if and to the extent the holder satisfies the applicable vesting requirements. Such payment or distribution shall be made no later than by the fifteenth (15</w:t>
      </w:r>
      <w:r>
        <w:rPr>
          <w:rFonts w:ascii="Arial" w:cs="Arial" w:eastAsia="Arial" w:hAnsi="Arial"/>
          <w:sz w:val="19"/>
          <w:szCs w:val="19"/>
          <w:color w:val="auto"/>
          <w:vertAlign w:val="superscript"/>
        </w:rPr>
        <w:t>th</w:t>
      </w:r>
      <w:r>
        <w:rPr>
          <w:rFonts w:ascii="Arial" w:cs="Arial" w:eastAsia="Arial" w:hAnsi="Arial"/>
          <w:sz w:val="17"/>
          <w:szCs w:val="17"/>
          <w:color w:val="auto"/>
        </w:rPr>
        <w:t>) day of the third (3</w:t>
      </w:r>
      <w:r>
        <w:rPr>
          <w:rFonts w:ascii="Arial" w:cs="Arial" w:eastAsia="Arial" w:hAnsi="Arial"/>
          <w:sz w:val="19"/>
          <w:szCs w:val="19"/>
          <w:color w:val="auto"/>
          <w:vertAlign w:val="superscript"/>
        </w:rPr>
        <w:t>rd</w:t>
      </w:r>
      <w:r>
        <w:rPr>
          <w:rFonts w:ascii="Arial" w:cs="Arial" w:eastAsia="Arial" w:hAnsi="Arial"/>
          <w:sz w:val="17"/>
          <w:szCs w:val="17"/>
          <w:color w:val="auto"/>
        </w:rPr>
        <w:t>) calendar month next following the end of the calendar year in which the restricted stock unit first becomes vested, unless otherwise structured to comply with Code Section 409A. A restricted stock unit shall not constitute an equity interest in the Company and shall not entitle the Holder to voting rights, dividends or any other rights associated with ownership of Shares prior to the time the Holder shall receive a distribution of Shares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i w:val="1"/>
          <w:iCs w:val="1"/>
          <w:color w:val="auto"/>
        </w:rPr>
        <w:t>Unrestricted Stock Awards</w:t>
      </w:r>
      <w:r>
        <w:rPr>
          <w:rFonts w:ascii="Arial" w:cs="Arial" w:eastAsia="Arial" w:hAnsi="Arial"/>
          <w:sz w:val="18"/>
          <w:szCs w:val="18"/>
          <w:color w:val="auto"/>
        </w:rPr>
        <w:t>. An unrestricted stock award is a grant or sale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employees, non-employee directors or non-employee consultants that are not subject to transfer, forfeiture or other restrictions, in consideration for past services rendered to the Company or an affiliate or for other valid consideration.</w:t>
      </w:r>
    </w:p>
    <w:p>
      <w:pPr>
        <w:spacing w:after="0" w:line="11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i w:val="1"/>
          <w:iCs w:val="1"/>
          <w:color w:val="auto"/>
        </w:rPr>
        <w:t>Change-in-Control Provisions</w:t>
      </w:r>
      <w:r>
        <w:rPr>
          <w:rFonts w:ascii="Arial" w:cs="Arial" w:eastAsia="Arial" w:hAnsi="Arial"/>
          <w:sz w:val="16"/>
          <w:szCs w:val="16"/>
          <w:color w:val="auto"/>
        </w:rPr>
        <w:t>. The compensation committee may, in its sole discretion, at the time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granted or at any time prior to, coincident with or after the time of a change in control, cause any award either (i) to be cancelled in consideration of a payment in cash or other consideration in amount per share equal to the excess, if any, of the price or implied price per share of common stock in the change in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in control; (iii) accelerate any time periods, or waive any other conditions, relating to the vesting, exercise, payment or distribution of an award so that any award to a holder whose employment has been terminated as a result of a change in control may be vested, exercised, paid or distributed in full on or before a date fixed by the compensation committee; (iv) to be purchased from a holder whose employment has been terminated as a result of a change of control, upon the holder’s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compensation committee deems necessary or appropriate to reflect such transaction or change. The number of shares subject to any award shall be rounded to the nearest whole number.</w:t>
      </w:r>
    </w:p>
    <w:p>
      <w:pPr>
        <w:spacing w:after="0" w:line="109"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compensation committee may adopt, amend and rescind rules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administration of the 2020 Plan, and amend, suspend or terminate the 2020 Plan, but no such amendment or termination will be made that materially and adversely impairs the rights of any participant with respect to any award received thereby under the 2020 Plan without the participant’s consent, other than amendments that are necessary to permit the granting of awards in compliance with applicable laws.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48"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 — Registration Rights,” the following is a description of each transaction for the prior two year period and each currently proposed transaction in which:</w:t>
      </w:r>
    </w:p>
    <w:p>
      <w:pPr>
        <w:spacing w:after="0" w:line="109" w:lineRule="exact"/>
        <w:rPr>
          <w:sz w:val="20"/>
          <w:szCs w:val="20"/>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44"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Transactions with 4D Bios Inc.</w:t>
      </w:r>
    </w:p>
    <w:p>
      <w:pPr>
        <w:spacing w:after="0" w:line="162"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We purchased various equipment from 4D Bios Inc. (“4D”), which totalled $923,000 and $0 in 2019 and 2018, respectively. Guichao Hua, a member of our board of directors, and Raymond Chang, our Chairman of the Board and Chief Executive Officer, each had ownership interests and were board members of 4D as of December 31, 2019. On June 30, 2020, Mr. Chang sold his interest in 4D and resigned as a member of 4D’s board. On July 28, 2020, we entered into a purchase agreement with 4D to secure purchases of horticultural equipment. The agreement requires minimum purchases of between $570,000 and $607,000 of 4D products until December 31, 2020. We committed purchases amounting to $577,000 from 4D for the nine months ended September 30, 2020.</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 Agreement with Bluezone Products, Inc.</w:t>
      </w:r>
    </w:p>
    <w:p>
      <w:pPr>
        <w:spacing w:after="0" w:line="162"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On June 7, 2019, we entered into a Distribution Agreement with Bluezone Products, Inc. (“Bluezone”) relating to our distribution rights for the Bluezone products, such rights exclusive as to certain customers.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We purchased approximately $318,000 of Bluezone products for the year ended December 31, 2019. Guichao Hua, a member of our board of directors, and Raymond Chang, our Chairman of the Board and Chief Executive Officer, each had ownership interests and were board members of Bluezone as of December 31, 2019. On July 10, 2020, Guichao Hua sold his interest in Bluezone and resigned as a member of Bluezone’s board. We purchased $668,000 and $132,000 of Bluezone products during the first and second contract years, respectively.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 Agreement with Enozo</w:t>
      </w:r>
    </w:p>
    <w:p>
      <w:pPr>
        <w:spacing w:after="0" w:line="14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On March 9, 2020, we entered into a distribution agreement with Enozo Technologies Inc. (“Enozo”), for an initial term of five years with auto renewal for successive one year periods unless earlier terminated. The agreement requires us to make the following minimum purchases to retain exclusive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We purchased $38,000 of one specific Enozo product and $85,000 of other Enozo products and services during the nine months ended September 30, 2020.</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Consulting Agreement between TriGrow and Argand Group, LLC</w:t>
      </w:r>
    </w:p>
    <w:p>
      <w:pPr>
        <w:spacing w:after="0" w:line="162"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On November 25, 2018, TriGrow entered into a consulting agreement with Argand Group, LLC (“Argand”) under which Argand provided services to TriGrow in connection with managing its business operations. Argand is an entity controlled by Matthew Liotta, a former employee and director of our company. Under this consulting agreement, Argand was paid a fixed fee of $13,333 per month. This consulting agreement was terminated in March 2019 and no fees remain outstanding to Argand.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 Purchase Agreement with 4D NXT Capital, LLC</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June 4, 2019, we entered into an agreement with 4D NXT Capital, LLC (“NXT”) pursuant to which NXT purchased 1,289,667 shares of our common stock in exchange for $4,000,000. Guichao Hua, a member of our board of directors, and Raymond Chang, our Chairman of the Board and Chief Executive Officer, each have ownership interests and are managers of NXT.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 Purchase Agreement with Argand Group, LLC, Dennis Liotta, and 4D NXT Capital, LLC</w:t>
      </w:r>
    </w:p>
    <w:p>
      <w:pPr>
        <w:spacing w:after="0" w:line="162"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On May 15, 2020, we entered into a share purchase agreement pursuant to which NXT purchased 806,042 outstanding shares of our common stock from each of Argand Group, LLC and Dennis Liotta in exchange for $2,500,000. Matthew Liotta, a former employee and director of our company, is the manager of Argand Group, LLC.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and Warrant Purchase Agreement with NXT3J Capital, LLC</w:t>
      </w:r>
    </w:p>
    <w:p>
      <w:pPr>
        <w:spacing w:after="0" w:line="162"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On August 19, 2020, as part of our 2020 convertible promissory note financing, we entered into a note and warrant purchase agreement with NXT3J Capital, LLC pursuant which we issued and sold a convertible promissory note in the principal amount of $1,000,000 and a five year warrant to purchase 63,219 shares of our common stock at an exercise price of $0.02 per share. The convertible promissory note matures one year from the date of issuance and the warrant has a term of five years. Raymond Chang, our Chairman of the Board and Chief Executive Officer, is the managing director of NXT3J Capital, LLC, although Mr. Chang does not have a pecuniary interest in our securities held by NXT3J Capital, LLC.</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48"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Prior to this offering, we have not had a formal policy regarding approval of transactions with related parties. In connection with this offering, we have adopted a written policy that our executive officers, directors, beneficial owners of more than 5% of any class of our capital stock, and any members of the immediate family of any of the foregoing persons are not permitted to enter into a related party transaction with us without the prior consent of our audit committee. Any request for us to enter into a transaction with an executive officer, director, beneficial owner of more than 5% of any class of our capital stock, or any member of the immediate family of any of the foregoing persons, in which such person would have a direct or indirect interest, must first be presented to our audit committee for review, consideration, and approval or ratification. In approving or rejecting any such proposal, our audit committee is to consider the relevant facts and circumstances of the transaction available to it, including, but not limited to, whether the transaction is on terms no less favorable than terms generally available to an unrelated third party or to employees under the same or similar circumstances, and the extent of the related person’s interest in the transaction. The written policy will require that, in determining whether to approve or reject a related person transaction, our audit committee must consider, in light of known circumstances, whether the transaction is in, or is not inconsistent with, our best interests and those of our stockholders, as our audit committee determines in good faith.</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date of this prospectus, and as adjusted to reflect the sale of common stock being offered in this offering by:</w:t>
      </w:r>
    </w:p>
    <w:p>
      <w:pPr>
        <w:spacing w:after="0" w:line="76" w:lineRule="exact"/>
        <w:rPr>
          <w:sz w:val="20"/>
          <w:szCs w:val="20"/>
          <w:color w:val="auto"/>
        </w:rPr>
      </w:pPr>
    </w:p>
    <w:p>
      <w:pPr>
        <w:ind w:left="1320" w:right="739" w:hanging="434"/>
        <w:spacing w:after="0" w:line="277"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more than 5% of our common stock;</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5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information in the following table has been presented in accordance with the rules of the SEC. Under such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Except as otherwise indicated, each stockholder named in the table is assumed to have sole voting and investment power with respect to the number of shares listed opposite the stockholder’s name.</w:t>
      </w:r>
    </w:p>
    <w:p>
      <w:pPr>
        <w:spacing w:after="0" w:line="114"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The calculations of beneficial ownership in this table are based on 10,059,568 shares of common stock outstanding as of the date of this prospectus.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0"/>
              </w:rPr>
              <w:t>Percentage</w:t>
            </w:r>
          </w:p>
        </w:tc>
        <w:tc>
          <w:tcPr>
            <w:tcW w:w="1260" w:type="dxa"/>
            <w:vAlign w:val="bottom"/>
          </w:tcPr>
          <w:p>
            <w:pPr>
              <w:jc w:val="center"/>
              <w:ind w:left="19"/>
              <w:spacing w:after="0"/>
              <w:rPr>
                <w:sz w:val="20"/>
                <w:szCs w:val="20"/>
                <w:color w:val="auto"/>
              </w:rPr>
            </w:pPr>
            <w:r>
              <w:rPr>
                <w:rFonts w:ascii="Arial" w:cs="Arial" w:eastAsia="Arial" w:hAnsi="Arial"/>
                <w:sz w:val="16"/>
                <w:szCs w:val="16"/>
                <w:b w:val="1"/>
                <w:bCs w:val="1"/>
                <w:color w:val="auto"/>
                <w:w w:val="89"/>
              </w:rPr>
              <w:t>Percentage Total</w:t>
            </w:r>
          </w:p>
        </w:tc>
      </w:tr>
      <w:tr>
        <w:trPr>
          <w:trHeight w:val="203"/>
        </w:trPr>
        <w:tc>
          <w:tcPr>
            <w:tcW w:w="3660" w:type="dxa"/>
            <w:vAlign w:val="bottom"/>
          </w:tcPr>
          <w:p>
            <w:pPr>
              <w:spacing w:after="0"/>
              <w:rPr>
                <w:sz w:val="17"/>
                <w:szCs w:val="17"/>
                <w:color w:val="auto"/>
              </w:rPr>
            </w:pPr>
          </w:p>
        </w:tc>
        <w:tc>
          <w:tcPr>
            <w:tcW w:w="1800" w:type="dxa"/>
            <w:vAlign w:val="bottom"/>
          </w:tcPr>
          <w:p>
            <w:pPr>
              <w:jc w:val="center"/>
              <w:ind w:left="579"/>
              <w:spacing w:after="0"/>
              <w:rPr>
                <w:sz w:val="20"/>
                <w:szCs w:val="20"/>
                <w:color w:val="auto"/>
              </w:rPr>
            </w:pPr>
            <w:r>
              <w:rPr>
                <w:rFonts w:ascii="Arial" w:cs="Arial" w:eastAsia="Arial" w:hAnsi="Arial"/>
                <w:sz w:val="16"/>
                <w:szCs w:val="16"/>
                <w:b w:val="1"/>
                <w:bCs w:val="1"/>
                <w:color w:val="auto"/>
                <w:w w:val="86"/>
              </w:rPr>
              <w:t>Shares</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2"/>
              </w:rPr>
              <w:t>Total Voting</w:t>
            </w:r>
          </w:p>
        </w:tc>
        <w:tc>
          <w:tcPr>
            <w:tcW w:w="1260" w:type="dxa"/>
            <w:vAlign w:val="bottom"/>
          </w:tcPr>
          <w:p>
            <w:pPr>
              <w:jc w:val="center"/>
              <w:ind w:left="19"/>
              <w:spacing w:after="0"/>
              <w:rPr>
                <w:sz w:val="20"/>
                <w:szCs w:val="20"/>
                <w:color w:val="auto"/>
              </w:rPr>
            </w:pPr>
            <w:r>
              <w:rPr>
                <w:rFonts w:ascii="Arial" w:cs="Arial" w:eastAsia="Arial" w:hAnsi="Arial"/>
                <w:sz w:val="16"/>
                <w:szCs w:val="16"/>
                <w:b w:val="1"/>
                <w:bCs w:val="1"/>
                <w:color w:val="auto"/>
                <w:w w:val="89"/>
              </w:rPr>
              <w:t>Voting Power</w:t>
            </w:r>
          </w:p>
        </w:tc>
      </w:tr>
      <w:tr>
        <w:trPr>
          <w:trHeight w:val="203"/>
        </w:trPr>
        <w:tc>
          <w:tcPr>
            <w:tcW w:w="3660" w:type="dxa"/>
            <w:vAlign w:val="bottom"/>
          </w:tcPr>
          <w:p>
            <w:pPr>
              <w:spacing w:after="0"/>
              <w:rPr>
                <w:sz w:val="17"/>
                <w:szCs w:val="17"/>
                <w:color w:val="auto"/>
              </w:rPr>
            </w:pPr>
          </w:p>
        </w:tc>
        <w:tc>
          <w:tcPr>
            <w:tcW w:w="1800" w:type="dxa"/>
            <w:vAlign w:val="bottom"/>
          </w:tcPr>
          <w:p>
            <w:pPr>
              <w:jc w:val="center"/>
              <w:ind w:left="579"/>
              <w:spacing w:after="0"/>
              <w:rPr>
                <w:sz w:val="20"/>
                <w:szCs w:val="20"/>
                <w:color w:val="auto"/>
              </w:rPr>
            </w:pPr>
            <w:r>
              <w:rPr>
                <w:rFonts w:ascii="Arial" w:cs="Arial" w:eastAsia="Arial" w:hAnsi="Arial"/>
                <w:sz w:val="16"/>
                <w:szCs w:val="16"/>
                <w:b w:val="1"/>
                <w:bCs w:val="1"/>
                <w:color w:val="auto"/>
                <w:w w:val="92"/>
              </w:rPr>
              <w:t>Beneficially</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3"/>
              </w:rPr>
              <w:t>Power Prior to</w:t>
            </w:r>
          </w:p>
        </w:tc>
        <w:tc>
          <w:tcPr>
            <w:tcW w:w="1260" w:type="dxa"/>
            <w:vAlign w:val="bottom"/>
          </w:tcPr>
          <w:p>
            <w:pPr>
              <w:jc w:val="center"/>
              <w:ind w:left="19"/>
              <w:spacing w:after="0"/>
              <w:rPr>
                <w:sz w:val="20"/>
                <w:szCs w:val="20"/>
                <w:color w:val="auto"/>
              </w:rPr>
            </w:pPr>
            <w:r>
              <w:rPr>
                <w:rFonts w:ascii="Arial" w:cs="Arial" w:eastAsia="Arial" w:hAnsi="Arial"/>
                <w:sz w:val="16"/>
                <w:szCs w:val="16"/>
                <w:b w:val="1"/>
                <w:bCs w:val="1"/>
                <w:color w:val="auto"/>
                <w:w w:val="96"/>
              </w:rPr>
              <w:t>After This</w:t>
            </w:r>
          </w:p>
        </w:tc>
      </w:tr>
      <w:tr>
        <w:trPr>
          <w:trHeight w:val="248"/>
        </w:trPr>
        <w:tc>
          <w:tcPr>
            <w:tcW w:w="3660" w:type="dxa"/>
            <w:vAlign w:val="bottom"/>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1800" w:type="dxa"/>
            <w:vAlign w:val="bottom"/>
          </w:tcPr>
          <w:p>
            <w:pPr>
              <w:jc w:val="center"/>
              <w:ind w:left="579"/>
              <w:spacing w:after="0"/>
              <w:rPr>
                <w:sz w:val="20"/>
                <w:szCs w:val="20"/>
                <w:color w:val="auto"/>
              </w:rPr>
            </w:pPr>
            <w:r>
              <w:rPr>
                <w:rFonts w:ascii="Arial" w:cs="Arial" w:eastAsia="Arial" w:hAnsi="Arial"/>
                <w:sz w:val="16"/>
                <w:szCs w:val="16"/>
                <w:b w:val="1"/>
                <w:bCs w:val="1"/>
                <w:color w:val="auto"/>
                <w:w w:val="93"/>
              </w:rPr>
              <w:t>Owned</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3"/>
              </w:rPr>
              <w:t>Offering</w:t>
            </w:r>
          </w:p>
        </w:tc>
        <w:tc>
          <w:tcPr>
            <w:tcW w:w="1260" w:type="dxa"/>
            <w:vAlign w:val="bottom"/>
          </w:tcPr>
          <w:p>
            <w:pPr>
              <w:jc w:val="center"/>
              <w:ind w:left="19"/>
              <w:spacing w:after="0"/>
              <w:rPr>
                <w:sz w:val="20"/>
                <w:szCs w:val="20"/>
                <w:color w:val="auto"/>
              </w:rPr>
            </w:pPr>
            <w:r>
              <w:rPr>
                <w:rFonts w:ascii="Arial" w:cs="Arial" w:eastAsia="Arial" w:hAnsi="Arial"/>
                <w:sz w:val="16"/>
                <w:szCs w:val="16"/>
                <w:b w:val="1"/>
                <w:bCs w:val="1"/>
                <w:color w:val="auto"/>
                <w:w w:val="96"/>
              </w:rPr>
              <w:t>Offering</w:t>
            </w:r>
          </w:p>
        </w:tc>
      </w:tr>
    </w:tbl>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4200" w:type="dxa"/>
            <w:vAlign w:val="bottom"/>
            <w:tcBorders>
              <w:top w:val="single" w:sz="8" w:color="auto"/>
            </w:tcBorders>
            <w:gridSpan w:val="3"/>
            <w:shd w:val="clear" w:color="auto" w:fill="CCEEFF"/>
          </w:tcPr>
          <w:p>
            <w:pPr>
              <w:spacing w:after="0" w:line="205" w:lineRule="exact"/>
              <w:rPr>
                <w:sz w:val="20"/>
                <w:szCs w:val="20"/>
                <w:color w:val="auto"/>
              </w:rPr>
            </w:pPr>
            <w:r>
              <w:rPr>
                <w:rFonts w:ascii="Arial" w:cs="Arial" w:eastAsia="Arial" w:hAnsi="Arial"/>
                <w:sz w:val="18"/>
                <w:szCs w:val="18"/>
                <w:i w:val="1"/>
                <w:iCs w:val="1"/>
                <w:color w:val="auto"/>
              </w:rPr>
              <w:t>Officers and Directors:</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61"/>
        </w:trPr>
        <w:tc>
          <w:tcPr>
            <w:tcW w:w="128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5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r>
      <w:tr>
        <w:trPr>
          <w:trHeight w:val="83"/>
        </w:trPr>
        <w:tc>
          <w:tcPr>
            <w:tcW w:w="4300" w:type="dxa"/>
            <w:vAlign w:val="bottom"/>
            <w:gridSpan w:val="4"/>
          </w:tcPr>
          <w:p>
            <w:pPr>
              <w:spacing w:after="0" w:line="83" w:lineRule="exact"/>
              <w:rPr>
                <w:sz w:val="20"/>
                <w:szCs w:val="20"/>
                <w:color w:val="auto"/>
              </w:rPr>
            </w:pPr>
            <w:r>
              <w:rPr>
                <w:rFonts w:ascii="Arial" w:cs="Arial" w:eastAsia="Arial" w:hAnsi="Arial"/>
                <w:sz w:val="9"/>
                <w:szCs w:val="9"/>
                <w:color w:val="auto"/>
              </w:rPr>
              <w:t>Raymond Chang</w:t>
            </w:r>
          </w:p>
        </w:tc>
        <w:tc>
          <w:tcPr>
            <w:tcW w:w="1180" w:type="dxa"/>
            <w:vAlign w:val="bottom"/>
          </w:tcPr>
          <w:p>
            <w:pPr>
              <w:jc w:val="right"/>
              <w:ind w:right="127"/>
              <w:spacing w:after="0" w:line="83" w:lineRule="exact"/>
              <w:rPr>
                <w:sz w:val="20"/>
                <w:szCs w:val="20"/>
                <w:color w:val="auto"/>
              </w:rPr>
            </w:pPr>
            <w:r>
              <w:rPr>
                <w:rFonts w:ascii="Arial" w:cs="Arial" w:eastAsia="Arial" w:hAnsi="Arial"/>
                <w:sz w:val="9"/>
                <w:szCs w:val="9"/>
                <w:color w:val="auto"/>
              </w:rPr>
              <w:t>1,365,346</w:t>
            </w:r>
          </w:p>
        </w:tc>
        <w:tc>
          <w:tcPr>
            <w:tcW w:w="80" w:type="dxa"/>
            <w:vAlign w:val="bottom"/>
          </w:tcPr>
          <w:p>
            <w:pPr>
              <w:spacing w:after="0"/>
              <w:rPr>
                <w:sz w:val="7"/>
                <w:szCs w:val="7"/>
                <w:color w:val="auto"/>
              </w:rPr>
            </w:pPr>
          </w:p>
        </w:tc>
        <w:tc>
          <w:tcPr>
            <w:tcW w:w="1180" w:type="dxa"/>
            <w:vAlign w:val="bottom"/>
          </w:tcPr>
          <w:p>
            <w:pPr>
              <w:jc w:val="right"/>
              <w:spacing w:after="0" w:line="83" w:lineRule="exact"/>
              <w:rPr>
                <w:sz w:val="20"/>
                <w:szCs w:val="20"/>
                <w:color w:val="auto"/>
              </w:rPr>
            </w:pPr>
            <w:r>
              <w:rPr>
                <w:rFonts w:ascii="Arial" w:cs="Arial" w:eastAsia="Arial" w:hAnsi="Arial"/>
                <w:sz w:val="9"/>
                <w:szCs w:val="9"/>
                <w:color w:val="auto"/>
              </w:rPr>
              <w:t>26.0%</w:t>
            </w:r>
          </w:p>
        </w:tc>
        <w:tc>
          <w:tcPr>
            <w:tcW w:w="80" w:type="dxa"/>
            <w:vAlign w:val="bottom"/>
          </w:tcPr>
          <w:p>
            <w:pPr>
              <w:spacing w:after="0"/>
              <w:rPr>
                <w:sz w:val="7"/>
                <w:szCs w:val="7"/>
                <w:color w:val="auto"/>
              </w:rPr>
            </w:pPr>
          </w:p>
        </w:tc>
        <w:tc>
          <w:tcPr>
            <w:tcW w:w="1280" w:type="dxa"/>
            <w:vAlign w:val="bottom"/>
          </w:tcPr>
          <w:p>
            <w:pPr>
              <w:jc w:val="right"/>
              <w:spacing w:after="0" w:line="83" w:lineRule="exact"/>
              <w:rPr>
                <w:sz w:val="20"/>
                <w:szCs w:val="20"/>
                <w:color w:val="auto"/>
              </w:rPr>
            </w:pPr>
            <w:r>
              <w:rPr>
                <w:rFonts w:ascii="Arial" w:cs="Arial" w:eastAsia="Arial" w:hAnsi="Arial"/>
                <w:sz w:val="9"/>
                <w:szCs w:val="9"/>
                <w:color w:val="auto"/>
              </w:rPr>
              <w:t>12.3%</w:t>
            </w:r>
          </w:p>
        </w:tc>
      </w:tr>
      <w:tr>
        <w:trPr>
          <w:trHeight w:val="131"/>
        </w:trPr>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ind w:left="1000"/>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70"/>
        </w:trPr>
        <w:tc>
          <w:tcPr>
            <w:tcW w:w="1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83"/>
        </w:trPr>
        <w:tc>
          <w:tcPr>
            <w:tcW w:w="4300" w:type="dxa"/>
            <w:vAlign w:val="bottom"/>
            <w:gridSpan w:val="4"/>
            <w:shd w:val="clear" w:color="auto" w:fill="CCEEFF"/>
          </w:tcPr>
          <w:p>
            <w:pPr>
              <w:spacing w:after="0" w:line="83" w:lineRule="exact"/>
              <w:rPr>
                <w:sz w:val="20"/>
                <w:szCs w:val="20"/>
                <w:color w:val="auto"/>
              </w:rPr>
            </w:pPr>
            <w:r>
              <w:rPr>
                <w:rFonts w:ascii="Arial" w:cs="Arial" w:eastAsia="Arial" w:hAnsi="Arial"/>
                <w:sz w:val="9"/>
                <w:szCs w:val="9"/>
                <w:color w:val="auto"/>
              </w:rPr>
              <w:t>Guichao Hua</w:t>
            </w:r>
          </w:p>
        </w:tc>
        <w:tc>
          <w:tcPr>
            <w:tcW w:w="1180" w:type="dxa"/>
            <w:vAlign w:val="bottom"/>
            <w:shd w:val="clear" w:color="auto" w:fill="CCEEFF"/>
          </w:tcPr>
          <w:p>
            <w:pPr>
              <w:jc w:val="right"/>
              <w:ind w:right="127"/>
              <w:spacing w:after="0" w:line="83" w:lineRule="exact"/>
              <w:rPr>
                <w:sz w:val="20"/>
                <w:szCs w:val="20"/>
                <w:color w:val="auto"/>
              </w:rPr>
            </w:pPr>
            <w:r>
              <w:rPr>
                <w:rFonts w:ascii="Arial" w:cs="Arial" w:eastAsia="Arial" w:hAnsi="Arial"/>
                <w:sz w:val="9"/>
                <w:szCs w:val="9"/>
                <w:color w:val="auto"/>
              </w:rPr>
              <w:t>700,669</w:t>
            </w:r>
          </w:p>
        </w:tc>
        <w:tc>
          <w:tcPr>
            <w:tcW w:w="80" w:type="dxa"/>
            <w:vAlign w:val="bottom"/>
            <w:shd w:val="clear" w:color="auto" w:fill="CCEEFF"/>
          </w:tcPr>
          <w:p>
            <w:pPr>
              <w:spacing w:after="0"/>
              <w:rPr>
                <w:sz w:val="7"/>
                <w:szCs w:val="7"/>
                <w:color w:val="auto"/>
              </w:rPr>
            </w:pPr>
          </w:p>
        </w:tc>
        <w:tc>
          <w:tcPr>
            <w:tcW w:w="118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14.6%</w:t>
            </w:r>
          </w:p>
        </w:tc>
        <w:tc>
          <w:tcPr>
            <w:tcW w:w="80" w:type="dxa"/>
            <w:vAlign w:val="bottom"/>
            <w:shd w:val="clear" w:color="auto" w:fill="CCEEFF"/>
          </w:tcPr>
          <w:p>
            <w:pPr>
              <w:spacing w:after="0"/>
              <w:rPr>
                <w:sz w:val="7"/>
                <w:szCs w:val="7"/>
                <w:color w:val="auto"/>
              </w:rPr>
            </w:pPr>
          </w:p>
        </w:tc>
        <w:tc>
          <w:tcPr>
            <w:tcW w:w="128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6.6%</w:t>
            </w:r>
          </w:p>
        </w:tc>
      </w:tr>
      <w:tr>
        <w:trPr>
          <w:trHeight w:val="131"/>
        </w:trPr>
        <w:tc>
          <w:tcPr>
            <w:tcW w:w="1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ind w:left="1000"/>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70"/>
        </w:trPr>
        <w:tc>
          <w:tcPr>
            <w:tcW w:w="12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83"/>
        </w:trPr>
        <w:tc>
          <w:tcPr>
            <w:tcW w:w="4300" w:type="dxa"/>
            <w:vAlign w:val="bottom"/>
            <w:gridSpan w:val="4"/>
          </w:tcPr>
          <w:p>
            <w:pPr>
              <w:spacing w:after="0" w:line="83" w:lineRule="exact"/>
              <w:rPr>
                <w:sz w:val="20"/>
                <w:szCs w:val="20"/>
                <w:color w:val="auto"/>
              </w:rPr>
            </w:pPr>
            <w:r>
              <w:rPr>
                <w:rFonts w:ascii="Arial" w:cs="Arial" w:eastAsia="Arial" w:hAnsi="Arial"/>
                <w:sz w:val="9"/>
                <w:szCs w:val="9"/>
                <w:color w:val="auto"/>
              </w:rPr>
              <w:t>Thomas Massie</w:t>
            </w:r>
          </w:p>
        </w:tc>
        <w:tc>
          <w:tcPr>
            <w:tcW w:w="1180" w:type="dxa"/>
            <w:vAlign w:val="bottom"/>
          </w:tcPr>
          <w:p>
            <w:pPr>
              <w:jc w:val="right"/>
              <w:ind w:right="127"/>
              <w:spacing w:after="0" w:line="83" w:lineRule="exact"/>
              <w:rPr>
                <w:sz w:val="20"/>
                <w:szCs w:val="20"/>
                <w:color w:val="auto"/>
              </w:rPr>
            </w:pPr>
            <w:r>
              <w:rPr>
                <w:rFonts w:ascii="Arial" w:cs="Arial" w:eastAsia="Arial" w:hAnsi="Arial"/>
                <w:sz w:val="9"/>
                <w:szCs w:val="9"/>
                <w:color w:val="auto"/>
              </w:rPr>
              <w:t>90,661</w:t>
            </w:r>
          </w:p>
        </w:tc>
        <w:tc>
          <w:tcPr>
            <w:tcW w:w="80" w:type="dxa"/>
            <w:vAlign w:val="bottom"/>
          </w:tcPr>
          <w:p>
            <w:pPr>
              <w:spacing w:after="0"/>
              <w:rPr>
                <w:sz w:val="7"/>
                <w:szCs w:val="7"/>
                <w:color w:val="auto"/>
              </w:rPr>
            </w:pPr>
          </w:p>
        </w:tc>
        <w:tc>
          <w:tcPr>
            <w:tcW w:w="1180" w:type="dxa"/>
            <w:vAlign w:val="bottom"/>
          </w:tcPr>
          <w:p>
            <w:pPr>
              <w:jc w:val="right"/>
              <w:spacing w:after="0" w:line="83" w:lineRule="exact"/>
              <w:rPr>
                <w:sz w:val="20"/>
                <w:szCs w:val="20"/>
                <w:color w:val="auto"/>
              </w:rPr>
            </w:pPr>
            <w:r>
              <w:rPr>
                <w:rFonts w:ascii="Arial" w:cs="Arial" w:eastAsia="Arial" w:hAnsi="Arial"/>
                <w:sz w:val="9"/>
                <w:szCs w:val="9"/>
                <w:color w:val="auto"/>
              </w:rPr>
              <w:t>2.1%</w:t>
            </w:r>
          </w:p>
        </w:tc>
        <w:tc>
          <w:tcPr>
            <w:tcW w:w="80" w:type="dxa"/>
            <w:vAlign w:val="bottom"/>
          </w:tcPr>
          <w:p>
            <w:pPr>
              <w:spacing w:after="0"/>
              <w:rPr>
                <w:sz w:val="7"/>
                <w:szCs w:val="7"/>
                <w:color w:val="auto"/>
              </w:rPr>
            </w:pPr>
          </w:p>
        </w:tc>
        <w:tc>
          <w:tcPr>
            <w:tcW w:w="1280" w:type="dxa"/>
            <w:vAlign w:val="bottom"/>
          </w:tcPr>
          <w:p>
            <w:pPr>
              <w:jc w:val="right"/>
              <w:ind w:right="106"/>
              <w:spacing w:after="0" w:line="83" w:lineRule="exact"/>
              <w:rPr>
                <w:sz w:val="20"/>
                <w:szCs w:val="20"/>
                <w:color w:val="auto"/>
              </w:rPr>
            </w:pPr>
            <w:r>
              <w:rPr>
                <w:rFonts w:ascii="Arial" w:cs="Arial" w:eastAsia="Arial" w:hAnsi="Arial"/>
                <w:sz w:val="9"/>
                <w:szCs w:val="9"/>
                <w:color w:val="auto"/>
              </w:rPr>
              <w:t>*</w:t>
            </w:r>
          </w:p>
        </w:tc>
      </w:tr>
      <w:tr>
        <w:trPr>
          <w:trHeight w:val="131"/>
        </w:trPr>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ind w:left="1000"/>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70"/>
        </w:trPr>
        <w:tc>
          <w:tcPr>
            <w:tcW w:w="1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264"/>
        </w:trPr>
        <w:tc>
          <w:tcPr>
            <w:tcW w:w="43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Krishnan Varier</w:t>
            </w:r>
          </w:p>
        </w:tc>
        <w:tc>
          <w:tcPr>
            <w:tcW w:w="1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8"/>
                <w:szCs w:val="18"/>
                <w:color w:val="auto"/>
              </w:rPr>
              <w:t>41,120</w:t>
            </w:r>
            <w:r>
              <w:rPr>
                <w:rFonts w:ascii="Arial" w:cs="Arial" w:eastAsia="Arial" w:hAnsi="Arial"/>
                <w:sz w:val="10"/>
                <w:szCs w:val="10"/>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r>
      <w:tr>
        <w:trPr>
          <w:trHeight w:val="83"/>
        </w:trPr>
        <w:tc>
          <w:tcPr>
            <w:tcW w:w="4300" w:type="dxa"/>
            <w:vAlign w:val="bottom"/>
            <w:gridSpan w:val="4"/>
          </w:tcPr>
          <w:p>
            <w:pPr>
              <w:spacing w:after="0" w:line="83" w:lineRule="exact"/>
              <w:rPr>
                <w:sz w:val="20"/>
                <w:szCs w:val="20"/>
                <w:color w:val="auto"/>
              </w:rPr>
            </w:pPr>
            <w:r>
              <w:rPr>
                <w:rFonts w:ascii="Arial" w:cs="Arial" w:eastAsia="Arial" w:hAnsi="Arial"/>
                <w:sz w:val="9"/>
                <w:szCs w:val="9"/>
                <w:color w:val="auto"/>
              </w:rPr>
              <w:t>Niv Krikov</w:t>
            </w:r>
          </w:p>
        </w:tc>
        <w:tc>
          <w:tcPr>
            <w:tcW w:w="1180" w:type="dxa"/>
            <w:vAlign w:val="bottom"/>
          </w:tcPr>
          <w:p>
            <w:pPr>
              <w:jc w:val="right"/>
              <w:ind w:right="127"/>
              <w:spacing w:after="0" w:line="83" w:lineRule="exact"/>
              <w:rPr>
                <w:sz w:val="20"/>
                <w:szCs w:val="20"/>
                <w:color w:val="auto"/>
              </w:rPr>
            </w:pPr>
            <w:r>
              <w:rPr>
                <w:rFonts w:ascii="Arial" w:cs="Arial" w:eastAsia="Arial" w:hAnsi="Arial"/>
                <w:sz w:val="9"/>
                <w:szCs w:val="9"/>
                <w:color w:val="auto"/>
              </w:rPr>
              <w:t>308,403</w:t>
            </w:r>
          </w:p>
        </w:tc>
        <w:tc>
          <w:tcPr>
            <w:tcW w:w="80" w:type="dxa"/>
            <w:vAlign w:val="bottom"/>
          </w:tcPr>
          <w:p>
            <w:pPr>
              <w:spacing w:after="0"/>
              <w:rPr>
                <w:sz w:val="7"/>
                <w:szCs w:val="7"/>
                <w:color w:val="auto"/>
              </w:rPr>
            </w:pPr>
          </w:p>
        </w:tc>
        <w:tc>
          <w:tcPr>
            <w:tcW w:w="1180" w:type="dxa"/>
            <w:vAlign w:val="bottom"/>
          </w:tcPr>
          <w:p>
            <w:pPr>
              <w:jc w:val="right"/>
              <w:spacing w:after="0" w:line="83" w:lineRule="exact"/>
              <w:rPr>
                <w:sz w:val="20"/>
                <w:szCs w:val="20"/>
                <w:color w:val="auto"/>
              </w:rPr>
            </w:pPr>
            <w:r>
              <w:rPr>
                <w:rFonts w:ascii="Arial" w:cs="Arial" w:eastAsia="Arial" w:hAnsi="Arial"/>
                <w:sz w:val="9"/>
                <w:szCs w:val="9"/>
                <w:color w:val="auto"/>
              </w:rPr>
              <w:t>6.8%</w:t>
            </w:r>
          </w:p>
        </w:tc>
        <w:tc>
          <w:tcPr>
            <w:tcW w:w="80" w:type="dxa"/>
            <w:vAlign w:val="bottom"/>
          </w:tcPr>
          <w:p>
            <w:pPr>
              <w:spacing w:after="0"/>
              <w:rPr>
                <w:sz w:val="7"/>
                <w:szCs w:val="7"/>
                <w:color w:val="auto"/>
              </w:rPr>
            </w:pPr>
          </w:p>
        </w:tc>
        <w:tc>
          <w:tcPr>
            <w:tcW w:w="1280" w:type="dxa"/>
            <w:vAlign w:val="bottom"/>
          </w:tcPr>
          <w:p>
            <w:pPr>
              <w:jc w:val="right"/>
              <w:spacing w:after="0" w:line="83" w:lineRule="exact"/>
              <w:rPr>
                <w:sz w:val="20"/>
                <w:szCs w:val="20"/>
                <w:color w:val="auto"/>
              </w:rPr>
            </w:pPr>
            <w:r>
              <w:rPr>
                <w:rFonts w:ascii="Arial" w:cs="Arial" w:eastAsia="Arial" w:hAnsi="Arial"/>
                <w:sz w:val="9"/>
                <w:szCs w:val="9"/>
                <w:color w:val="auto"/>
              </w:rPr>
              <w:t>3.0%</w:t>
            </w:r>
          </w:p>
        </w:tc>
      </w:tr>
      <w:tr>
        <w:trPr>
          <w:trHeight w:val="131"/>
        </w:trPr>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ind w:left="1000"/>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70"/>
        </w:trPr>
        <w:tc>
          <w:tcPr>
            <w:tcW w:w="1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83"/>
        </w:trPr>
        <w:tc>
          <w:tcPr>
            <w:tcW w:w="4300" w:type="dxa"/>
            <w:vAlign w:val="bottom"/>
            <w:gridSpan w:val="4"/>
            <w:shd w:val="clear" w:color="auto" w:fill="CCEEFF"/>
          </w:tcPr>
          <w:p>
            <w:pPr>
              <w:spacing w:after="0" w:line="83" w:lineRule="exact"/>
              <w:rPr>
                <w:sz w:val="20"/>
                <w:szCs w:val="20"/>
                <w:color w:val="auto"/>
              </w:rPr>
            </w:pPr>
            <w:r>
              <w:rPr>
                <w:rFonts w:ascii="Arial" w:cs="Arial" w:eastAsia="Arial" w:hAnsi="Arial"/>
                <w:sz w:val="9"/>
                <w:szCs w:val="9"/>
                <w:color w:val="auto"/>
              </w:rPr>
              <w:t>Robert Harrison</w:t>
            </w:r>
          </w:p>
        </w:tc>
        <w:tc>
          <w:tcPr>
            <w:tcW w:w="1180" w:type="dxa"/>
            <w:vAlign w:val="bottom"/>
            <w:shd w:val="clear" w:color="auto" w:fill="CCEEFF"/>
          </w:tcPr>
          <w:p>
            <w:pPr>
              <w:jc w:val="right"/>
              <w:ind w:right="127"/>
              <w:spacing w:after="0" w:line="83" w:lineRule="exact"/>
              <w:rPr>
                <w:sz w:val="20"/>
                <w:szCs w:val="20"/>
                <w:color w:val="auto"/>
              </w:rPr>
            </w:pPr>
            <w:r>
              <w:rPr>
                <w:rFonts w:ascii="Arial" w:cs="Arial" w:eastAsia="Arial" w:hAnsi="Arial"/>
                <w:sz w:val="9"/>
                <w:szCs w:val="9"/>
                <w:color w:val="auto"/>
              </w:rPr>
              <w:t>154,201</w:t>
            </w:r>
          </w:p>
        </w:tc>
        <w:tc>
          <w:tcPr>
            <w:tcW w:w="80" w:type="dxa"/>
            <w:vAlign w:val="bottom"/>
            <w:shd w:val="clear" w:color="auto" w:fill="CCEEFF"/>
          </w:tcPr>
          <w:p>
            <w:pPr>
              <w:spacing w:after="0"/>
              <w:rPr>
                <w:sz w:val="7"/>
                <w:szCs w:val="7"/>
                <w:color w:val="auto"/>
              </w:rPr>
            </w:pPr>
          </w:p>
        </w:tc>
        <w:tc>
          <w:tcPr>
            <w:tcW w:w="118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3.5%</w:t>
            </w:r>
          </w:p>
        </w:tc>
        <w:tc>
          <w:tcPr>
            <w:tcW w:w="80" w:type="dxa"/>
            <w:vAlign w:val="bottom"/>
            <w:shd w:val="clear" w:color="auto" w:fill="CCEEFF"/>
          </w:tcPr>
          <w:p>
            <w:pPr>
              <w:spacing w:after="0"/>
              <w:rPr>
                <w:sz w:val="7"/>
                <w:szCs w:val="7"/>
                <w:color w:val="auto"/>
              </w:rPr>
            </w:pPr>
          </w:p>
        </w:tc>
        <w:tc>
          <w:tcPr>
            <w:tcW w:w="128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1.5%</w:t>
            </w:r>
          </w:p>
        </w:tc>
      </w:tr>
      <w:tr>
        <w:trPr>
          <w:trHeight w:val="131"/>
        </w:trPr>
        <w:tc>
          <w:tcPr>
            <w:tcW w:w="1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ind w:left="1000"/>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70"/>
        </w:trPr>
        <w:tc>
          <w:tcPr>
            <w:tcW w:w="12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83"/>
        </w:trPr>
        <w:tc>
          <w:tcPr>
            <w:tcW w:w="4300" w:type="dxa"/>
            <w:vAlign w:val="bottom"/>
            <w:gridSpan w:val="4"/>
          </w:tcPr>
          <w:p>
            <w:pPr>
              <w:spacing w:after="0" w:line="83" w:lineRule="exact"/>
              <w:rPr>
                <w:sz w:val="20"/>
                <w:szCs w:val="20"/>
                <w:color w:val="auto"/>
              </w:rPr>
            </w:pPr>
            <w:r>
              <w:rPr>
                <w:rFonts w:ascii="Arial" w:cs="Arial" w:eastAsia="Arial" w:hAnsi="Arial"/>
                <w:sz w:val="9"/>
                <w:szCs w:val="9"/>
                <w:color w:val="auto"/>
              </w:rPr>
              <w:t>Timothy Oakes</w:t>
            </w:r>
          </w:p>
        </w:tc>
        <w:tc>
          <w:tcPr>
            <w:tcW w:w="1180" w:type="dxa"/>
            <w:vAlign w:val="bottom"/>
          </w:tcPr>
          <w:p>
            <w:pPr>
              <w:jc w:val="right"/>
              <w:ind w:right="127"/>
              <w:spacing w:after="0" w:line="83" w:lineRule="exact"/>
              <w:rPr>
                <w:sz w:val="20"/>
                <w:szCs w:val="20"/>
                <w:color w:val="auto"/>
              </w:rPr>
            </w:pPr>
            <w:r>
              <w:rPr>
                <w:rFonts w:ascii="Arial" w:cs="Arial" w:eastAsia="Arial" w:hAnsi="Arial"/>
                <w:sz w:val="9"/>
                <w:szCs w:val="9"/>
                <w:color w:val="auto"/>
              </w:rPr>
              <w:t>41,120</w:t>
            </w:r>
          </w:p>
        </w:tc>
        <w:tc>
          <w:tcPr>
            <w:tcW w:w="80" w:type="dxa"/>
            <w:vAlign w:val="bottom"/>
          </w:tcPr>
          <w:p>
            <w:pPr>
              <w:spacing w:after="0"/>
              <w:rPr>
                <w:sz w:val="7"/>
                <w:szCs w:val="7"/>
                <w:color w:val="auto"/>
              </w:rPr>
            </w:pPr>
          </w:p>
        </w:tc>
        <w:tc>
          <w:tcPr>
            <w:tcW w:w="1180" w:type="dxa"/>
            <w:vAlign w:val="bottom"/>
          </w:tcPr>
          <w:p>
            <w:pPr>
              <w:jc w:val="right"/>
              <w:spacing w:after="0" w:line="83" w:lineRule="exact"/>
              <w:rPr>
                <w:sz w:val="20"/>
                <w:szCs w:val="20"/>
                <w:color w:val="auto"/>
              </w:rPr>
            </w:pPr>
            <w:r>
              <w:rPr>
                <w:rFonts w:ascii="Arial" w:cs="Arial" w:eastAsia="Arial" w:hAnsi="Arial"/>
                <w:sz w:val="9"/>
                <w:szCs w:val="9"/>
                <w:color w:val="auto"/>
              </w:rPr>
              <w:t>1.0%</w:t>
            </w:r>
          </w:p>
        </w:tc>
        <w:tc>
          <w:tcPr>
            <w:tcW w:w="80" w:type="dxa"/>
            <w:vAlign w:val="bottom"/>
          </w:tcPr>
          <w:p>
            <w:pPr>
              <w:spacing w:after="0"/>
              <w:rPr>
                <w:sz w:val="7"/>
                <w:szCs w:val="7"/>
                <w:color w:val="auto"/>
              </w:rPr>
            </w:pPr>
          </w:p>
        </w:tc>
        <w:tc>
          <w:tcPr>
            <w:tcW w:w="1280" w:type="dxa"/>
            <w:vAlign w:val="bottom"/>
          </w:tcPr>
          <w:p>
            <w:pPr>
              <w:jc w:val="right"/>
              <w:ind w:right="106"/>
              <w:spacing w:after="0" w:line="83" w:lineRule="exact"/>
              <w:rPr>
                <w:sz w:val="20"/>
                <w:szCs w:val="20"/>
                <w:color w:val="auto"/>
              </w:rPr>
            </w:pPr>
            <w:r>
              <w:rPr>
                <w:rFonts w:ascii="Arial" w:cs="Arial" w:eastAsia="Arial" w:hAnsi="Arial"/>
                <w:sz w:val="9"/>
                <w:szCs w:val="9"/>
                <w:color w:val="auto"/>
              </w:rPr>
              <w:t>*</w:t>
            </w:r>
          </w:p>
        </w:tc>
      </w:tr>
      <w:tr>
        <w:trPr>
          <w:trHeight w:val="131"/>
        </w:trPr>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ind w:left="1000"/>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70"/>
        </w:trPr>
        <w:tc>
          <w:tcPr>
            <w:tcW w:w="1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83"/>
        </w:trPr>
        <w:tc>
          <w:tcPr>
            <w:tcW w:w="4300" w:type="dxa"/>
            <w:vAlign w:val="bottom"/>
            <w:gridSpan w:val="4"/>
            <w:shd w:val="clear" w:color="auto" w:fill="CCEEFF"/>
          </w:tcPr>
          <w:p>
            <w:pPr>
              <w:spacing w:after="0" w:line="83" w:lineRule="exact"/>
              <w:rPr>
                <w:sz w:val="20"/>
                <w:szCs w:val="20"/>
                <w:color w:val="auto"/>
              </w:rPr>
            </w:pPr>
            <w:r>
              <w:rPr>
                <w:rFonts w:ascii="Arial" w:cs="Arial" w:eastAsia="Arial" w:hAnsi="Arial"/>
                <w:sz w:val="9"/>
                <w:szCs w:val="9"/>
                <w:color w:val="auto"/>
              </w:rPr>
              <w:t>Timothy Mahoney</w:t>
            </w:r>
          </w:p>
        </w:tc>
        <w:tc>
          <w:tcPr>
            <w:tcW w:w="1180" w:type="dxa"/>
            <w:vAlign w:val="bottom"/>
            <w:shd w:val="clear" w:color="auto" w:fill="CCEEFF"/>
          </w:tcPr>
          <w:p>
            <w:pPr>
              <w:jc w:val="right"/>
              <w:ind w:right="127"/>
              <w:spacing w:after="0" w:line="83" w:lineRule="exact"/>
              <w:rPr>
                <w:sz w:val="20"/>
                <w:szCs w:val="20"/>
                <w:color w:val="auto"/>
              </w:rPr>
            </w:pPr>
            <w:r>
              <w:rPr>
                <w:rFonts w:ascii="Arial" w:cs="Arial" w:eastAsia="Arial" w:hAnsi="Arial"/>
                <w:sz w:val="9"/>
                <w:szCs w:val="9"/>
                <w:color w:val="auto"/>
              </w:rPr>
              <w:t>41,120</w:t>
            </w:r>
          </w:p>
        </w:tc>
        <w:tc>
          <w:tcPr>
            <w:tcW w:w="80" w:type="dxa"/>
            <w:vAlign w:val="bottom"/>
            <w:shd w:val="clear" w:color="auto" w:fill="CCEEFF"/>
          </w:tcPr>
          <w:p>
            <w:pPr>
              <w:spacing w:after="0"/>
              <w:rPr>
                <w:sz w:val="7"/>
                <w:szCs w:val="7"/>
                <w:color w:val="auto"/>
              </w:rPr>
            </w:pPr>
          </w:p>
        </w:tc>
        <w:tc>
          <w:tcPr>
            <w:tcW w:w="118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1.0%</w:t>
            </w:r>
          </w:p>
        </w:tc>
        <w:tc>
          <w:tcPr>
            <w:tcW w:w="80" w:type="dxa"/>
            <w:vAlign w:val="bottom"/>
            <w:shd w:val="clear" w:color="auto" w:fill="CCEEFF"/>
          </w:tcPr>
          <w:p>
            <w:pPr>
              <w:spacing w:after="0"/>
              <w:rPr>
                <w:sz w:val="7"/>
                <w:szCs w:val="7"/>
                <w:color w:val="auto"/>
              </w:rPr>
            </w:pPr>
          </w:p>
        </w:tc>
        <w:tc>
          <w:tcPr>
            <w:tcW w:w="1280" w:type="dxa"/>
            <w:vAlign w:val="bottom"/>
            <w:shd w:val="clear" w:color="auto" w:fill="CCEEFF"/>
          </w:tcPr>
          <w:p>
            <w:pPr>
              <w:jc w:val="right"/>
              <w:ind w:right="106"/>
              <w:spacing w:after="0" w:line="83" w:lineRule="exact"/>
              <w:rPr>
                <w:sz w:val="20"/>
                <w:szCs w:val="20"/>
                <w:color w:val="auto"/>
              </w:rPr>
            </w:pPr>
            <w:r>
              <w:rPr>
                <w:rFonts w:ascii="Arial" w:cs="Arial" w:eastAsia="Arial" w:hAnsi="Arial"/>
                <w:sz w:val="9"/>
                <w:szCs w:val="9"/>
                <w:color w:val="auto"/>
              </w:rPr>
              <w:t>*</w:t>
            </w:r>
          </w:p>
        </w:tc>
      </w:tr>
      <w:tr>
        <w:trPr>
          <w:trHeight w:val="131"/>
        </w:trPr>
        <w:tc>
          <w:tcPr>
            <w:tcW w:w="1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ind w:left="1000"/>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70"/>
        </w:trPr>
        <w:tc>
          <w:tcPr>
            <w:tcW w:w="12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83"/>
        </w:trPr>
        <w:tc>
          <w:tcPr>
            <w:tcW w:w="4300" w:type="dxa"/>
            <w:vAlign w:val="bottom"/>
            <w:gridSpan w:val="4"/>
          </w:tcPr>
          <w:p>
            <w:pPr>
              <w:spacing w:after="0" w:line="83" w:lineRule="exact"/>
              <w:rPr>
                <w:sz w:val="20"/>
                <w:szCs w:val="20"/>
                <w:color w:val="auto"/>
              </w:rPr>
            </w:pPr>
            <w:r>
              <w:rPr>
                <w:rFonts w:ascii="Arial" w:cs="Arial" w:eastAsia="Arial" w:hAnsi="Arial"/>
                <w:sz w:val="9"/>
                <w:szCs w:val="9"/>
                <w:color w:val="auto"/>
              </w:rPr>
              <w:t>Matthew S. Kressy</w:t>
            </w:r>
          </w:p>
        </w:tc>
        <w:tc>
          <w:tcPr>
            <w:tcW w:w="1180" w:type="dxa"/>
            <w:vAlign w:val="bottom"/>
          </w:tcPr>
          <w:p>
            <w:pPr>
              <w:jc w:val="right"/>
              <w:ind w:right="127"/>
              <w:spacing w:after="0" w:line="83" w:lineRule="exact"/>
              <w:rPr>
                <w:sz w:val="20"/>
                <w:szCs w:val="20"/>
                <w:color w:val="auto"/>
              </w:rPr>
            </w:pPr>
            <w:r>
              <w:rPr>
                <w:rFonts w:ascii="Arial" w:cs="Arial" w:eastAsia="Arial" w:hAnsi="Arial"/>
                <w:sz w:val="9"/>
                <w:szCs w:val="9"/>
                <w:color w:val="auto"/>
              </w:rPr>
              <w:t>22,127</w:t>
            </w:r>
          </w:p>
        </w:tc>
        <w:tc>
          <w:tcPr>
            <w:tcW w:w="80" w:type="dxa"/>
            <w:vAlign w:val="bottom"/>
          </w:tcPr>
          <w:p>
            <w:pPr>
              <w:spacing w:after="0"/>
              <w:rPr>
                <w:sz w:val="7"/>
                <w:szCs w:val="7"/>
                <w:color w:val="auto"/>
              </w:rPr>
            </w:pPr>
          </w:p>
        </w:tc>
        <w:tc>
          <w:tcPr>
            <w:tcW w:w="1180" w:type="dxa"/>
            <w:vAlign w:val="bottom"/>
          </w:tcPr>
          <w:p>
            <w:pPr>
              <w:jc w:val="right"/>
              <w:ind w:right="126"/>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1280" w:type="dxa"/>
            <w:vAlign w:val="bottom"/>
          </w:tcPr>
          <w:p>
            <w:pPr>
              <w:jc w:val="right"/>
              <w:ind w:right="106"/>
              <w:spacing w:after="0" w:line="83" w:lineRule="exact"/>
              <w:rPr>
                <w:sz w:val="20"/>
                <w:szCs w:val="20"/>
                <w:color w:val="auto"/>
              </w:rPr>
            </w:pPr>
            <w:r>
              <w:rPr>
                <w:rFonts w:ascii="Arial" w:cs="Arial" w:eastAsia="Arial" w:hAnsi="Arial"/>
                <w:sz w:val="9"/>
                <w:szCs w:val="9"/>
                <w:color w:val="auto"/>
              </w:rPr>
              <w:t>*</w:t>
            </w:r>
          </w:p>
        </w:tc>
      </w:tr>
      <w:tr>
        <w:trPr>
          <w:trHeight w:val="131"/>
        </w:trPr>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ind w:left="1000"/>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70"/>
        </w:trPr>
        <w:tc>
          <w:tcPr>
            <w:tcW w:w="1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264"/>
        </w:trPr>
        <w:tc>
          <w:tcPr>
            <w:tcW w:w="43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3"/>
              </w:rPr>
              <w:t>All directors and executive officers as a group (9 persons)</w:t>
            </w:r>
          </w:p>
        </w:tc>
        <w:tc>
          <w:tcPr>
            <w:tcW w:w="11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8"/>
                <w:szCs w:val="18"/>
                <w:color w:val="auto"/>
              </w:rPr>
              <w:t>2,764,767</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83"/>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3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5% shareholders: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1"/>
        </w:trPr>
        <w:tc>
          <w:tcPr>
            <w:tcW w:w="128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5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r>
      <w:tr>
        <w:trPr>
          <w:trHeight w:val="83"/>
        </w:trPr>
        <w:tc>
          <w:tcPr>
            <w:tcW w:w="4300" w:type="dxa"/>
            <w:vAlign w:val="bottom"/>
            <w:gridSpan w:val="4"/>
          </w:tcPr>
          <w:p>
            <w:pPr>
              <w:spacing w:after="0" w:line="83" w:lineRule="exact"/>
              <w:rPr>
                <w:sz w:val="20"/>
                <w:szCs w:val="20"/>
                <w:color w:val="auto"/>
              </w:rPr>
            </w:pPr>
            <w:r>
              <w:rPr>
                <w:rFonts w:ascii="Arial" w:cs="Arial" w:eastAsia="Arial" w:hAnsi="Arial"/>
                <w:sz w:val="9"/>
                <w:szCs w:val="9"/>
                <w:color w:val="auto"/>
              </w:rPr>
              <w:t>Li Chen</w:t>
            </w:r>
          </w:p>
        </w:tc>
        <w:tc>
          <w:tcPr>
            <w:tcW w:w="1180" w:type="dxa"/>
            <w:vAlign w:val="bottom"/>
          </w:tcPr>
          <w:p>
            <w:pPr>
              <w:jc w:val="right"/>
              <w:ind w:right="127"/>
              <w:spacing w:after="0" w:line="83" w:lineRule="exact"/>
              <w:rPr>
                <w:sz w:val="20"/>
                <w:szCs w:val="20"/>
                <w:color w:val="auto"/>
              </w:rPr>
            </w:pPr>
            <w:r>
              <w:rPr>
                <w:rFonts w:ascii="Arial" w:cs="Arial" w:eastAsia="Arial" w:hAnsi="Arial"/>
                <w:sz w:val="9"/>
                <w:szCs w:val="9"/>
                <w:color w:val="auto"/>
              </w:rPr>
              <w:t>1,052,207</w:t>
            </w:r>
          </w:p>
        </w:tc>
        <w:tc>
          <w:tcPr>
            <w:tcW w:w="80" w:type="dxa"/>
            <w:vAlign w:val="bottom"/>
          </w:tcPr>
          <w:p>
            <w:pPr>
              <w:spacing w:after="0"/>
              <w:rPr>
                <w:sz w:val="7"/>
                <w:szCs w:val="7"/>
                <w:color w:val="auto"/>
              </w:rPr>
            </w:pPr>
          </w:p>
        </w:tc>
        <w:tc>
          <w:tcPr>
            <w:tcW w:w="1180" w:type="dxa"/>
            <w:vAlign w:val="bottom"/>
          </w:tcPr>
          <w:p>
            <w:pPr>
              <w:jc w:val="right"/>
              <w:spacing w:after="0" w:line="83" w:lineRule="exact"/>
              <w:rPr>
                <w:sz w:val="20"/>
                <w:szCs w:val="20"/>
                <w:color w:val="auto"/>
              </w:rPr>
            </w:pPr>
            <w:r>
              <w:rPr>
                <w:rFonts w:ascii="Arial" w:cs="Arial" w:eastAsia="Arial" w:hAnsi="Arial"/>
                <w:sz w:val="9"/>
                <w:szCs w:val="9"/>
                <w:color w:val="auto"/>
              </w:rPr>
              <w:t>25.0%</w:t>
            </w:r>
          </w:p>
        </w:tc>
        <w:tc>
          <w:tcPr>
            <w:tcW w:w="80" w:type="dxa"/>
            <w:vAlign w:val="bottom"/>
          </w:tcPr>
          <w:p>
            <w:pPr>
              <w:spacing w:after="0"/>
              <w:rPr>
                <w:sz w:val="7"/>
                <w:szCs w:val="7"/>
                <w:color w:val="auto"/>
              </w:rPr>
            </w:pPr>
          </w:p>
        </w:tc>
        <w:tc>
          <w:tcPr>
            <w:tcW w:w="1280" w:type="dxa"/>
            <w:vAlign w:val="bottom"/>
          </w:tcPr>
          <w:p>
            <w:pPr>
              <w:jc w:val="right"/>
              <w:spacing w:after="0" w:line="83" w:lineRule="exact"/>
              <w:rPr>
                <w:sz w:val="20"/>
                <w:szCs w:val="20"/>
                <w:color w:val="auto"/>
              </w:rPr>
            </w:pPr>
            <w:r>
              <w:rPr>
                <w:rFonts w:ascii="Arial" w:cs="Arial" w:eastAsia="Arial" w:hAnsi="Arial"/>
                <w:sz w:val="9"/>
                <w:szCs w:val="9"/>
                <w:color w:val="auto"/>
              </w:rPr>
              <w:t>10.5%</w:t>
            </w:r>
          </w:p>
        </w:tc>
      </w:tr>
      <w:tr>
        <w:trPr>
          <w:trHeight w:val="131"/>
        </w:trPr>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ind w:left="1000"/>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70"/>
        </w:trPr>
        <w:tc>
          <w:tcPr>
            <w:tcW w:w="1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83"/>
        </w:trPr>
        <w:tc>
          <w:tcPr>
            <w:tcW w:w="4300" w:type="dxa"/>
            <w:vAlign w:val="bottom"/>
            <w:gridSpan w:val="4"/>
            <w:shd w:val="clear" w:color="auto" w:fill="CCEEFF"/>
          </w:tcPr>
          <w:p>
            <w:pPr>
              <w:spacing w:after="0" w:line="83" w:lineRule="exact"/>
              <w:rPr>
                <w:sz w:val="20"/>
                <w:szCs w:val="20"/>
                <w:color w:val="auto"/>
              </w:rPr>
            </w:pPr>
            <w:r>
              <w:rPr>
                <w:rFonts w:ascii="Arial" w:cs="Arial" w:eastAsia="Arial" w:hAnsi="Arial"/>
                <w:sz w:val="9"/>
                <w:szCs w:val="9"/>
                <w:color w:val="auto"/>
              </w:rPr>
              <w:t>Argand Group, LLC</w:t>
            </w:r>
          </w:p>
        </w:tc>
        <w:tc>
          <w:tcPr>
            <w:tcW w:w="1180" w:type="dxa"/>
            <w:vAlign w:val="bottom"/>
            <w:shd w:val="clear" w:color="auto" w:fill="CCEEFF"/>
          </w:tcPr>
          <w:p>
            <w:pPr>
              <w:jc w:val="right"/>
              <w:ind w:right="127"/>
              <w:spacing w:after="0" w:line="83" w:lineRule="exact"/>
              <w:rPr>
                <w:sz w:val="20"/>
                <w:szCs w:val="20"/>
                <w:color w:val="auto"/>
              </w:rPr>
            </w:pPr>
            <w:r>
              <w:rPr>
                <w:rFonts w:ascii="Arial" w:cs="Arial" w:eastAsia="Arial" w:hAnsi="Arial"/>
                <w:sz w:val="9"/>
                <w:szCs w:val="9"/>
                <w:color w:val="auto"/>
              </w:rPr>
              <w:t>974,534</w:t>
            </w:r>
          </w:p>
        </w:tc>
        <w:tc>
          <w:tcPr>
            <w:tcW w:w="80" w:type="dxa"/>
            <w:vAlign w:val="bottom"/>
            <w:shd w:val="clear" w:color="auto" w:fill="CCEEFF"/>
          </w:tcPr>
          <w:p>
            <w:pPr>
              <w:spacing w:after="0"/>
              <w:rPr>
                <w:sz w:val="7"/>
                <w:szCs w:val="7"/>
                <w:color w:val="auto"/>
              </w:rPr>
            </w:pPr>
          </w:p>
        </w:tc>
        <w:tc>
          <w:tcPr>
            <w:tcW w:w="118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21.8%</w:t>
            </w:r>
          </w:p>
        </w:tc>
        <w:tc>
          <w:tcPr>
            <w:tcW w:w="80" w:type="dxa"/>
            <w:vAlign w:val="bottom"/>
            <w:shd w:val="clear" w:color="auto" w:fill="CCEEFF"/>
          </w:tcPr>
          <w:p>
            <w:pPr>
              <w:spacing w:after="0"/>
              <w:rPr>
                <w:sz w:val="7"/>
                <w:szCs w:val="7"/>
                <w:color w:val="auto"/>
              </w:rPr>
            </w:pPr>
          </w:p>
        </w:tc>
        <w:tc>
          <w:tcPr>
            <w:tcW w:w="128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9.4%</w:t>
            </w:r>
          </w:p>
        </w:tc>
      </w:tr>
      <w:tr>
        <w:trPr>
          <w:trHeight w:val="131"/>
        </w:trPr>
        <w:tc>
          <w:tcPr>
            <w:tcW w:w="1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ind w:left="1000"/>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70"/>
        </w:trPr>
        <w:tc>
          <w:tcPr>
            <w:tcW w:w="12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243"/>
        </w:trPr>
        <w:tc>
          <w:tcPr>
            <w:tcW w:w="4300" w:type="dxa"/>
            <w:vAlign w:val="bottom"/>
            <w:gridSpan w:val="4"/>
          </w:tcPr>
          <w:p>
            <w:pPr>
              <w:spacing w:after="0"/>
              <w:rPr>
                <w:sz w:val="20"/>
                <w:szCs w:val="20"/>
                <w:color w:val="auto"/>
              </w:rPr>
            </w:pPr>
            <w:r>
              <w:rPr>
                <w:rFonts w:ascii="Arial" w:cs="Arial" w:eastAsia="Arial" w:hAnsi="Arial"/>
                <w:sz w:val="18"/>
                <w:szCs w:val="18"/>
                <w:color w:val="auto"/>
              </w:rPr>
              <w:t>Dennis Liotta</w:t>
            </w:r>
          </w:p>
        </w:tc>
        <w:tc>
          <w:tcPr>
            <w:tcW w:w="1180" w:type="dxa"/>
            <w:vAlign w:val="bottom"/>
          </w:tcPr>
          <w:p>
            <w:pPr>
              <w:jc w:val="right"/>
              <w:ind w:right="127"/>
              <w:spacing w:after="0"/>
              <w:rPr>
                <w:sz w:val="20"/>
                <w:szCs w:val="20"/>
                <w:color w:val="auto"/>
              </w:rPr>
            </w:pPr>
            <w:r>
              <w:rPr>
                <w:rFonts w:ascii="Arial" w:cs="Arial" w:eastAsia="Arial" w:hAnsi="Arial"/>
                <w:sz w:val="18"/>
                <w:szCs w:val="18"/>
                <w:color w:val="auto"/>
              </w:rPr>
              <w:t>869,769</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1"/>
        </w:trPr>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83"/>
        </w:trPr>
        <w:tc>
          <w:tcPr>
            <w:tcW w:w="4300" w:type="dxa"/>
            <w:vAlign w:val="bottom"/>
            <w:gridSpan w:val="4"/>
            <w:shd w:val="clear" w:color="auto" w:fill="CCEEFF"/>
          </w:tcPr>
          <w:p>
            <w:pPr>
              <w:spacing w:after="0" w:line="83" w:lineRule="exact"/>
              <w:rPr>
                <w:sz w:val="20"/>
                <w:szCs w:val="20"/>
                <w:color w:val="auto"/>
              </w:rPr>
            </w:pPr>
            <w:r>
              <w:rPr>
                <w:rFonts w:ascii="Arial" w:cs="Arial" w:eastAsia="Arial" w:hAnsi="Arial"/>
                <w:sz w:val="9"/>
                <w:szCs w:val="9"/>
                <w:color w:val="auto"/>
              </w:rPr>
              <w:t>Win-Light Global Co., Ltd.</w:t>
            </w:r>
          </w:p>
        </w:tc>
        <w:tc>
          <w:tcPr>
            <w:tcW w:w="1180" w:type="dxa"/>
            <w:vAlign w:val="bottom"/>
            <w:shd w:val="clear" w:color="auto" w:fill="CCEEFF"/>
          </w:tcPr>
          <w:p>
            <w:pPr>
              <w:jc w:val="right"/>
              <w:ind w:right="127"/>
              <w:spacing w:after="0" w:line="83" w:lineRule="exact"/>
              <w:rPr>
                <w:sz w:val="20"/>
                <w:szCs w:val="20"/>
                <w:color w:val="auto"/>
              </w:rPr>
            </w:pPr>
            <w:r>
              <w:rPr>
                <w:rFonts w:ascii="Arial" w:cs="Arial" w:eastAsia="Arial" w:hAnsi="Arial"/>
                <w:sz w:val="9"/>
                <w:szCs w:val="9"/>
                <w:color w:val="auto"/>
              </w:rPr>
              <w:t>662,714</w:t>
            </w:r>
          </w:p>
        </w:tc>
        <w:tc>
          <w:tcPr>
            <w:tcW w:w="80" w:type="dxa"/>
            <w:vAlign w:val="bottom"/>
            <w:shd w:val="clear" w:color="auto" w:fill="CCEEFF"/>
          </w:tcPr>
          <w:p>
            <w:pPr>
              <w:spacing w:after="0"/>
              <w:rPr>
                <w:sz w:val="7"/>
                <w:szCs w:val="7"/>
                <w:color w:val="auto"/>
              </w:rPr>
            </w:pPr>
          </w:p>
        </w:tc>
        <w:tc>
          <w:tcPr>
            <w:tcW w:w="118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13.6%</w:t>
            </w:r>
          </w:p>
        </w:tc>
        <w:tc>
          <w:tcPr>
            <w:tcW w:w="80" w:type="dxa"/>
            <w:vAlign w:val="bottom"/>
            <w:shd w:val="clear" w:color="auto" w:fill="CCEEFF"/>
          </w:tcPr>
          <w:p>
            <w:pPr>
              <w:spacing w:after="0"/>
              <w:rPr>
                <w:sz w:val="7"/>
                <w:szCs w:val="7"/>
                <w:color w:val="auto"/>
              </w:rPr>
            </w:pPr>
          </w:p>
        </w:tc>
        <w:tc>
          <w:tcPr>
            <w:tcW w:w="128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6.2%</w:t>
            </w:r>
          </w:p>
        </w:tc>
      </w:tr>
      <w:tr>
        <w:trPr>
          <w:trHeight w:val="131"/>
        </w:trPr>
        <w:tc>
          <w:tcPr>
            <w:tcW w:w="1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ind w:left="1000"/>
              <w:spacing w:after="0"/>
              <w:rPr>
                <w:sz w:val="20"/>
                <w:szCs w:val="20"/>
                <w:color w:val="auto"/>
              </w:rPr>
            </w:pPr>
            <w:r>
              <w:rPr>
                <w:rFonts w:ascii="Arial" w:cs="Arial" w:eastAsia="Arial" w:hAnsi="Arial"/>
                <w:sz w:val="10"/>
                <w:szCs w:val="10"/>
                <w:color w:val="auto"/>
              </w:rPr>
              <w:t>(7)</w:t>
            </w: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70"/>
        </w:trPr>
        <w:tc>
          <w:tcPr>
            <w:tcW w:w="12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83"/>
        </w:trPr>
        <w:tc>
          <w:tcPr>
            <w:tcW w:w="4300" w:type="dxa"/>
            <w:vAlign w:val="bottom"/>
            <w:gridSpan w:val="4"/>
          </w:tcPr>
          <w:p>
            <w:pPr>
              <w:spacing w:after="0" w:line="83" w:lineRule="exact"/>
              <w:rPr>
                <w:sz w:val="20"/>
                <w:szCs w:val="20"/>
                <w:color w:val="auto"/>
              </w:rPr>
            </w:pPr>
            <w:r>
              <w:rPr>
                <w:rFonts w:ascii="Arial" w:cs="Arial" w:eastAsia="Arial" w:hAnsi="Arial"/>
                <w:sz w:val="9"/>
                <w:szCs w:val="9"/>
                <w:color w:val="auto"/>
              </w:rPr>
              <w:t>Jesan Capital Company Limited</w:t>
            </w:r>
          </w:p>
        </w:tc>
        <w:tc>
          <w:tcPr>
            <w:tcW w:w="1180" w:type="dxa"/>
            <w:vAlign w:val="bottom"/>
          </w:tcPr>
          <w:p>
            <w:pPr>
              <w:jc w:val="right"/>
              <w:ind w:right="127"/>
              <w:spacing w:after="0" w:line="83" w:lineRule="exact"/>
              <w:rPr>
                <w:sz w:val="20"/>
                <w:szCs w:val="20"/>
                <w:color w:val="auto"/>
              </w:rPr>
            </w:pPr>
            <w:r>
              <w:rPr>
                <w:rFonts w:ascii="Arial" w:cs="Arial" w:eastAsia="Arial" w:hAnsi="Arial"/>
                <w:sz w:val="9"/>
                <w:szCs w:val="9"/>
                <w:color w:val="auto"/>
              </w:rPr>
              <w:t>539,746</w:t>
            </w:r>
          </w:p>
        </w:tc>
        <w:tc>
          <w:tcPr>
            <w:tcW w:w="80" w:type="dxa"/>
            <w:vAlign w:val="bottom"/>
          </w:tcPr>
          <w:p>
            <w:pPr>
              <w:spacing w:after="0"/>
              <w:rPr>
                <w:sz w:val="7"/>
                <w:szCs w:val="7"/>
                <w:color w:val="auto"/>
              </w:rPr>
            </w:pPr>
          </w:p>
        </w:tc>
        <w:tc>
          <w:tcPr>
            <w:tcW w:w="1180" w:type="dxa"/>
            <w:vAlign w:val="bottom"/>
          </w:tcPr>
          <w:p>
            <w:pPr>
              <w:jc w:val="right"/>
              <w:spacing w:after="0" w:line="83" w:lineRule="exact"/>
              <w:rPr>
                <w:sz w:val="20"/>
                <w:szCs w:val="20"/>
                <w:color w:val="auto"/>
              </w:rPr>
            </w:pPr>
            <w:r>
              <w:rPr>
                <w:rFonts w:ascii="Arial" w:cs="Arial" w:eastAsia="Arial" w:hAnsi="Arial"/>
                <w:sz w:val="9"/>
                <w:szCs w:val="9"/>
                <w:color w:val="auto"/>
              </w:rPr>
              <w:t>11.4%</w:t>
            </w:r>
          </w:p>
        </w:tc>
        <w:tc>
          <w:tcPr>
            <w:tcW w:w="80" w:type="dxa"/>
            <w:vAlign w:val="bottom"/>
          </w:tcPr>
          <w:p>
            <w:pPr>
              <w:spacing w:after="0"/>
              <w:rPr>
                <w:sz w:val="7"/>
                <w:szCs w:val="7"/>
                <w:color w:val="auto"/>
              </w:rPr>
            </w:pPr>
          </w:p>
        </w:tc>
        <w:tc>
          <w:tcPr>
            <w:tcW w:w="1280" w:type="dxa"/>
            <w:vAlign w:val="bottom"/>
          </w:tcPr>
          <w:p>
            <w:pPr>
              <w:jc w:val="right"/>
              <w:spacing w:after="0" w:line="83" w:lineRule="exact"/>
              <w:rPr>
                <w:sz w:val="20"/>
                <w:szCs w:val="20"/>
                <w:color w:val="auto"/>
              </w:rPr>
            </w:pPr>
            <w:r>
              <w:rPr>
                <w:rFonts w:ascii="Arial" w:cs="Arial" w:eastAsia="Arial" w:hAnsi="Arial"/>
                <w:sz w:val="9"/>
                <w:szCs w:val="9"/>
                <w:color w:val="auto"/>
              </w:rPr>
              <w:t>5.1%</w:t>
            </w:r>
          </w:p>
        </w:tc>
      </w:tr>
      <w:tr>
        <w:trPr>
          <w:trHeight w:val="131"/>
        </w:trPr>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ind w:left="1000"/>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70"/>
        </w:trPr>
        <w:tc>
          <w:tcPr>
            <w:tcW w:w="1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264"/>
        </w:trPr>
        <w:tc>
          <w:tcPr>
            <w:tcW w:w="43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Qing Chen</w:t>
            </w:r>
          </w:p>
        </w:tc>
        <w:tc>
          <w:tcPr>
            <w:tcW w:w="11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8"/>
                <w:szCs w:val="18"/>
                <w:color w:val="auto"/>
              </w:rPr>
              <w:t>297,878</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83"/>
        </w:trPr>
        <w:tc>
          <w:tcPr>
            <w:tcW w:w="4300" w:type="dxa"/>
            <w:vAlign w:val="bottom"/>
            <w:gridSpan w:val="4"/>
          </w:tcPr>
          <w:p>
            <w:pPr>
              <w:spacing w:after="0" w:line="83" w:lineRule="exact"/>
              <w:rPr>
                <w:sz w:val="20"/>
                <w:szCs w:val="20"/>
                <w:color w:val="auto"/>
              </w:rPr>
            </w:pPr>
            <w:r>
              <w:rPr>
                <w:rFonts w:ascii="Arial" w:cs="Arial" w:eastAsia="Arial" w:hAnsi="Arial"/>
                <w:sz w:val="9"/>
                <w:szCs w:val="9"/>
                <w:color w:val="auto"/>
              </w:rPr>
              <w:t>Hoop Ventures LLC</w:t>
            </w:r>
          </w:p>
        </w:tc>
        <w:tc>
          <w:tcPr>
            <w:tcW w:w="1180" w:type="dxa"/>
            <w:vAlign w:val="bottom"/>
          </w:tcPr>
          <w:p>
            <w:pPr>
              <w:jc w:val="right"/>
              <w:ind w:right="127"/>
              <w:spacing w:after="0" w:line="83" w:lineRule="exact"/>
              <w:rPr>
                <w:sz w:val="20"/>
                <w:szCs w:val="20"/>
                <w:color w:val="auto"/>
              </w:rPr>
            </w:pPr>
            <w:r>
              <w:rPr>
                <w:rFonts w:ascii="Arial" w:cs="Arial" w:eastAsia="Arial" w:hAnsi="Arial"/>
                <w:sz w:val="9"/>
                <w:szCs w:val="9"/>
                <w:color w:val="auto"/>
              </w:rPr>
              <w:t>284.074</w:t>
            </w:r>
          </w:p>
        </w:tc>
        <w:tc>
          <w:tcPr>
            <w:tcW w:w="80" w:type="dxa"/>
            <w:vAlign w:val="bottom"/>
          </w:tcPr>
          <w:p>
            <w:pPr>
              <w:spacing w:after="0"/>
              <w:rPr>
                <w:sz w:val="7"/>
                <w:szCs w:val="7"/>
                <w:color w:val="auto"/>
              </w:rPr>
            </w:pPr>
          </w:p>
        </w:tc>
        <w:tc>
          <w:tcPr>
            <w:tcW w:w="1180" w:type="dxa"/>
            <w:vAlign w:val="bottom"/>
          </w:tcPr>
          <w:p>
            <w:pPr>
              <w:jc w:val="right"/>
              <w:spacing w:after="0" w:line="83" w:lineRule="exact"/>
              <w:rPr>
                <w:sz w:val="20"/>
                <w:szCs w:val="20"/>
                <w:color w:val="auto"/>
              </w:rPr>
            </w:pPr>
            <w:r>
              <w:rPr>
                <w:rFonts w:ascii="Arial" w:cs="Arial" w:eastAsia="Arial" w:hAnsi="Arial"/>
                <w:sz w:val="9"/>
                <w:szCs w:val="9"/>
                <w:color w:val="auto"/>
              </w:rPr>
              <w:t>6.7%</w:t>
            </w:r>
          </w:p>
        </w:tc>
        <w:tc>
          <w:tcPr>
            <w:tcW w:w="80" w:type="dxa"/>
            <w:vAlign w:val="bottom"/>
          </w:tcPr>
          <w:p>
            <w:pPr>
              <w:spacing w:after="0"/>
              <w:rPr>
                <w:sz w:val="7"/>
                <w:szCs w:val="7"/>
                <w:color w:val="auto"/>
              </w:rPr>
            </w:pPr>
          </w:p>
        </w:tc>
        <w:tc>
          <w:tcPr>
            <w:tcW w:w="1280" w:type="dxa"/>
            <w:vAlign w:val="bottom"/>
          </w:tcPr>
          <w:p>
            <w:pPr>
              <w:jc w:val="right"/>
              <w:spacing w:after="0" w:line="83" w:lineRule="exact"/>
              <w:rPr>
                <w:sz w:val="20"/>
                <w:szCs w:val="20"/>
                <w:color w:val="auto"/>
              </w:rPr>
            </w:pPr>
            <w:r>
              <w:rPr>
                <w:rFonts w:ascii="Arial" w:cs="Arial" w:eastAsia="Arial" w:hAnsi="Arial"/>
                <w:sz w:val="9"/>
                <w:szCs w:val="9"/>
                <w:color w:val="auto"/>
              </w:rPr>
              <w:t>2.8%</w:t>
            </w:r>
          </w:p>
        </w:tc>
      </w:tr>
      <w:tr>
        <w:trPr>
          <w:trHeight w:val="131"/>
        </w:trPr>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ind w:left="1000"/>
              <w:spacing w:after="0"/>
              <w:rPr>
                <w:sz w:val="20"/>
                <w:szCs w:val="20"/>
                <w:color w:val="auto"/>
              </w:rPr>
            </w:pPr>
            <w:r>
              <w:rPr>
                <w:rFonts w:ascii="Arial" w:cs="Arial" w:eastAsia="Arial" w:hAnsi="Arial"/>
                <w:sz w:val="10"/>
                <w:szCs w:val="10"/>
                <w:color w:val="auto"/>
              </w:rPr>
              <w:t>(9)</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70"/>
        </w:trPr>
        <w:tc>
          <w:tcPr>
            <w:tcW w:w="1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83"/>
        </w:trPr>
        <w:tc>
          <w:tcPr>
            <w:tcW w:w="4300" w:type="dxa"/>
            <w:vAlign w:val="bottom"/>
            <w:gridSpan w:val="4"/>
            <w:shd w:val="clear" w:color="auto" w:fill="CCEEFF"/>
          </w:tcPr>
          <w:p>
            <w:pPr>
              <w:spacing w:after="0" w:line="83" w:lineRule="exact"/>
              <w:rPr>
                <w:sz w:val="20"/>
                <w:szCs w:val="20"/>
                <w:color w:val="auto"/>
              </w:rPr>
            </w:pPr>
            <w:r>
              <w:rPr>
                <w:rFonts w:ascii="Arial" w:cs="Arial" w:eastAsia="Arial" w:hAnsi="Arial"/>
                <w:sz w:val="9"/>
                <w:szCs w:val="9"/>
                <w:color w:val="auto"/>
              </w:rPr>
              <w:t>Advanced Glory Holding Limited (BVI)</w:t>
            </w:r>
          </w:p>
        </w:tc>
        <w:tc>
          <w:tcPr>
            <w:tcW w:w="1180" w:type="dxa"/>
            <w:vAlign w:val="bottom"/>
            <w:shd w:val="clear" w:color="auto" w:fill="CCEEFF"/>
          </w:tcPr>
          <w:p>
            <w:pPr>
              <w:jc w:val="right"/>
              <w:ind w:right="127"/>
              <w:spacing w:after="0" w:line="83" w:lineRule="exact"/>
              <w:rPr>
                <w:sz w:val="20"/>
                <w:szCs w:val="20"/>
                <w:color w:val="auto"/>
              </w:rPr>
            </w:pPr>
            <w:r>
              <w:rPr>
                <w:rFonts w:ascii="Arial" w:cs="Arial" w:eastAsia="Arial" w:hAnsi="Arial"/>
                <w:sz w:val="9"/>
                <w:szCs w:val="9"/>
                <w:color w:val="auto"/>
              </w:rPr>
              <w:t>273.372</w:t>
            </w:r>
          </w:p>
        </w:tc>
        <w:tc>
          <w:tcPr>
            <w:tcW w:w="80" w:type="dxa"/>
            <w:vAlign w:val="bottom"/>
            <w:shd w:val="clear" w:color="auto" w:fill="CCEEFF"/>
          </w:tcPr>
          <w:p>
            <w:pPr>
              <w:spacing w:after="0"/>
              <w:rPr>
                <w:sz w:val="7"/>
                <w:szCs w:val="7"/>
                <w:color w:val="auto"/>
              </w:rPr>
            </w:pPr>
          </w:p>
        </w:tc>
        <w:tc>
          <w:tcPr>
            <w:tcW w:w="118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6.2%</w:t>
            </w:r>
          </w:p>
        </w:tc>
        <w:tc>
          <w:tcPr>
            <w:tcW w:w="80" w:type="dxa"/>
            <w:vAlign w:val="bottom"/>
            <w:shd w:val="clear" w:color="auto" w:fill="CCEEFF"/>
          </w:tcPr>
          <w:p>
            <w:pPr>
              <w:spacing w:after="0"/>
              <w:rPr>
                <w:sz w:val="7"/>
                <w:szCs w:val="7"/>
                <w:color w:val="auto"/>
              </w:rPr>
            </w:pPr>
          </w:p>
        </w:tc>
        <w:tc>
          <w:tcPr>
            <w:tcW w:w="128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2.7%</w:t>
            </w:r>
          </w:p>
        </w:tc>
      </w:tr>
      <w:tr>
        <w:trPr>
          <w:trHeight w:val="131"/>
        </w:trPr>
        <w:tc>
          <w:tcPr>
            <w:tcW w:w="1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ind w:left="1000"/>
              <w:spacing w:after="0"/>
              <w:rPr>
                <w:sz w:val="20"/>
                <w:szCs w:val="20"/>
                <w:color w:val="auto"/>
              </w:rPr>
            </w:pPr>
            <w:r>
              <w:rPr>
                <w:rFonts w:ascii="Arial" w:cs="Arial" w:eastAsia="Arial" w:hAnsi="Arial"/>
                <w:sz w:val="10"/>
                <w:szCs w:val="10"/>
                <w:color w:val="auto"/>
                <w:w w:val="89"/>
              </w:rPr>
              <w:t>(10)</w:t>
            </w: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70"/>
        </w:trPr>
        <w:tc>
          <w:tcPr>
            <w:tcW w:w="12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83"/>
        </w:trPr>
        <w:tc>
          <w:tcPr>
            <w:tcW w:w="4300" w:type="dxa"/>
            <w:vAlign w:val="bottom"/>
            <w:gridSpan w:val="4"/>
          </w:tcPr>
          <w:p>
            <w:pPr>
              <w:spacing w:after="0" w:line="83" w:lineRule="exact"/>
              <w:rPr>
                <w:sz w:val="20"/>
                <w:szCs w:val="20"/>
                <w:color w:val="auto"/>
              </w:rPr>
            </w:pPr>
            <w:r>
              <w:rPr>
                <w:rFonts w:ascii="Arial" w:cs="Arial" w:eastAsia="Arial" w:hAnsi="Arial"/>
                <w:sz w:val="9"/>
                <w:szCs w:val="9"/>
                <w:color w:val="auto"/>
              </w:rPr>
              <w:t>Golden Success HK Limited</w:t>
            </w:r>
          </w:p>
        </w:tc>
        <w:tc>
          <w:tcPr>
            <w:tcW w:w="1180" w:type="dxa"/>
            <w:vAlign w:val="bottom"/>
          </w:tcPr>
          <w:p>
            <w:pPr>
              <w:jc w:val="right"/>
              <w:ind w:right="127"/>
              <w:spacing w:after="0" w:line="83" w:lineRule="exact"/>
              <w:rPr>
                <w:sz w:val="20"/>
                <w:szCs w:val="20"/>
                <w:color w:val="auto"/>
              </w:rPr>
            </w:pPr>
            <w:r>
              <w:rPr>
                <w:rFonts w:ascii="Arial" w:cs="Arial" w:eastAsia="Arial" w:hAnsi="Arial"/>
                <w:sz w:val="9"/>
                <w:szCs w:val="9"/>
                <w:color w:val="auto"/>
              </w:rPr>
              <w:t>289,150</w:t>
            </w:r>
          </w:p>
        </w:tc>
        <w:tc>
          <w:tcPr>
            <w:tcW w:w="80" w:type="dxa"/>
            <w:vAlign w:val="bottom"/>
          </w:tcPr>
          <w:p>
            <w:pPr>
              <w:spacing w:after="0"/>
              <w:rPr>
                <w:sz w:val="7"/>
                <w:szCs w:val="7"/>
                <w:color w:val="auto"/>
              </w:rPr>
            </w:pPr>
          </w:p>
        </w:tc>
        <w:tc>
          <w:tcPr>
            <w:tcW w:w="1180" w:type="dxa"/>
            <w:vAlign w:val="bottom"/>
          </w:tcPr>
          <w:p>
            <w:pPr>
              <w:jc w:val="right"/>
              <w:spacing w:after="0" w:line="83" w:lineRule="exact"/>
              <w:rPr>
                <w:sz w:val="20"/>
                <w:szCs w:val="20"/>
                <w:color w:val="auto"/>
              </w:rPr>
            </w:pPr>
            <w:r>
              <w:rPr>
                <w:rFonts w:ascii="Arial" w:cs="Arial" w:eastAsia="Arial" w:hAnsi="Arial"/>
                <w:sz w:val="9"/>
                <w:szCs w:val="9"/>
                <w:color w:val="auto"/>
              </w:rPr>
              <w:t>6.4%</w:t>
            </w:r>
          </w:p>
        </w:tc>
        <w:tc>
          <w:tcPr>
            <w:tcW w:w="80" w:type="dxa"/>
            <w:vAlign w:val="bottom"/>
          </w:tcPr>
          <w:p>
            <w:pPr>
              <w:spacing w:after="0"/>
              <w:rPr>
                <w:sz w:val="7"/>
                <w:szCs w:val="7"/>
                <w:color w:val="auto"/>
              </w:rPr>
            </w:pPr>
          </w:p>
        </w:tc>
        <w:tc>
          <w:tcPr>
            <w:tcW w:w="1280" w:type="dxa"/>
            <w:vAlign w:val="bottom"/>
          </w:tcPr>
          <w:p>
            <w:pPr>
              <w:jc w:val="right"/>
              <w:spacing w:after="0" w:line="83" w:lineRule="exact"/>
              <w:rPr>
                <w:sz w:val="20"/>
                <w:szCs w:val="20"/>
                <w:color w:val="auto"/>
              </w:rPr>
            </w:pPr>
            <w:r>
              <w:rPr>
                <w:rFonts w:ascii="Arial" w:cs="Arial" w:eastAsia="Arial" w:hAnsi="Arial"/>
                <w:sz w:val="9"/>
                <w:szCs w:val="9"/>
                <w:color w:val="auto"/>
              </w:rPr>
              <w:t>2.8%</w:t>
            </w:r>
          </w:p>
        </w:tc>
      </w:tr>
      <w:tr>
        <w:trPr>
          <w:trHeight w:val="131"/>
        </w:trPr>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ind w:left="1000"/>
              <w:spacing w:after="0"/>
              <w:rPr>
                <w:sz w:val="20"/>
                <w:szCs w:val="20"/>
                <w:color w:val="auto"/>
              </w:rPr>
            </w:pPr>
            <w:r>
              <w:rPr>
                <w:rFonts w:ascii="Arial" w:cs="Arial" w:eastAsia="Arial" w:hAnsi="Arial"/>
                <w:sz w:val="10"/>
                <w:szCs w:val="10"/>
                <w:color w:val="auto"/>
                <w:w w:val="89"/>
              </w:rPr>
              <w:t>(11)</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r>
    </w:tbl>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ind w:left="880" w:right="599" w:hanging="426"/>
        <w:spacing w:after="0" w:line="288"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Unless otherwise indicated, the address of such individual is c/o Agrify Corporation, 101 Middlesex Turnpike, Suite 6, PMB 326, Burlington, MA 01803.</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5" w:name="page106"/>
    <w:bookmarkEnd w:id="10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499" w:hanging="426"/>
        <w:spacing w:after="0" w:line="297" w:lineRule="auto"/>
        <w:tabs>
          <w:tab w:leader="none" w:pos="8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(i) options to purchase 616,805 shares of common stock, (ii) 322,417 shares of common stock held by RTC3 2020 Irrevocable Family Trust, of which Raymond Chang retains the authority to remove the independent trustee,</w:t>
      </w:r>
    </w:p>
    <w:p>
      <w:pPr>
        <w:ind w:left="880" w:right="479" w:firstLine="6"/>
        <w:spacing w:after="0" w:line="301" w:lineRule="auto"/>
        <w:tabs>
          <w:tab w:leader="none" w:pos="1163" w:val="left"/>
        </w:tabs>
        <w:numPr>
          <w:ilvl w:val="1"/>
          <w:numId w:val="54"/>
        </w:numPr>
        <w:rPr>
          <w:rFonts w:ascii="Arial" w:cs="Arial" w:eastAsia="Arial" w:hAnsi="Arial"/>
          <w:sz w:val="14"/>
          <w:szCs w:val="14"/>
          <w:color w:val="auto"/>
        </w:rPr>
      </w:pPr>
      <w:r>
        <w:rPr>
          <w:rFonts w:ascii="Arial" w:cs="Arial" w:eastAsia="Arial" w:hAnsi="Arial"/>
          <w:sz w:val="14"/>
          <w:szCs w:val="14"/>
          <w:color w:val="auto"/>
        </w:rPr>
        <w:t>129,548 shares of common stock issuable upon conversion of a $1,000,000 2020 convertible promissory note (at an assumed conversion price of $7.72) issued to RTC3 2020 Irrevocable Family Trust, (iv) 129,548 shares of common stock issuable upon conversion of a $1,000,000 2020 convertible promissory note (at an assumed conversion price of $7.72) issued to NXT3J Capital, LLC, an entity controlled by Mr. Chang, (v) warrants to purchase 126,438 shares of common stock associated with our 2020 convertible promissory notes held by RTC3 2020 Irrevocable Family Trust (of which 63,219 was transferred from NXT3J Capital, LLC to RTC3 2020 Irrevocable Family Trust), and (vi) options to purchase 40,590 shares of common stock held by Mr. Chang’s son, Raymond Chang Jr.</w:t>
      </w:r>
    </w:p>
    <w:p>
      <w:pPr>
        <w:spacing w:after="0" w:line="4" w:lineRule="exact"/>
        <w:rPr>
          <w:rFonts w:ascii="Arial" w:cs="Arial" w:eastAsia="Arial" w:hAnsi="Arial"/>
          <w:sz w:val="14"/>
          <w:szCs w:val="14"/>
          <w:color w:val="auto"/>
        </w:rPr>
      </w:pPr>
    </w:p>
    <w:p>
      <w:pPr>
        <w:ind w:left="880" w:hanging="426"/>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Represents shares of common stock underlying options.</w:t>
      </w:r>
    </w:p>
    <w:p>
      <w:pPr>
        <w:spacing w:after="0" w:line="18" w:lineRule="exact"/>
        <w:rPr>
          <w:rFonts w:ascii="Arial" w:cs="Arial" w:eastAsia="Arial" w:hAnsi="Arial"/>
          <w:sz w:val="16"/>
          <w:szCs w:val="16"/>
          <w:color w:val="auto"/>
        </w:rPr>
      </w:pPr>
    </w:p>
    <w:p>
      <w:pPr>
        <w:ind w:left="880" w:right="479" w:hanging="426"/>
        <w:spacing w:after="0" w:line="264" w:lineRule="auto"/>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(i) 719,906 shares of common stock held by Argand Group, LLC, which is jointly owned by Matthew Liotta, a former employee and member of our board of directors, and his spouse, Jennifer Liotta, (ii) 195,662 shares of common stock underlying options granted to Matthew Liotta and (iii) 58,966 shares of common stock underlying options granted to Jennifer Liotta.</w:t>
      </w:r>
    </w:p>
    <w:p>
      <w:pPr>
        <w:ind w:left="880" w:right="479" w:hanging="426"/>
        <w:spacing w:after="0" w:line="301" w:lineRule="auto"/>
        <w:tabs>
          <w:tab w:leader="none" w:pos="8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(i) 542,636 shares of common stock issuable upon conversion of our Series A Preferred Stock (at an assumed conversion price of $7.72) held by Inventronics, of which Mr. Hua shares voting and dispositive control, and</w:t>
      </w:r>
    </w:p>
    <w:p>
      <w:pPr>
        <w:spacing w:after="0" w:line="1" w:lineRule="exact"/>
        <w:rPr>
          <w:rFonts w:ascii="Arial" w:cs="Arial" w:eastAsia="Arial" w:hAnsi="Arial"/>
          <w:sz w:val="14"/>
          <w:szCs w:val="14"/>
          <w:color w:val="auto"/>
        </w:rPr>
      </w:pPr>
    </w:p>
    <w:p>
      <w:pPr>
        <w:ind w:left="1120" w:hanging="234"/>
        <w:spacing w:after="0"/>
        <w:tabs>
          <w:tab w:leader="none" w:pos="11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options to purchase 41,120 shares of common stock.</w:t>
      </w:r>
    </w:p>
    <w:p>
      <w:pPr>
        <w:spacing w:after="0" w:line="18" w:lineRule="exact"/>
        <w:rPr>
          <w:rFonts w:ascii="Arial" w:cs="Arial" w:eastAsia="Arial" w:hAnsi="Arial"/>
          <w:sz w:val="16"/>
          <w:szCs w:val="16"/>
          <w:color w:val="auto"/>
        </w:rPr>
      </w:pPr>
    </w:p>
    <w:p>
      <w:pPr>
        <w:ind w:left="880" w:right="659" w:hanging="426"/>
        <w:spacing w:after="0" w:line="281" w:lineRule="auto"/>
        <w:tabs>
          <w:tab w:leader="none" w:pos="8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Includes 233,824 shares of common stock held by R&amp;T Trust, of which Li Chen is the trustee and holds voting and dispositive power over such shares. The address of R&amp;T Trust is 18 Walker Drive, Princeton, NJ.</w:t>
      </w:r>
    </w:p>
    <w:p>
      <w:pPr>
        <w:spacing w:after="0" w:line="1" w:lineRule="exact"/>
        <w:rPr>
          <w:rFonts w:ascii="Arial" w:cs="Arial" w:eastAsia="Arial" w:hAnsi="Arial"/>
          <w:sz w:val="15"/>
          <w:szCs w:val="15"/>
          <w:color w:val="auto"/>
        </w:rPr>
      </w:pPr>
    </w:p>
    <w:p>
      <w:pPr>
        <w:ind w:left="880" w:right="619" w:hanging="426"/>
        <w:spacing w:after="0" w:line="281" w:lineRule="auto"/>
        <w:tabs>
          <w:tab w:leader="none" w:pos="8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Includes (i) 277,181 shares of common stock issuable upon conversion of our Series A Preferred Stock (at an assumed conversion price of $7.72), (ii) 259,095 shares of common stock issuable upon conversion of a $2,000,000 convertible promissory note (at an assumed conversion price of $7.72) and (iii) warrants to purchase 126,438 shares of common stock associated with our 2020 convertible promissory notes. Zhu Yue-Mei holds voting and dispositive power over the shares held by Win-Light Global Co., Ltd. The address of Win-Light Global Co., Ltd. is Unit 8, 3/F Qwomar Trading Center, Blackburne Road, Road Town, Tortola, BVI VG1110.</w:t>
      </w:r>
    </w:p>
    <w:p>
      <w:pPr>
        <w:spacing w:after="0" w:line="3" w:lineRule="exact"/>
        <w:rPr>
          <w:rFonts w:ascii="Arial" w:cs="Arial" w:eastAsia="Arial" w:hAnsi="Arial"/>
          <w:sz w:val="15"/>
          <w:szCs w:val="15"/>
          <w:color w:val="auto"/>
        </w:rPr>
      </w:pPr>
    </w:p>
    <w:p>
      <w:pPr>
        <w:ind w:left="880" w:right="599" w:hanging="426"/>
        <w:spacing w:after="0" w:line="264" w:lineRule="auto"/>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(i) 362,732 shares of common stock issuable upon conversion of a $2,800,000 convertible promissory note (at an assumed conversion price of $7.72) and (iii) warrants to purchase 177,014 shares of common stock associated with our 2020 convertible promissory notes. Weng Ming holds voting and dispositive power over the shares held by Jesan Capital Company Limited. The address of Jesan Capital Company Limited is Flt B12/F, Tower 1 Starcrest, 9 Star Street, Wanchai, Hong Kong.</w:t>
      </w:r>
    </w:p>
    <w:p>
      <w:pPr>
        <w:ind w:left="880" w:right="799" w:hanging="426"/>
        <w:spacing w:after="0" w:line="254" w:lineRule="auto"/>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Nicholas Cooper holds voting and dispositive power over the shares held by Hoop Ventures LLC. The address of Hoop Ventures LLC is 15400 SE 44</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Place, Bellevue, WA, 98006.</w:t>
      </w:r>
    </w:p>
    <w:p>
      <w:pPr>
        <w:spacing w:after="0" w:line="1" w:lineRule="exact"/>
        <w:rPr>
          <w:rFonts w:ascii="Arial" w:cs="Arial" w:eastAsia="Arial" w:hAnsi="Arial"/>
          <w:sz w:val="16"/>
          <w:szCs w:val="16"/>
          <w:color w:val="auto"/>
        </w:rPr>
      </w:pPr>
    </w:p>
    <w:p>
      <w:pPr>
        <w:ind w:left="880" w:right="579" w:hanging="426"/>
        <w:spacing w:after="0" w:line="261" w:lineRule="auto"/>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(i) 129,548 shares of common stock issuable upon conversion of a $1,000,000 convertible promissory note (at an assumed conversion price of $7.72) and (iii) warrants to purchase 63,219 shares of common stock associated with our 2020 convertible promissory notes. Monhan Wu holds voting and dispositive power over the shares held by Golden Success HK Limited. The address of Advanced Glory Holding Limited (BVI) is 5F-1, No.135, Sec.2, Xinyi Rd., Zhongzheng Dist., Taipei City 100, Taiwan.</w:t>
      </w:r>
    </w:p>
    <w:p>
      <w:pPr>
        <w:spacing w:after="0" w:line="1" w:lineRule="exact"/>
        <w:rPr>
          <w:rFonts w:ascii="Arial" w:cs="Arial" w:eastAsia="Arial" w:hAnsi="Arial"/>
          <w:sz w:val="16"/>
          <w:szCs w:val="16"/>
          <w:color w:val="auto"/>
        </w:rPr>
      </w:pPr>
    </w:p>
    <w:p>
      <w:pPr>
        <w:ind w:left="880" w:right="519" w:hanging="426"/>
        <w:spacing w:after="0" w:line="317" w:lineRule="auto"/>
        <w:tabs>
          <w:tab w:leader="none" w:pos="874"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(i) 194,321 shares of common stock issuable upon conversion of a $1,500,000 convertible promissory note (at an assumed conversion price of $7.72) and (iii) warrants to purchase 94,829 shares of common stock associated with our 2020 convertible promissory notes. FanYou Lin holds voting and dispositive power over the shares held by Golden Success HK Limited. The address of Golden Success HK Limited is Construction Bank Shenzen Branch Guo Hui Sub-Branch 1/F, A Tower, International Commercial Building, Fu Hua 1ED, Fu Tian District, Shenzen, China.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460" w:right="799" w:firstLine="432"/>
        <w:spacing w:after="0" w:line="342" w:lineRule="auto"/>
        <w:rPr>
          <w:sz w:val="20"/>
          <w:szCs w:val="20"/>
          <w:color w:val="auto"/>
        </w:rPr>
      </w:pPr>
      <w:r>
        <w:rPr>
          <w:rFonts w:ascii="Arial" w:cs="Arial" w:eastAsia="Arial" w:hAnsi="Arial"/>
          <w:sz w:val="16"/>
          <w:szCs w:val="16"/>
          <w:color w:val="auto"/>
        </w:rPr>
        <w:t>Our articles of incorporation authorizes the issuance of up to 50,000,000 shares of common stock, par value $0.001 per share, and 3,000,000 shares of preferred stock, par value $0.001 per share.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As of the date of this prospectus, there were 4,211,677 shares of common stock outstanding, warrants to purchase 828,173 shares of our common stock associated with our 2020 convertible promissory notes and 3,030,359 shares of common stock subject to outstanding options. An additional 3,070,113 shares of common stock will be issued immediately prior to the closing of this offering upon the conversion of outstanding shares of Series A Preferred Stock and outstanding convertible promissory notes based on a conversion price of $7.72.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11"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83"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There are currently 100,000 shares of Series A Preferred Stock outstanding. Such shares will automatically convert into 1,373,038 shares of common stock upon the consummation of this offering based on a conversion price of $7.72.</w:t>
      </w:r>
    </w:p>
    <w:p>
      <w:pPr>
        <w:spacing w:after="0" w:line="116"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Our board of directors is empowered, without stockholder approval, to issue shares of preferred stock with dividend, liquidation, redemption, voting or other rights which could adversely affect the voting power or other rights of the holders of common stock.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have outstanding options to purchase 3,030,359 shares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have outstanding warrants to purchase 828,173 shares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w:t>
      </w:r>
    </w:p>
    <w:p>
      <w:pPr>
        <w:spacing w:after="0" w:line="162"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The transfer agent for our common stock is Broadridge Corporate Issuer Solutions, Inc., 51 Mercedes Way, Edgewood, New York 11717.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We have applied to have our common stock listed on the NASDAQ Capital Market under the symbol “AGFY.” We will not proceed with this offering in the event our common stock is not approved for listing on NASDAQ.</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Holders</w:t>
      </w:r>
    </w:p>
    <w:p>
      <w:pPr>
        <w:spacing w:after="0" w:line="162"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As of the date of this prospectus, there were 4,211,677 shares of common stock outstanding, which were held by approximately 42 record stockholders.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Effects of Our Articles of Incorporation and By-laws</w:t>
      </w:r>
    </w:p>
    <w:p>
      <w:pPr>
        <w:spacing w:after="0" w:line="162"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could render more difficult or discourage an attempt to obtain control of our company by means of a proxy contest, tender offer, merger, or otherwise.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Effects of Nevada Law</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Business Combinations</w:t>
      </w:r>
    </w:p>
    <w:p>
      <w:pPr>
        <w:spacing w:after="0" w:line="144" w:lineRule="exact"/>
        <w:rPr>
          <w:sz w:val="20"/>
          <w:szCs w:val="20"/>
          <w:color w:val="auto"/>
        </w:rPr>
      </w:pPr>
    </w:p>
    <w:p>
      <w:pPr>
        <w:jc w:val="both"/>
        <w:ind w:left="460" w:right="619" w:firstLine="432"/>
        <w:spacing w:after="0" w:line="293" w:lineRule="auto"/>
        <w:rPr>
          <w:sz w:val="20"/>
          <w:szCs w:val="20"/>
          <w:color w:val="auto"/>
        </w:rPr>
      </w:pPr>
      <w:r>
        <w:rPr>
          <w:rFonts w:ascii="Arial" w:cs="Arial" w:eastAsia="Arial" w:hAnsi="Arial"/>
          <w:sz w:val="16"/>
          <w:szCs w:val="16"/>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97"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06" w:lineRule="exact"/>
        <w:rPr>
          <w:sz w:val="20"/>
          <w:szCs w:val="20"/>
          <w:color w:val="auto"/>
        </w:rPr>
      </w:pPr>
    </w:p>
    <w:p>
      <w:pPr>
        <w:ind w:left="460" w:right="619" w:firstLine="432"/>
        <w:spacing w:after="0" w:line="269" w:lineRule="auto"/>
        <w:rPr>
          <w:sz w:val="20"/>
          <w:szCs w:val="20"/>
          <w:color w:val="auto"/>
        </w:rPr>
      </w:pPr>
      <w:r>
        <w:rPr>
          <w:rFonts w:ascii="Arial" w:cs="Arial" w:eastAsia="Arial" w:hAnsi="Arial"/>
          <w:sz w:val="17"/>
          <w:szCs w:val="17"/>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519" w:firstLine="432"/>
        <w:spacing w:after="0" w:line="284" w:lineRule="auto"/>
        <w:rPr>
          <w:sz w:val="20"/>
          <w:szCs w:val="20"/>
          <w:color w:val="auto"/>
        </w:rPr>
      </w:pPr>
      <w:r>
        <w:rPr>
          <w:rFonts w:ascii="Arial" w:cs="Arial" w:eastAsia="Arial" w:hAnsi="Arial"/>
          <w:sz w:val="16"/>
          <w:szCs w:val="16"/>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301"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The business combination provisions do not apply to a person after the expiration of four years after the person first became an interested stockholder.</w:t>
      </w:r>
    </w:p>
    <w:p>
      <w:pPr>
        <w:spacing w:after="0" w:line="89"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Control Share Acquisitions</w:t>
      </w:r>
    </w:p>
    <w:p>
      <w:pPr>
        <w:spacing w:after="0" w:line="131"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82"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91" w:lineRule="exact"/>
        <w:rPr>
          <w:sz w:val="20"/>
          <w:szCs w:val="20"/>
          <w:color w:val="auto"/>
        </w:rPr>
      </w:pPr>
    </w:p>
    <w:p>
      <w:pPr>
        <w:ind w:left="460" w:right="459" w:firstLine="432"/>
        <w:spacing w:after="0" w:line="245" w:lineRule="auto"/>
        <w:rPr>
          <w:sz w:val="20"/>
          <w:szCs w:val="20"/>
          <w:color w:val="auto"/>
        </w:rPr>
      </w:pPr>
      <w:r>
        <w:rPr>
          <w:rFonts w:ascii="Arial" w:cs="Arial" w:eastAsia="Arial" w:hAnsi="Arial"/>
          <w:sz w:val="18"/>
          <w:szCs w:val="18"/>
          <w:color w:val="auto"/>
        </w:rPr>
        <w:t>A corporation may elect to not be governed by, or “opt out” of, the control shares provisions by making an election in its articles of incorporation or bylaws, provided that the opt-out election must be in place on the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following such occurrence.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Prior to this offering, no public market for our common stock existed, and a liquid trading market for our common stock may not develop or be sustained after this offering. Future sales of substantial amounts of our common stock in the public market could adversely affect prevailing market prices of our common stock from time to time and could impair our future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9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Based upon the number of shares outstanding as of January 10, 2021, upon the closing of this offering, we will have outstanding an aggregate of 10,059,568 shares of common stock, assuming no exercise of the underwriters’ over-allotment option and no exercise of outstanding options, after giving effect to the conversion of all outstanding shares of our Series A Preferred Stock and convertible promissory notes into 3,070,113 shares of common stock immediately prior to the closing of this offering based on a conversion price of $7.72. All of the shares sold in this offering by us will be freely tradable without restrictions or further registration under the Securities Act, unless held by our affiliates, as that term is defined under Rule 144 under the Securities Act, or subject to lock-up agreements. The remaining shares of common stock outstanding upon the closing of this offering are restricted securities as defined in Rule 144. Restricted securities may be sold in the U.S. public market only if registered or if they qualify for an exemption from registration, including by reason of Rule 144 or Rule 701 under the Securities Act, which rules are summarized below. These remaining shares will generally become available for sale in the public market as follows:</w:t>
      </w:r>
    </w:p>
    <w:p>
      <w:pPr>
        <w:spacing w:after="0" w:line="100" w:lineRule="exact"/>
        <w:rPr>
          <w:sz w:val="20"/>
          <w:szCs w:val="20"/>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shares will be eligible for sale in the public market on the date of this prospectus; and</w:t>
      </w:r>
    </w:p>
    <w:p>
      <w:pPr>
        <w:spacing w:after="0" w:line="144" w:lineRule="exact"/>
        <w:rPr>
          <w:rFonts w:ascii="Arial" w:cs="Arial" w:eastAsia="Arial" w:hAnsi="Arial"/>
          <w:sz w:val="18"/>
          <w:szCs w:val="18"/>
          <w:color w:val="auto"/>
        </w:rPr>
      </w:pPr>
    </w:p>
    <w:p>
      <w:pPr>
        <w:ind w:left="1320" w:right="459" w:hanging="434"/>
        <w:spacing w:after="0" w:line="286" w:lineRule="auto"/>
        <w:tabs>
          <w:tab w:leader="none" w:pos="1311" w:val="left"/>
        </w:tabs>
        <w:numPr>
          <w:ilvl w:val="0"/>
          <w:numId w:val="57"/>
        </w:numPr>
        <w:rPr>
          <w:rFonts w:ascii="Arial" w:cs="Arial" w:eastAsia="Arial" w:hAnsi="Arial"/>
          <w:sz w:val="17"/>
          <w:szCs w:val="17"/>
          <w:color w:val="auto"/>
        </w:rPr>
      </w:pPr>
      <w:r>
        <w:rPr>
          <w:rFonts w:ascii="Arial" w:cs="Arial" w:eastAsia="Arial" w:hAnsi="Arial"/>
          <w:sz w:val="17"/>
          <w:szCs w:val="17"/>
          <w:color w:val="auto"/>
        </w:rPr>
        <w:t>approximately 6,803,923 shares will be eligible for sale in the public market upon expiration of lock-up agreements 181 days after the date of this prospectus, subject in certain circumstances to the volume, manner of sale and other limitations of Rule 144 and Rule 701.</w:t>
      </w:r>
    </w:p>
    <w:p>
      <w:pPr>
        <w:spacing w:after="0" w:line="98"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As of January 10, 2021, of the 3,030,359 shares of common stock issuable upon exercise of outstanding options, approximately 1,681,651 shares will be vested and eligible for sale 181 days after the date of this prospectus.</w:t>
      </w:r>
    </w:p>
    <w:p>
      <w:pPr>
        <w:spacing w:after="0" w:line="116"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07"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In addition, the shares of common stock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In general,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119"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In general, a person who has beneficially owned restricted shares of our common stock for at least six months would be entitled to sell their securities provided that (1) such person is not deemed to have been one of our affiliates at the time of, or at any time during the 90 days preceding, a sale, (2) we have been subject to the Exchange Act periodic reporting requirements for at least 90 days before the sale and (3) we are current in our Exchange Act reporting at the time of sale.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79" w:lineRule="auto"/>
        <w:rPr>
          <w:sz w:val="20"/>
          <w:szCs w:val="20"/>
          <w:color w:val="auto"/>
        </w:rPr>
      </w:pPr>
      <w:r>
        <w:rPr>
          <w:rFonts w:ascii="Arial" w:cs="Arial" w:eastAsia="Arial" w:hAnsi="Arial"/>
          <w:sz w:val="17"/>
          <w:szCs w:val="17"/>
          <w:color w:val="auto"/>
        </w:rPr>
        <w:t>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04" w:lineRule="exact"/>
        <w:rPr>
          <w:sz w:val="20"/>
          <w:szCs w:val="20"/>
          <w:color w:val="auto"/>
        </w:rPr>
      </w:pPr>
    </w:p>
    <w:p>
      <w:pPr>
        <w:ind w:left="1320" w:right="539" w:hanging="434"/>
        <w:spacing w:after="0" w:line="263" w:lineRule="auto"/>
        <w:tabs>
          <w:tab w:leader="none" w:pos="13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100,596 shares immediately after the closing of this offering based on the number of shares of common stock outstanding as of January 10, 2021.</w:t>
      </w:r>
    </w:p>
    <w:p>
      <w:pPr>
        <w:spacing w:after="0" w:line="116" w:lineRule="exact"/>
        <w:rPr>
          <w:rFonts w:ascii="Arial" w:cs="Arial" w:eastAsia="Arial" w:hAnsi="Arial"/>
          <w:sz w:val="18"/>
          <w:szCs w:val="18"/>
          <w:color w:val="auto"/>
        </w:rPr>
      </w:pPr>
    </w:p>
    <w:p>
      <w:pPr>
        <w:ind w:left="1320" w:right="679" w:hanging="434"/>
        <w:spacing w:after="0" w:line="342" w:lineRule="auto"/>
        <w:tabs>
          <w:tab w:leader="none" w:pos="1311"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average weekly trading volume of our common stock on the NASDAQ Capital Market during the four calendar weeks preceding the filing of a notice on Form 144 with respect to the sale.</w:t>
      </w:r>
    </w:p>
    <w:p>
      <w:pPr>
        <w:spacing w:after="0" w:line="43"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Such sales by affiliates must also comply with the manner of sale, current public information and notice provisions of Rule 144.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701</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As of the date of this prospectus, no shares of our outstanding common stock had been issued in reliance on Rule 701 as a result of exercises of stock options. However, substantially all Rule 701 shares are subject to lock-up agreements as described below and will become eligible for sale upon the expiration of the restrictions set forth in those agreements.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Form S-8 Registration Statements</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Following this offering, we intend to file with the SEC a registration statement on Form S-8 under the Securities Act to register the offer and sale of shares of our common stock that are issuable pursuant to our 2020 Plan. Shares covered by this registration statement on Form S-8 will then be eligible for sale in the public markets, subject to vesting restrictions, any applicable lock-up agreements described below and Rule 144 limitations applicable to affiliates.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Arrangements</w:t>
      </w:r>
    </w:p>
    <w:p>
      <w:pPr>
        <w:spacing w:after="0" w:line="148"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We, all of our directors and executive officers and holders of one percent (1%) or more of our outstanding shares of common stock as of the effective date of the registration statement related to this offering (and all holders of securities exercisable for or convertible into shares of common stock), have agreed with the underwriters that, for a period of 180 days following the date of this prospectus, subject to certain exceptions, we and they will not, directly or indirectly, offer, sell, contract to sell, pledge, grant any option to purchase, make any short sale, or otherwise dispose of or hedge any of our shares of common stock, any options, or any securities convertible into, or exchangeable for or that represent the right to receive shares of our common stock. These agreements are described in the section of this prospectus titled “Underwriting.”</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jc w:val="both"/>
        <w:ind w:left="460" w:right="499" w:firstLine="432"/>
        <w:spacing w:after="0" w:line="259" w:lineRule="auto"/>
        <w:rPr>
          <w:sz w:val="20"/>
          <w:szCs w:val="20"/>
          <w:color w:val="auto"/>
        </w:rPr>
      </w:pPr>
      <w:r>
        <w:rPr>
          <w:rFonts w:ascii="Arial" w:cs="Arial" w:eastAsia="Arial" w:hAnsi="Arial"/>
          <w:sz w:val="18"/>
          <w:szCs w:val="18"/>
          <w:color w:val="auto"/>
        </w:rPr>
        <w:t>Holders of shares of our common stock issued upon conversion of our shares of Series A Preferred Stock simultaneously with the closing of this offering have piggyback registration rights with respect to such shares of common stock on any registration statements we file with the Securities and Exchange Commission, subject to certain limited exceptions.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We are offering our shares of common stock described in this prospectus through the underwriters named below. Maxim Group LLC (or Maxim) is acting as the sole representative of the underwriters. We have entered into an underwriting agreement with the underwriters. Subject to the terms and conditions of the underwriting agreement, each of the underwriters has severally agreed to purchase, and we have agreed to sell to the underwriters, the number of shares of common stock listed next to its name in the following table.</w:t>
      </w:r>
    </w:p>
    <w:p>
      <w:pPr>
        <w:sectPr>
          <w:pgSz w:w="11900" w:h="16838" w:orient="portrait"/>
          <w:cols w:equalWidth="0" w:num="1">
            <w:col w:w="9019"/>
          </w:cols>
          <w:pgMar w:left="1440" w:top="274" w:right="1440" w:bottom="1440" w:gutter="0" w:footer="0" w:header="0"/>
        </w:sectPr>
      </w:pPr>
    </w:p>
    <w:p>
      <w:pPr>
        <w:spacing w:after="0" w:line="33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Underwriters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41275</wp:posOffset>
            </wp:positionV>
            <wp:extent cx="514350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91" w:lineRule="exact"/>
        <w:rPr>
          <w:sz w:val="20"/>
          <w:szCs w:val="20"/>
          <w:color w:val="auto"/>
        </w:rPr>
      </w:pPr>
    </w:p>
    <w:p>
      <w:pPr>
        <w:sectPr>
          <w:pgSz w:w="11900" w:h="16838" w:orient="portrait"/>
          <w:cols w:equalWidth="0" w:num="2">
            <w:col w:w="6820" w:space="720"/>
            <w:col w:w="147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Maxim Group LLC</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Roth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underwriting agreement provides that the underwriters must buy all of the shares of common stock if they buy any of them. However, the underwriters are not required to take or pay for the shares covered by the underwriters’ option to purchase additional shares as described below.</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shares of common stock are offered subject to a number of conditions, including:</w:t>
      </w:r>
    </w:p>
    <w:p>
      <w:pPr>
        <w:spacing w:after="0" w:line="144" w:lineRule="exact"/>
        <w:rPr>
          <w:sz w:val="20"/>
          <w:szCs w:val="20"/>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receipt and acceptance of our shares of common stock by the underwriters;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underwriters’ right to reject orders in whole or in part.</w:t>
      </w:r>
    </w:p>
    <w:p>
      <w:pPr>
        <w:spacing w:after="0" w:line="158" w:lineRule="exact"/>
        <w:rPr>
          <w:sz w:val="20"/>
          <w:szCs w:val="20"/>
          <w:color w:val="auto"/>
        </w:rPr>
      </w:pPr>
    </w:p>
    <w:p>
      <w:pPr>
        <w:jc w:val="both"/>
        <w:ind w:left="460" w:right="599" w:firstLine="432"/>
        <w:spacing w:after="0" w:line="342" w:lineRule="auto"/>
        <w:rPr>
          <w:sz w:val="20"/>
          <w:szCs w:val="20"/>
          <w:color w:val="auto"/>
        </w:rPr>
      </w:pPr>
      <w:r>
        <w:rPr>
          <w:rFonts w:ascii="Arial" w:cs="Arial" w:eastAsia="Arial" w:hAnsi="Arial"/>
          <w:sz w:val="16"/>
          <w:szCs w:val="16"/>
          <w:color w:val="auto"/>
        </w:rPr>
        <w:t>We have been advised by Maxim that the underwriters intend to make a market in our shares of common stock but that they are not obligated to do so and may discontinue making a market at any time without notice.</w:t>
      </w:r>
    </w:p>
    <w:p>
      <w:pPr>
        <w:spacing w:after="0" w:line="43"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color w:val="auto"/>
        </w:rPr>
        <w:t>In connection with this offering, certain of the underwriters or securities dealers may distribute prospectuses electronically.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6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have granted the underwriters an option to buy up to an aggregate of 416,667 additional shares of common stock. The underwriters have 45 days from the date of this prospectus to exercise this option. If the underwriters exercise this option, they will each purchase additional shares of common stock approximately in proportion to the amounts specified in the table above.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Discount</w:t>
      </w:r>
    </w:p>
    <w:p>
      <w:pPr>
        <w:spacing w:after="0" w:line="162" w:lineRule="exact"/>
        <w:rPr>
          <w:sz w:val="20"/>
          <w:szCs w:val="20"/>
          <w:color w:val="auto"/>
        </w:rPr>
      </w:pPr>
    </w:p>
    <w:p>
      <w:pPr>
        <w:ind w:left="460" w:right="639" w:firstLine="432"/>
        <w:spacing w:after="0" w:line="291" w:lineRule="auto"/>
        <w:rPr>
          <w:sz w:val="20"/>
          <w:szCs w:val="20"/>
          <w:color w:val="auto"/>
        </w:rPr>
      </w:pPr>
      <w:r>
        <w:rPr>
          <w:rFonts w:ascii="Arial" w:cs="Arial" w:eastAsia="Arial" w:hAnsi="Arial"/>
          <w:sz w:val="16"/>
          <w:szCs w:val="16"/>
          <w:color w:val="auto"/>
        </w:rPr>
        <w:t>Shares sold by the underwriters to the public will initially be offered at the initial offering price set forth on the cover of this prospectus. Any shares sold by the underwriters to securities dealers may be sold at a</w:t>
      </w:r>
    </w:p>
    <w:p>
      <w:pPr>
        <w:ind w:left="460" w:right="519"/>
        <w:spacing w:after="0" w:line="253" w:lineRule="auto"/>
        <w:rPr>
          <w:sz w:val="20"/>
          <w:szCs w:val="20"/>
          <w:color w:val="auto"/>
        </w:rPr>
      </w:pPr>
      <w:r>
        <w:rPr>
          <w:rFonts w:ascii="Arial" w:cs="Arial" w:eastAsia="Arial" w:hAnsi="Arial"/>
          <w:sz w:val="18"/>
          <w:szCs w:val="18"/>
          <w:color w:val="auto"/>
        </w:rPr>
        <w:t>discount of up to $ per share from the initial public offering price. The underwriters may offer the shares through one or more of their affiliates or selling agents. If all the shares are not sold at the initial public offering price, Maxim may change the offering price and the other selling terms. Upon execution of the underwriting agreement, the underwriters will be obligated to purchase the shares at the prices and upon the terms stated therein.</w:t>
      </w:r>
    </w:p>
    <w:p>
      <w:pPr>
        <w:spacing w:after="0" w:line="110"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The underwriting discount is equal to the public offering price per share, less the amount paid by the underwriters to us per share. The underwriting discount was determined through an arms’ length negotiation between us and the underwriters. We have agreed to sell the shares of common stock to the underwriters at the offering price of $8.28 per share, which represents the public offering price of our shares set forth on the cover page of this prospectus less a 8.0% underwriting discount. With respect to certain investors, we have agreed to sell the shares of common stock to the underwriters at the offering price of $8.685 per share, which represents the public offering price of our shares set forth on the cover page of this prospectus less a 3.5% underwriting discount.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3" w:name="page114"/>
    <w:bookmarkEnd w:id="11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The following table shows the per share and total underwriting discount we will pay to the underwriters assuming both no exercise and full exercise of the underwriters’ option to purchase up to 416,667 additional shares.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w:t>
            </w:r>
          </w:p>
        </w:tc>
        <w:tc>
          <w:tcPr>
            <w:tcW w:w="1160" w:type="dxa"/>
            <w:vAlign w:val="bottom"/>
          </w:tcPr>
          <w:p>
            <w:pPr>
              <w:jc w:val="right"/>
              <w:ind w:right="375"/>
              <w:spacing w:after="0"/>
              <w:rPr>
                <w:sz w:val="20"/>
                <w:szCs w:val="20"/>
                <w:color w:val="auto"/>
              </w:rPr>
            </w:pPr>
            <w:r>
              <w:rPr>
                <w:rFonts w:ascii="Arial" w:cs="Arial" w:eastAsia="Arial" w:hAnsi="Arial"/>
                <w:sz w:val="16"/>
                <w:szCs w:val="16"/>
                <w:b w:val="1"/>
                <w:bCs w:val="1"/>
                <w:color w:val="auto"/>
              </w:rPr>
              <w:t>Full</w:t>
            </w:r>
          </w:p>
        </w:tc>
      </w:tr>
      <w:tr>
        <w:trPr>
          <w:trHeight w:val="210"/>
        </w:trPr>
        <w:tc>
          <w:tcPr>
            <w:tcW w:w="582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Exercise</w:t>
            </w:r>
          </w:p>
        </w:tc>
        <w:tc>
          <w:tcPr>
            <w:tcW w:w="1160" w:type="dxa"/>
            <w:vAlign w:val="bottom"/>
          </w:tcPr>
          <w:p>
            <w:pPr>
              <w:jc w:val="right"/>
              <w:ind w:right="195"/>
              <w:spacing w:after="0"/>
              <w:rPr>
                <w:sz w:val="20"/>
                <w:szCs w:val="20"/>
                <w:color w:val="auto"/>
              </w:rPr>
            </w:pPr>
            <w:r>
              <w:rPr>
                <w:rFonts w:ascii="Arial" w:cs="Arial" w:eastAsia="Arial" w:hAnsi="Arial"/>
                <w:sz w:val="16"/>
                <w:szCs w:val="16"/>
                <w:b w:val="1"/>
                <w:bCs w:val="1"/>
                <w:color w:val="auto"/>
              </w:rPr>
              <w:t>Exercise</w:t>
            </w:r>
          </w:p>
        </w:tc>
      </w:tr>
      <w:tr>
        <w:trPr>
          <w:trHeight w:val="46"/>
        </w:trPr>
        <w:tc>
          <w:tcPr>
            <w:tcW w:w="58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63"/>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04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ind w:right="975"/>
              <w:spacing w:after="0"/>
              <w:rPr>
                <w:sz w:val="20"/>
                <w:szCs w:val="20"/>
                <w:color w:val="auto"/>
              </w:rPr>
            </w:pPr>
            <w:r>
              <w:rPr>
                <w:rFonts w:ascii="Arial" w:cs="Arial" w:eastAsia="Arial" w:hAnsi="Arial"/>
                <w:sz w:val="18"/>
                <w:szCs w:val="18"/>
                <w:color w:val="auto"/>
                <w:w w:val="79"/>
              </w:rPr>
              <w:t>$</w:t>
            </w:r>
          </w:p>
        </w:tc>
      </w:tr>
      <w:tr>
        <w:trPr>
          <w:trHeight w:val="20"/>
        </w:trPr>
        <w:tc>
          <w:tcPr>
            <w:tcW w:w="5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We have agreed to pay Maxim’s out-of-pocket accountable expenses, including Maxim’s legal fees, up to a maximum amount of $175,000, irrespective of whether the offering is consummated. We have paid $50,000 to Maxim as an advance to be applied towards reasonable out-of-pocket expenses (which we refer to as the Advance). Any portion of the Advance shall be returned back to us to the extent not actually incurred.</w:t>
      </w:r>
    </w:p>
    <w:p>
      <w:pPr>
        <w:spacing w:after="0" w:line="90"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estimate that the total expenses of the offering payable by us, not including the underwriting discount, will be approximately $1.25 million. We have also agreed to reimburse the underwriters for certain expenses incurred by them.</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Representative’s Warrants</w:t>
      </w:r>
    </w:p>
    <w:p>
      <w:pPr>
        <w:spacing w:after="0" w:line="148"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color w:val="auto"/>
        </w:rPr>
        <w:t>We have also agreed to issue to Maxim (or its permitted assignees) the warrants to purchase a number of our shares of common stock equal to an aggregate of 5% of the total number of shares of common stock sold in this offering (or Representative’s Warrants). The Representative’s Warrants will have an exercise price equal to 110% of the offering price of the shares of common stock sold in this offering and may be exercised on a cashless basis. The Representative’s Warrants are exercisable commencing six (6) months after the effective date of the registration statement related to this offering, and will expire five years after the commencement of sales of this offering. The Representative’s Warrants are not redeemable by us. We have agreed to a one time demand registration of the shares of common stock underlying the Representative’s Warrants for a period of five years from the commencement of sales of this offering. The Representative’s Warrants also provide for unlimited “piggyback” registration rights at our expense with respect to the underlying shares of common stock during the five year period from the commencement of sales of this offering. The Representative’s Warrants and the shares of common stock underlying the Representative’s Warrants, have been deemed compensation by FINRA and are therefore subject to a 180-day lock-up pursuant to Rule 5110(e)(1) of FINRA. The underwriters (or permitted assignees under the Rule) may not sell, transfer, assign, pledge or hypothecate the Representative’s Warrants or the securities underlying the Representative’s Warrants, nor will they engage in any hedging, short sale, derivative, put or call transaction that would result in the effective economic disposition of the Representative’s Warrants or the underlying securities for a period of 180 days from the commencement of sales of this offering, except to any FINRA member participating in the offering, their officers or partners, associated persons or affiliates. The Representative’s Warrants will provide for adjustment in the number and price of such Representative’s Warrants (and the shares of common stock underlying such Representative’s Warrants) to prevent dilution in the event of a forward or reverse stock split, stock dividend or similar recapitalization.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 of First Refusal</w:t>
      </w:r>
    </w:p>
    <w:p>
      <w:pPr>
        <w:spacing w:after="0" w:line="162"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We have agreed to grant Maxim, for the twelve (12) month period following the commencement of sales of this offering, a right of first refusal to act as lead managing underwriter and book runner for any and all future public or private equity, equity-linked offerings during such twelve (12) month period by us, or any successor to or any subsidiary of our company subject to such procedures as agreed upon in the underwriting agreement.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We and our directors, officers and holders of one percent (1%) or more of our outstanding shares of common stock as of the effective date of the registration statement related to this offering (and all holders of securities exercisable for or convertible into shares of common stock) shall enter into customary “lock-up” agreements in favor of Maxim pursuant to which such persons and entities shall agree, for a period of 180 days after the effective date of the registration statement related to this offering, that they shall neither offer, issue, sell, contract to sell, encumber, grant any option for the sale of or otherwise dispose of any of our securities without Maxim’s prior written consent, including the issuance of shares of common stock upon the exercise of currently outstanding convertible securities.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4" w:name="page115"/>
    <w:bookmarkEnd w:id="11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jc w:val="both"/>
        <w:ind w:left="460" w:right="1139" w:firstLine="432"/>
        <w:spacing w:after="0" w:line="311" w:lineRule="auto"/>
        <w:rPr>
          <w:sz w:val="20"/>
          <w:szCs w:val="20"/>
          <w:color w:val="auto"/>
        </w:rPr>
      </w:pPr>
      <w:r>
        <w:rPr>
          <w:rFonts w:ascii="Arial" w:cs="Arial" w:eastAsia="Arial" w:hAnsi="Arial"/>
          <w:sz w:val="16"/>
          <w:szCs w:val="16"/>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 Public Market</w:t>
      </w:r>
    </w:p>
    <w:p>
      <w:pPr>
        <w:spacing w:after="0" w:line="16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Prior to this offering, there has not been a public market for our securities in the U.S. and the public offering price for our securities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80" w:lineRule="exact"/>
        <w:rPr>
          <w:sz w:val="20"/>
          <w:szCs w:val="20"/>
          <w:color w:val="auto"/>
        </w:rPr>
      </w:pPr>
    </w:p>
    <w:p>
      <w:pPr>
        <w:jc w:val="both"/>
        <w:ind w:left="460" w:right="879" w:firstLine="432"/>
        <w:spacing w:after="0" w:line="263"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our securities will trade in the public market subsequent to this offering or that an active trading market for our securities will develop and continue after this offering.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Exchange</w:t>
      </w:r>
    </w:p>
    <w:p>
      <w:pPr>
        <w:spacing w:after="0" w:line="162"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We have applied to have our shares of common stock approved for listing on the NASDAQ Capital Market under the symbol “AGFY.” We will not proceed with this offering in the event our common stock is not approved for listing on NASDAQ.</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62"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In connection with this offering, the underwriters may engage in activities that stabilize, maintain or otherwise affect the price of our shares of common stock during and after this offering, including:</w:t>
      </w:r>
    </w:p>
    <w:p>
      <w:pPr>
        <w:spacing w:after="0" w:line="43" w:lineRule="exact"/>
        <w:rPr>
          <w:sz w:val="20"/>
          <w:szCs w:val="20"/>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imposition of penalty bids;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syndicate covering transactions.</w:t>
      </w:r>
    </w:p>
    <w:p>
      <w:pPr>
        <w:spacing w:after="0" w:line="158"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Stabilizing transactions consist of bids or purchases made for the purpose of preventing or retarding a decline in the market price of our shares of common stock while this offering is in progress. Stabilization transactions permit bids to purchase the underlying security so long as the stabilizing bids do not exceed a specified maximum. These transactions may also include making short sales of our shares of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00" w:lineRule="exact"/>
        <w:rPr>
          <w:sz w:val="20"/>
          <w:szCs w:val="20"/>
          <w:color w:val="auto"/>
        </w:rPr>
      </w:pPr>
    </w:p>
    <w:p>
      <w:pPr>
        <w:ind w:left="460" w:right="459" w:firstLine="432"/>
        <w:spacing w:after="0" w:line="279" w:lineRule="auto"/>
        <w:rPr>
          <w:sz w:val="20"/>
          <w:szCs w:val="20"/>
          <w:color w:val="auto"/>
        </w:rPr>
      </w:pPr>
      <w:r>
        <w:rPr>
          <w:rFonts w:ascii="Arial" w:cs="Arial" w:eastAsia="Arial" w:hAnsi="Arial"/>
          <w:sz w:val="17"/>
          <w:szCs w:val="17"/>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shares of common stock in the open market that could adversely affect investors who purchased in this offering.</w:t>
      </w:r>
    </w:p>
    <w:p>
      <w:pPr>
        <w:spacing w:after="0" w:line="90" w:lineRule="exact"/>
        <w:rPr>
          <w:sz w:val="20"/>
          <w:szCs w:val="20"/>
          <w:color w:val="auto"/>
        </w:rPr>
      </w:pPr>
    </w:p>
    <w:p>
      <w:pPr>
        <w:jc w:val="both"/>
        <w:ind w:left="460" w:right="599" w:firstLine="432"/>
        <w:spacing w:after="0" w:line="286" w:lineRule="auto"/>
        <w:rPr>
          <w:sz w:val="20"/>
          <w:szCs w:val="20"/>
          <w:color w:val="auto"/>
        </w:rPr>
      </w:pPr>
      <w:r>
        <w:rPr>
          <w:rFonts w:ascii="Arial" w:cs="Arial" w:eastAsia="Arial" w:hAnsi="Arial"/>
          <w:sz w:val="17"/>
          <w:szCs w:val="17"/>
          <w:color w:val="auto"/>
        </w:rPr>
        <w:t>The underwriters also may impose a penalty bid. This occurs when a particular underwriter repays to the underwriters a portion of the underwriting discount received by it because Maxim has repurchased shares sold by or for the account of that underwriter in stabilizing or short covering transactions.</w:t>
      </w:r>
    </w:p>
    <w:p>
      <w:pPr>
        <w:spacing w:after="0" w:line="9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the NASDAQ Capital Market,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4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Prior to this offering, there was no public market for our shares of common stock. The initial public offering price will be determined by negotiation among us and Maxim. The principal factors to be considered in determining the initial public offering price include:</w:t>
      </w:r>
    </w:p>
    <w:p>
      <w:pPr>
        <w:spacing w:after="0" w:line="116" w:lineRule="exact"/>
        <w:rPr>
          <w:sz w:val="20"/>
          <w:szCs w:val="20"/>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Maxim;</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history and prospects and the history and prospects for the industry in which we compete;</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past and present financial performance;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prospects for future earnings and the present state of our development;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general condition of the securities market at the time of this offering;</w:t>
      </w:r>
    </w:p>
    <w:p>
      <w:pPr>
        <w:spacing w:after="0" w:line="144" w:lineRule="exact"/>
        <w:rPr>
          <w:rFonts w:ascii="Arial" w:cs="Arial" w:eastAsia="Arial" w:hAnsi="Arial"/>
          <w:sz w:val="18"/>
          <w:szCs w:val="18"/>
          <w:color w:val="auto"/>
        </w:rPr>
      </w:pPr>
    </w:p>
    <w:p>
      <w:pPr>
        <w:ind w:left="1320" w:right="1119" w:hanging="434"/>
        <w:spacing w:after="0" w:line="277" w:lineRule="auto"/>
        <w:tabs>
          <w:tab w:leader="none" w:pos="13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shares of generally comparable companies;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shares of common stock or that the shares of common stock will trade in the public market at or above the initial public offering price.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Affiliations</w:t>
      </w:r>
    </w:p>
    <w:p>
      <w:pPr>
        <w:spacing w:after="0" w:line="14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respective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48"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162"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b w:val="1"/>
          <w:bCs w:val="1"/>
          <w:i w:val="1"/>
          <w:iCs w:val="1"/>
          <w:color w:val="auto"/>
        </w:rPr>
        <w:t>Canada</w:t>
      </w:r>
      <w:r>
        <w:rPr>
          <w:rFonts w:ascii="Arial" w:cs="Arial" w:eastAsia="Arial" w:hAnsi="Arial"/>
          <w:sz w:val="17"/>
          <w:szCs w:val="17"/>
          <w:color w:val="auto"/>
        </w:rPr>
        <w:t>. The securities may be sold in Canada only to purchasers purchasing, or deemed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purchasing, as principal that are accredited investors, as defined in National Instrument 45-106 </w:t>
      </w:r>
      <w:r>
        <w:rPr>
          <w:rFonts w:ascii="Arial" w:cs="Arial" w:eastAsia="Arial" w:hAnsi="Arial"/>
          <w:sz w:val="17"/>
          <w:szCs w:val="17"/>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Exemptions </w:t>
      </w:r>
      <w:r>
        <w:rPr>
          <w:rFonts w:ascii="Arial" w:cs="Arial" w:eastAsia="Arial" w:hAnsi="Arial"/>
          <w:sz w:val="17"/>
          <w:szCs w:val="17"/>
          <w:color w:val="auto"/>
        </w:rPr>
        <w:t>or subsection 73.3(1) of the Securities Act (Ontario), and are permitted clients, as defined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National Instrument 31 103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securities must be made in accordance with an exemption from, or in a transaction not subject to, the prospectus requirements of applicable securities laws.</w:t>
      </w:r>
    </w:p>
    <w:p>
      <w:pPr>
        <w:spacing w:after="0" w:line="110"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7"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 xml:space="preserve">Pursuant to section 3A.3 of National Instrument 33 105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33 105), the underwriters are not required to comply with the disclosure requirements of NI 33-105 regarding underwriters conflicts of interest in connection with this offering.</w:t>
      </w:r>
    </w:p>
    <w:p>
      <w:pPr>
        <w:spacing w:after="0" w:line="116"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b w:val="1"/>
          <w:bCs w:val="1"/>
          <w:i w:val="1"/>
          <w:iCs w:val="1"/>
          <w:color w:val="auto"/>
        </w:rPr>
        <w:t xml:space="preserve">European Economic Area. </w:t>
      </w:r>
      <w:r>
        <w:rPr>
          <w:rFonts w:ascii="Arial" w:cs="Arial" w:eastAsia="Arial" w:hAnsi="Arial"/>
          <w:sz w:val="17"/>
          <w:szCs w:val="17"/>
          <w:color w:val="auto"/>
        </w:rPr>
        <w:t>In relation to each Member State of the European Economic Area which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implemented the Prospectus Directive (each, a “Relevant Member State”) an offer to the public of any securities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109" w:lineRule="exact"/>
        <w:rPr>
          <w:sz w:val="20"/>
          <w:szCs w:val="20"/>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44" w:lineRule="exact"/>
        <w:rPr>
          <w:rFonts w:ascii="Arial" w:cs="Arial" w:eastAsia="Arial" w:hAnsi="Arial"/>
          <w:sz w:val="18"/>
          <w:szCs w:val="18"/>
          <w:color w:val="auto"/>
        </w:rPr>
      </w:pPr>
    </w:p>
    <w:p>
      <w:pPr>
        <w:ind w:left="1320" w:right="699" w:hanging="434"/>
        <w:spacing w:after="0" w:line="279" w:lineRule="auto"/>
        <w:tabs>
          <w:tab w:leader="none" w:pos="1311" w:val="left"/>
        </w:tabs>
        <w:numPr>
          <w:ilvl w:val="0"/>
          <w:numId w:val="62"/>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03" w:lineRule="exact"/>
        <w:rPr>
          <w:rFonts w:ascii="Arial" w:cs="Arial" w:eastAsia="Arial" w:hAnsi="Arial"/>
          <w:sz w:val="17"/>
          <w:szCs w:val="17"/>
          <w:color w:val="auto"/>
        </w:rPr>
      </w:pPr>
    </w:p>
    <w:p>
      <w:pPr>
        <w:jc w:val="both"/>
        <w:ind w:left="1320" w:right="559" w:hanging="434"/>
        <w:spacing w:after="0" w:line="263" w:lineRule="auto"/>
        <w:tabs>
          <w:tab w:leader="none" w:pos="13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result in a requirement for the publication by us or any underwriters of a prospectus pursuant to Article 3 of the Prospectus Directive.</w:t>
      </w:r>
    </w:p>
    <w:p>
      <w:pPr>
        <w:spacing w:after="0" w:line="116" w:lineRule="exact"/>
        <w:rPr>
          <w:sz w:val="20"/>
          <w:szCs w:val="20"/>
          <w:color w:val="auto"/>
        </w:rPr>
      </w:pPr>
    </w:p>
    <w:p>
      <w:pPr>
        <w:ind w:left="460" w:right="599" w:firstLine="432"/>
        <w:spacing w:after="0" w:line="290"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i w:val="1"/>
          <w:iCs w:val="1"/>
          <w:color w:val="auto"/>
        </w:rPr>
        <w:t>United Kingdom.</w:t>
      </w:r>
      <w:r>
        <w:rPr>
          <w:sz w:val="20"/>
          <w:szCs w:val="20"/>
          <w:color w:val="auto"/>
        </w:rPr>
        <w:tab/>
      </w:r>
      <w:r>
        <w:rPr>
          <w:rFonts w:ascii="Arial" w:cs="Arial" w:eastAsia="Arial" w:hAnsi="Arial"/>
          <w:sz w:val="15"/>
          <w:szCs w:val="15"/>
          <w:color w:val="auto"/>
        </w:rPr>
        <w:t>Each underwriter has represented and agreed that:</w:t>
      </w:r>
    </w:p>
    <w:p>
      <w:pPr>
        <w:spacing w:after="0" w:line="158" w:lineRule="exact"/>
        <w:rPr>
          <w:sz w:val="20"/>
          <w:szCs w:val="20"/>
          <w:color w:val="auto"/>
        </w:rPr>
      </w:pPr>
    </w:p>
    <w:p>
      <w:pPr>
        <w:ind w:left="1320" w:right="519" w:hanging="434"/>
        <w:spacing w:after="0" w:line="257" w:lineRule="auto"/>
        <w:tabs>
          <w:tab w:leader="none" w:pos="13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18"/>
          <w:szCs w:val="18"/>
          <w:i w:val="1"/>
          <w:iCs w:val="1"/>
          <w:color w:val="auto"/>
        </w:rPr>
        <w:t>FSMA</w:t>
      </w:r>
      <w:r>
        <w:rPr>
          <w:rFonts w:ascii="Arial" w:cs="Arial" w:eastAsia="Arial" w:hAnsi="Arial"/>
          <w:sz w:val="18"/>
          <w:szCs w:val="18"/>
          <w:color w:val="auto"/>
        </w:rPr>
        <w:t>) received by it in connection with the issue or sale of the securities in circumstances in which Section 21(1) of the FSMA does not apply to us; and</w:t>
      </w:r>
    </w:p>
    <w:p>
      <w:pPr>
        <w:spacing w:after="0" w:line="120" w:lineRule="exact"/>
        <w:rPr>
          <w:rFonts w:ascii="Arial" w:cs="Arial" w:eastAsia="Arial" w:hAnsi="Arial"/>
          <w:sz w:val="18"/>
          <w:szCs w:val="18"/>
          <w:color w:val="auto"/>
        </w:rPr>
      </w:pPr>
    </w:p>
    <w:p>
      <w:pPr>
        <w:ind w:left="1320" w:right="479" w:hanging="434"/>
        <w:spacing w:after="0" w:line="342" w:lineRule="auto"/>
        <w:tabs>
          <w:tab w:leader="none" w:pos="1311" w:val="left"/>
        </w:tabs>
        <w:numPr>
          <w:ilvl w:val="0"/>
          <w:numId w:val="63"/>
        </w:numPr>
        <w:rPr>
          <w:rFonts w:ascii="Arial" w:cs="Arial" w:eastAsia="Arial" w:hAnsi="Arial"/>
          <w:sz w:val="16"/>
          <w:szCs w:val="16"/>
          <w:color w:val="auto"/>
        </w:rPr>
      </w:pPr>
      <w:r>
        <w:rPr>
          <w:rFonts w:ascii="Arial" w:cs="Arial" w:eastAsia="Arial" w:hAnsi="Arial"/>
          <w:sz w:val="16"/>
          <w:szCs w:val="16"/>
          <w:color w:val="auto"/>
        </w:rPr>
        <w:t>it has complied and will comply with all applicable provisions of the FSMA with respect to anything done by it in relation to the securities in, from or otherwise involving the United Kingdom.</w:t>
      </w:r>
    </w:p>
    <w:p>
      <w:pPr>
        <w:spacing w:after="0" w:line="4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b w:val="1"/>
          <w:bCs w:val="1"/>
          <w:i w:val="1"/>
          <w:iCs w:val="1"/>
          <w:color w:val="auto"/>
        </w:rPr>
        <w:t xml:space="preserve">Switzerland. </w:t>
      </w:r>
      <w:r>
        <w:rPr>
          <w:rFonts w:ascii="Arial" w:cs="Arial" w:eastAsia="Arial" w:hAnsi="Arial"/>
          <w:sz w:val="16"/>
          <w:szCs w:val="16"/>
          <w:color w:val="auto"/>
        </w:rPr>
        <w:t>The securities may not be publicly offered in Switzerland and will not be listed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SIX Swiss Exchange (the </w:t>
      </w:r>
      <w:r>
        <w:rPr>
          <w:rFonts w:ascii="Arial" w:cs="Arial" w:eastAsia="Arial" w:hAnsi="Arial"/>
          <w:sz w:val="16"/>
          <w:szCs w:val="16"/>
          <w:i w:val="1"/>
          <w:iCs w:val="1"/>
          <w:color w:val="auto"/>
        </w:rPr>
        <w:t>SIX</w:t>
      </w:r>
      <w:r>
        <w:rPr>
          <w:rFonts w:ascii="Arial" w:cs="Arial" w:eastAsia="Arial" w:hAnsi="Arial"/>
          <w:sz w:val="16"/>
          <w:szCs w:val="16"/>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9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Arial" w:cs="Arial" w:eastAsia="Arial" w:hAnsi="Arial"/>
          <w:sz w:val="17"/>
          <w:szCs w:val="17"/>
          <w:i w:val="1"/>
          <w:iCs w:val="1"/>
          <w:color w:val="auto"/>
        </w:rPr>
        <w:t>CISA</w:t>
      </w:r>
      <w:r>
        <w:rPr>
          <w:rFonts w:ascii="Arial" w:cs="Arial" w:eastAsia="Arial" w:hAnsi="Arial"/>
          <w:sz w:val="17"/>
          <w:szCs w:val="17"/>
          <w:color w:val="auto"/>
        </w:rPr>
        <w:t>).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spacing w:after="0" w:line="113"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b w:val="1"/>
          <w:bCs w:val="1"/>
          <w:i w:val="1"/>
          <w:iCs w:val="1"/>
          <w:color w:val="auto"/>
        </w:rPr>
        <w:t xml:space="preserve">Australia. </w:t>
      </w:r>
      <w:r>
        <w:rPr>
          <w:rFonts w:ascii="Arial" w:cs="Arial" w:eastAsia="Arial" w:hAnsi="Arial"/>
          <w:sz w:val="18"/>
          <w:szCs w:val="18"/>
          <w:color w:val="auto"/>
        </w:rPr>
        <w:t>No placement document, prospectus, product disclosure statement or other disclosure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has been lodged with the Australian Securities and Investments Commission (</w:t>
      </w:r>
      <w:r>
        <w:rPr>
          <w:rFonts w:ascii="Arial" w:cs="Arial" w:eastAsia="Arial" w:hAnsi="Arial"/>
          <w:sz w:val="18"/>
          <w:szCs w:val="18"/>
          <w:i w:val="1"/>
          <w:iCs w:val="1"/>
          <w:color w:val="auto"/>
        </w:rPr>
        <w:t>ASIC</w:t>
      </w:r>
      <w:r>
        <w:rPr>
          <w:rFonts w:ascii="Arial" w:cs="Arial" w:eastAsia="Arial" w:hAnsi="Arial"/>
          <w:sz w:val="18"/>
          <w:szCs w:val="18"/>
          <w:color w:val="auto"/>
        </w:rPr>
        <w:t>), in relation to the offering.</w:t>
      </w:r>
    </w:p>
    <w:p>
      <w:pPr>
        <w:spacing w:after="0" w:line="103" w:lineRule="exact"/>
        <w:rPr>
          <w:sz w:val="20"/>
          <w:szCs w:val="20"/>
          <w:color w:val="auto"/>
        </w:rPr>
      </w:pPr>
    </w:p>
    <w:p>
      <w:pPr>
        <w:ind w:left="460" w:right="879" w:firstLine="432"/>
        <w:spacing w:after="0" w:line="259" w:lineRule="auto"/>
        <w:rPr>
          <w:sz w:val="20"/>
          <w:szCs w:val="20"/>
          <w:color w:val="auto"/>
        </w:rPr>
      </w:pPr>
      <w:r>
        <w:rPr>
          <w:rFonts w:ascii="Arial" w:cs="Arial" w:eastAsia="Arial" w:hAnsi="Arial"/>
          <w:sz w:val="18"/>
          <w:szCs w:val="18"/>
          <w:color w:val="auto"/>
        </w:rPr>
        <w:t xml:space="preserve">This prospectus does not constitute a prospectus, product disclosure statement or other disclosure document under the Corporations Act 2001 (the </w:t>
      </w:r>
      <w:r>
        <w:rPr>
          <w:rFonts w:ascii="Arial" w:cs="Arial" w:eastAsia="Arial" w:hAnsi="Arial"/>
          <w:sz w:val="18"/>
          <w:szCs w:val="18"/>
          <w:i w:val="1"/>
          <w:iCs w:val="1"/>
          <w:color w:val="auto"/>
        </w:rPr>
        <w:t>Corporations Act</w:t>
      </w:r>
      <w:r>
        <w:rPr>
          <w:rFonts w:ascii="Arial" w:cs="Arial" w:eastAsia="Arial" w:hAnsi="Arial"/>
          <w:sz w:val="18"/>
          <w:szCs w:val="18"/>
          <w:color w:val="auto"/>
        </w:rPr>
        <w:t>) and does not purport to include the information required for a prospectus, product disclosure statement or other disclosure document under the Corporations Act.</w:t>
      </w:r>
    </w:p>
    <w:p>
      <w:pPr>
        <w:spacing w:after="0" w:line="11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 xml:space="preserve">Any offer in Australia of the securities may only be made to persons (the </w:t>
      </w:r>
      <w:r>
        <w:rPr>
          <w:rFonts w:ascii="Arial" w:cs="Arial" w:eastAsia="Arial" w:hAnsi="Arial"/>
          <w:sz w:val="18"/>
          <w:szCs w:val="18"/>
          <w:i w:val="1"/>
          <w:iCs w:val="1"/>
          <w:color w:val="auto"/>
        </w:rPr>
        <w:t>Exempt Investors</w:t>
      </w:r>
      <w:r>
        <w:rPr>
          <w:rFonts w:ascii="Arial" w:cs="Arial" w:eastAsia="Arial" w:hAnsi="Arial"/>
          <w:sz w:val="18"/>
          <w:szCs w:val="18"/>
          <w:color w:val="auto"/>
        </w:rPr>
        <w:t>)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20"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11"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The validity of the shares of our common stock offered hereby has been passed upon for us by Loeb &amp; Loeb LLP, New York, NY. Ellenoff Grossman &amp; Schole LLP, New York, NY, is acting as counsel to the underwriters.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460" w:right="699" w:firstLine="432"/>
        <w:spacing w:after="0" w:line="275" w:lineRule="auto"/>
        <w:rPr>
          <w:sz w:val="20"/>
          <w:szCs w:val="20"/>
          <w:color w:val="auto"/>
        </w:rPr>
      </w:pPr>
      <w:r>
        <w:rPr>
          <w:rFonts w:ascii="Arial" w:cs="Arial" w:eastAsia="Arial" w:hAnsi="Arial"/>
          <w:sz w:val="17"/>
          <w:szCs w:val="17"/>
          <w:color w:val="auto"/>
        </w:rPr>
        <w:t>Marcum LLP, independent registered public accounting firm, has audited our financial statements at December 31, 2019 and 2018 as set forth in their report. We have included our financial statements in the prospectus and elsewhere in the registration statement in reliance on Marcum LLP’s report which includes an explanatory paragraph about the existence of substantial doubt concerning our ability to continue as a going concern, given on their authority as experts in accounting and auditing.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w:t>
      </w:r>
    </w:p>
    <w:p>
      <w:pPr>
        <w:spacing w:after="0" w:line="85"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 xml:space="preserve">You may read and copy all or any portion of the registration statement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We also maintain a website at</w:t>
      </w:r>
      <w:r>
        <w:rPr>
          <w:rFonts w:ascii="Arial" w:cs="Arial" w:eastAsia="Arial" w:hAnsi="Arial"/>
          <w:sz w:val="16"/>
          <w:szCs w:val="16"/>
          <w:i w:val="1"/>
          <w:iCs w:val="1"/>
          <w:color w:val="auto"/>
        </w:rPr>
        <w:t xml:space="preserve"> www.agrify.com</w:t>
      </w:r>
      <w:r>
        <w:rPr>
          <w:rFonts w:ascii="Arial" w:cs="Arial" w:eastAsia="Arial" w:hAnsi="Arial"/>
          <w:sz w:val="16"/>
          <w:szCs w:val="16"/>
          <w:color w:val="auto"/>
        </w:rPr>
        <w:t>. The information contained on, or that can be</w:t>
      </w:r>
      <w:r>
        <w:rPr>
          <w:rFonts w:ascii="Arial" w:cs="Arial" w:eastAsia="Arial" w:hAnsi="Arial"/>
          <w:sz w:val="16"/>
          <w:szCs w:val="16"/>
          <w:i w:val="1"/>
          <w:iCs w:val="1"/>
          <w:color w:val="auto"/>
        </w:rPr>
        <w:t xml:space="preserve"> </w:t>
      </w:r>
      <w:r>
        <w:rPr>
          <w:rFonts w:ascii="Arial" w:cs="Arial" w:eastAsia="Arial" w:hAnsi="Arial"/>
          <w:sz w:val="16"/>
          <w:szCs w:val="16"/>
          <w:color w:val="auto"/>
        </w:rPr>
        <w:t>accessed through, our website is not part of, and is not incorporated into, this prospectus. We have included our website in this prospectus solely as an inactive textual reference, and you should not consider the contents of our website in making an investment decision with respect to our common stock. The registration statement, including all exhibits and amendments to the registration statement, has been filed electronically with the SEC.</w:t>
      </w:r>
    </w:p>
    <w:p>
      <w:pPr>
        <w:spacing w:after="0" w:line="97"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Upon completion of this offering, we will become subject to information and periodic reporting requirements of the Exchange Act and we will file annual, quarterly and current reports, proxy statements, and other information with the SEC.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5143500"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Years Ended December 31, 2019 and 2018:</w:t>
      </w:r>
    </w:p>
    <w:p>
      <w:pPr>
        <w:spacing w:after="0" w:line="34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Independent Auditors’ Report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43"/>
        </w:trPr>
        <w:tc>
          <w:tcPr>
            <w:tcW w:w="708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Consolidated Balance Sheets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F-3</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Consolidated Statements of Operations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Consolidated Statements of Stockholders’ Equity Deficit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F-5</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Consolidated Statements of Cash Flows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41"/>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Notes to Consolidated Financial Statements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F-7 – F-19</w:t>
            </w: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Quarter Ended September 30, 2020</w:t>
            </w:r>
            <w:r>
              <w:rPr>
                <w:rFonts w:ascii="Arial" w:cs="Arial" w:eastAsia="Arial" w:hAnsi="Arial"/>
                <w:sz w:val="18"/>
                <w:szCs w:val="18"/>
                <w:color w:val="auto"/>
              </w:rPr>
              <w:t>:</w:t>
            </w:r>
          </w:p>
        </w:tc>
        <w:tc>
          <w:tcPr>
            <w:tcW w:w="102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43"/>
        </w:trPr>
        <w:tc>
          <w:tcPr>
            <w:tcW w:w="7080" w:type="dxa"/>
            <w:vAlign w:val="bottom"/>
            <w:gridSpan w:val="10"/>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w w:val="92"/>
              </w:rPr>
            </w:pPr>
            <w:hyperlink w:anchor="page139">
              <w:r>
                <w:rPr>
                  <w:rFonts w:ascii="Arial" w:cs="Arial" w:eastAsia="Arial" w:hAnsi="Arial"/>
                  <w:sz w:val="18"/>
                  <w:szCs w:val="18"/>
                  <w:u w:val="single" w:color="auto"/>
                  <w:color w:val="0000EE"/>
                  <w:w w:val="92"/>
                </w:rPr>
                <w:t>Condensed Consolidated Balance Sheets as of September 30, 2020 and December 31, 2019</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F-20</w:t>
            </w:r>
          </w:p>
        </w:tc>
      </w:tr>
      <w:tr>
        <w:trPr>
          <w:trHeight w:val="175"/>
        </w:trPr>
        <w:tc>
          <w:tcPr>
            <w:tcW w:w="180" w:type="dxa"/>
            <w:vAlign w:val="bottom"/>
          </w:tcPr>
          <w:p>
            <w:pPr>
              <w:spacing w:after="0"/>
              <w:rPr>
                <w:sz w:val="15"/>
                <w:szCs w:val="15"/>
                <w:color w:val="auto"/>
              </w:rPr>
            </w:pPr>
          </w:p>
        </w:tc>
        <w:tc>
          <w:tcPr>
            <w:tcW w:w="6760" w:type="dxa"/>
            <w:vAlign w:val="bottom"/>
            <w:tcBorders>
              <w:bottom w:val="single" w:sz="8" w:color="0000EE"/>
            </w:tcBorders>
            <w:gridSpan w:val="7"/>
          </w:tcPr>
          <w:p>
            <w:pPr>
              <w:spacing w:after="0" w:line="176"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Condensed Consolidated Statements of Operations for the Nine Months Ended September 30,</w:t>
              </w:r>
            </w:hyperlink>
          </w:p>
        </w:tc>
        <w:tc>
          <w:tcPr>
            <w:tcW w:w="14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900" w:type="dxa"/>
            <w:vAlign w:val="bottom"/>
            <w:gridSpan w:val="9"/>
          </w:tcPr>
          <w:p>
            <w:pPr>
              <w:ind w:left="18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2020 and 2019</w:t>
              </w:r>
            </w:hyperlink>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F-21</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5"/>
        </w:trPr>
        <w:tc>
          <w:tcPr>
            <w:tcW w:w="180" w:type="dxa"/>
            <w:vAlign w:val="bottom"/>
            <w:shd w:val="clear" w:color="auto" w:fill="CCEEFF"/>
          </w:tcPr>
          <w:p>
            <w:pPr>
              <w:spacing w:after="0"/>
              <w:rPr>
                <w:sz w:val="15"/>
                <w:szCs w:val="15"/>
                <w:color w:val="auto"/>
              </w:rPr>
            </w:pPr>
          </w:p>
        </w:tc>
        <w:tc>
          <w:tcPr>
            <w:tcW w:w="6900" w:type="dxa"/>
            <w:vAlign w:val="bottom"/>
            <w:gridSpan w:val="9"/>
            <w:shd w:val="clear" w:color="auto" w:fill="CCEEFF"/>
          </w:tcPr>
          <w:p>
            <w:pPr>
              <w:spacing w:after="0" w:line="176" w:lineRule="exact"/>
              <w:rPr>
                <w:rFonts w:ascii="Arial" w:cs="Arial" w:eastAsia="Arial" w:hAnsi="Arial"/>
                <w:sz w:val="18"/>
                <w:szCs w:val="18"/>
                <w:color w:val="0000EE"/>
                <w:w w:val="98"/>
              </w:rPr>
            </w:pPr>
            <w:hyperlink w:anchor="page141">
              <w:r>
                <w:rPr>
                  <w:rFonts w:ascii="Arial" w:cs="Arial" w:eastAsia="Arial" w:hAnsi="Arial"/>
                  <w:sz w:val="18"/>
                  <w:szCs w:val="18"/>
                  <w:color w:val="0000EE"/>
                  <w:w w:val="98"/>
                </w:rPr>
                <w:t>Condensed Consolidated Statements of Stockholders Equity for the Nine Months Ended</w:t>
              </w:r>
            </w:hyperlink>
          </w:p>
        </w:tc>
        <w:tc>
          <w:tcPr>
            <w:tcW w:w="10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6340" w:type="dxa"/>
            <w:vAlign w:val="bottom"/>
            <w:tcBorders>
              <w:top w:val="single" w:sz="8" w:color="0000EE"/>
            </w:tcBorders>
            <w:gridSpan w:val="6"/>
            <w:shd w:val="clear" w:color="auto" w:fill="CCEEFF"/>
          </w:tcPr>
          <w:p>
            <w:pPr>
              <w:ind w:left="180"/>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September 30, 2020 and 2019</w:t>
              </w:r>
            </w:hyperlink>
          </w:p>
        </w:tc>
        <w:tc>
          <w:tcPr>
            <w:tcW w:w="560" w:type="dxa"/>
            <w:vAlign w:val="bottom"/>
            <w:tcBorders>
              <w:top w:val="single" w:sz="8" w:color="CCEEFF"/>
            </w:tcBorders>
            <w:gridSpan w:val="3"/>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F-22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5"/>
        </w:trPr>
        <w:tc>
          <w:tcPr>
            <w:tcW w:w="180" w:type="dxa"/>
            <w:vAlign w:val="bottom"/>
          </w:tcPr>
          <w:p>
            <w:pPr>
              <w:spacing w:after="0"/>
              <w:rPr>
                <w:sz w:val="15"/>
                <w:szCs w:val="15"/>
                <w:color w:val="auto"/>
              </w:rPr>
            </w:pPr>
          </w:p>
        </w:tc>
        <w:tc>
          <w:tcPr>
            <w:tcW w:w="6900" w:type="dxa"/>
            <w:vAlign w:val="bottom"/>
            <w:gridSpan w:val="9"/>
          </w:tcPr>
          <w:p>
            <w:pPr>
              <w:spacing w:after="0" w:line="176" w:lineRule="exact"/>
              <w:rPr>
                <w:rFonts w:ascii="Arial" w:cs="Arial" w:eastAsia="Arial" w:hAnsi="Arial"/>
                <w:sz w:val="18"/>
                <w:szCs w:val="18"/>
                <w:color w:val="0000EE"/>
                <w:w w:val="90"/>
              </w:rPr>
            </w:pPr>
            <w:hyperlink w:anchor="page142">
              <w:r>
                <w:rPr>
                  <w:rFonts w:ascii="Arial" w:cs="Arial" w:eastAsia="Arial" w:hAnsi="Arial"/>
                  <w:sz w:val="18"/>
                  <w:szCs w:val="18"/>
                  <w:color w:val="0000EE"/>
                  <w:w w:val="90"/>
                </w:rPr>
                <w:t>Condensed Consolidated Statements of Cash Flows for the Nine Months Ended September 30,</w:t>
              </w:r>
            </w:hyperlink>
          </w:p>
        </w:tc>
        <w:tc>
          <w:tcPr>
            <w:tcW w:w="10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800" w:type="dxa"/>
            <w:vAlign w:val="bottom"/>
            <w:tcBorders>
              <w:top w:val="single" w:sz="8" w:color="0000EE"/>
            </w:tcBorders>
            <w:gridSpan w:val="8"/>
          </w:tcPr>
          <w:p>
            <w:pPr>
              <w:ind w:left="18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2020 and 2019</w:t>
              </w:r>
            </w:hyperlink>
          </w:p>
        </w:tc>
        <w:tc>
          <w:tcPr>
            <w:tcW w:w="10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F-23</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Notes to Condensed Consolidated Financial Statements (Unaudited)</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F-24 – F-44</w:t>
            </w:r>
          </w:p>
        </w:tc>
      </w:tr>
      <w:tr>
        <w:trPr>
          <w:trHeight w:val="41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0"/>
              </w:rPr>
              <w:t>TriGrow Systems, Inc. and Subsidiary</w:t>
            </w:r>
          </w:p>
        </w:tc>
        <w:tc>
          <w:tcPr>
            <w:tcW w:w="102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1020" w:type="dxa"/>
            <w:vAlign w:val="bottom"/>
          </w:tcPr>
          <w:p>
            <w:pPr>
              <w:spacing w:after="0"/>
              <w:rPr>
                <w:sz w:val="20"/>
                <w:szCs w:val="20"/>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Fiscal Years Ended December 31, 2019 and 2018:</w:t>
            </w:r>
          </w:p>
        </w:tc>
        <w:tc>
          <w:tcPr>
            <w:tcW w:w="102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auto"/>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Independent Auditors’ Report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F-45</w:t>
            </w:r>
          </w:p>
        </w:tc>
      </w:tr>
      <w:tr>
        <w:trPr>
          <w:trHeight w:val="243"/>
        </w:trPr>
        <w:tc>
          <w:tcPr>
            <w:tcW w:w="708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Consolidated Balance Sheets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F-46</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Consolidated Statements of Operations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F-47</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Consolidated Statements of Stockholders’ Equity</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F-48</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Consolidated Statements of Cash Flows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F-49</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Notes to Consolidated Financial Statements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F-50 – F-61</w:t>
            </w:r>
          </w:p>
        </w:tc>
      </w:tr>
      <w:tr>
        <w:trPr>
          <w:trHeight w:val="405"/>
        </w:trPr>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center"/>
              <w:ind w:right="2620"/>
              <w:spacing w:after="0"/>
              <w:rPr>
                <w:sz w:val="20"/>
                <w:szCs w:val="20"/>
                <w:color w:val="auto"/>
              </w:rPr>
            </w:pPr>
            <w:r>
              <w:rPr>
                <w:rFonts w:ascii="Arial" w:cs="Arial" w:eastAsia="Arial" w:hAnsi="Arial"/>
                <w:sz w:val="18"/>
                <w:szCs w:val="18"/>
                <w:color w:val="auto"/>
                <w:w w:val="88"/>
              </w:rPr>
              <w:t>F-1</w:t>
            </w: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Corporation and Subsidiary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We have audited the accompanying consolidated balance sheets of Agrify Corporation and Subsidiary (the “Company”) as of December 31, 2019 and 2018, the related consolidated statements of operations, changes in stockholders’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Melville, NY</w:t>
      </w:r>
    </w:p>
    <w:p>
      <w:pPr>
        <w:spacing w:after="0" w:line="23" w:lineRule="exact"/>
        <w:rPr>
          <w:sz w:val="20"/>
          <w:szCs w:val="20"/>
          <w:color w:val="auto"/>
        </w:rPr>
      </w:pPr>
    </w:p>
    <w:p>
      <w:pPr>
        <w:ind w:left="460" w:right="1279"/>
        <w:spacing w:after="0" w:line="260" w:lineRule="auto"/>
        <w:rPr>
          <w:sz w:val="20"/>
          <w:szCs w:val="20"/>
          <w:color w:val="auto"/>
        </w:rPr>
      </w:pPr>
      <w:r>
        <w:rPr>
          <w:rFonts w:ascii="Arial" w:cs="Arial" w:eastAsia="Arial" w:hAnsi="Arial"/>
          <w:sz w:val="18"/>
          <w:szCs w:val="18"/>
          <w:color w:val="auto"/>
        </w:rPr>
        <w:t>March 19, 2020 (except as to Note 13, Subsequent Event, Reverse Stock Split, as to which the date is January 12, 2021).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Loan payable to related party</w:t>
            </w:r>
          </w:p>
        </w:tc>
        <w:tc>
          <w:tcPr>
            <w:tcW w:w="26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4,032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3,954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Common stock, 6,500,000 shares, $0.001 par value authorized as of</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December 31, 2019 and 2018; 3,616,125 and 2,326,458 shares issued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at December 31, 2019 and 2018,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2,196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p>
      <w:pPr>
        <w:jc w:val="both"/>
        <w:ind w:left="6480"/>
        <w:spacing w:after="0"/>
        <w:tabs>
          <w:tab w:leader="none" w:pos="77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220345</wp:posOffset>
            </wp:positionV>
            <wp:extent cx="5143500" cy="179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right="1680" w:hanging="179"/>
        <w:spacing w:after="0" w:line="355" w:lineRule="auto"/>
        <w:rPr>
          <w:sz w:val="20"/>
          <w:szCs w:val="20"/>
          <w:color w:val="auto"/>
        </w:rPr>
      </w:pPr>
      <w:r>
        <w:rPr>
          <w:rFonts w:ascii="Arial" w:cs="Arial" w:eastAsia="Arial" w:hAnsi="Arial"/>
          <w:sz w:val="18"/>
          <w:szCs w:val="18"/>
          <w:color w:val="auto"/>
        </w:rPr>
        <w:t>Selling, general and administrative expenses 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-36195</wp:posOffset>
            </wp:positionV>
            <wp:extent cx="514350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Miscellaneous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60" w:type="dxa"/>
            <w:vAlign w:val="bottom"/>
            <w:tcBorders>
              <w:top w:val="single" w:sz="8" w:color="auto"/>
            </w:tcBorders>
          </w:tcPr>
          <w:p>
            <w:pPr>
              <w:spacing w:after="0"/>
              <w:rPr>
                <w:sz w:val="21"/>
                <w:szCs w:val="21"/>
                <w:color w:val="auto"/>
              </w:rPr>
            </w:pPr>
          </w:p>
        </w:tc>
      </w:tr>
      <w:tr>
        <w:trPr>
          <w:trHeight w:val="580"/>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1,547</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533"/>
        </w:trPr>
        <w:tc>
          <w:tcPr>
            <w:tcW w:w="3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803"/>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r>
      <w:tr>
        <w:trPr>
          <w:trHeight w:val="297"/>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2,737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1,221</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1,238</w:t>
            </w:r>
          </w:p>
        </w:tc>
        <w:tc>
          <w:tcPr>
            <w:tcW w:w="160" w:type="dxa"/>
            <w:vAlign w:val="bottom"/>
          </w:tcPr>
          <w:p>
            <w:pPr>
              <w:spacing w:after="0"/>
              <w:rPr>
                <w:sz w:val="20"/>
                <w:szCs w:val="20"/>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520"/>
        </w:trPr>
        <w:tc>
          <w:tcPr>
            <w:tcW w:w="3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580"/>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340" w:space="720"/>
            <w:col w:w="2959"/>
          </w:cols>
          <w:pgMar w:left="1440" w:top="274" w:right="1440" w:bottom="1440" w:gutter="0" w:footer="0" w:header="0"/>
          <w:type w:val="continuous"/>
        </w:sectPr>
      </w:pPr>
    </w:p>
    <w:p>
      <w:pPr>
        <w:spacing w:after="0" w:line="96" w:lineRule="exact"/>
        <w:rPr>
          <w:sz w:val="20"/>
          <w:szCs w:val="20"/>
          <w:color w:val="auto"/>
        </w:rPr>
      </w:pPr>
    </w:p>
    <w:p>
      <w:pPr>
        <w:ind w:left="460"/>
        <w:spacing w:after="0"/>
        <w:tabs>
          <w:tab w:leader="none" w:pos="6060" w:val="left"/>
          <w:tab w:leader="none" w:pos="6580" w:val="left"/>
          <w:tab w:leader="none" w:pos="7280" w:val="left"/>
          <w:tab w:leader="none" w:pos="7920" w:val="left"/>
        </w:tabs>
        <w:rPr>
          <w:sz w:val="20"/>
          <w:szCs w:val="20"/>
          <w:color w:val="auto"/>
        </w:rPr>
      </w:pPr>
      <w:r>
        <w:rPr>
          <w:rFonts w:ascii="Arial" w:cs="Arial" w:eastAsia="Arial" w:hAnsi="Arial"/>
          <w:sz w:val="18"/>
          <w:szCs w:val="18"/>
          <w:color w:val="auto"/>
        </w:rPr>
        <w:t>Net loss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(3,042)</w:t>
        <w:tab/>
        <w:t>$</w:t>
      </w:r>
      <w:r>
        <w:rPr>
          <w:sz w:val="20"/>
          <w:szCs w:val="20"/>
          <w:color w:val="auto"/>
        </w:rPr>
        <w:tab/>
      </w:r>
      <w:r>
        <w:rPr>
          <w:rFonts w:ascii="Arial" w:cs="Arial" w:eastAsia="Arial" w:hAnsi="Arial"/>
          <w:sz w:val="16"/>
          <w:szCs w:val="16"/>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31750</wp:posOffset>
            </wp:positionV>
            <wp:extent cx="148272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3" w:name="page124"/>
    <w:bookmarkEnd w:id="12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66" w:lineRule="auto"/>
        <w:rPr>
          <w:sz w:val="20"/>
          <w:szCs w:val="20"/>
          <w:color w:val="auto"/>
        </w:rPr>
      </w:pPr>
      <w:r>
        <w:rPr>
          <w:rFonts w:ascii="Arial" w:cs="Arial" w:eastAsia="Arial" w:hAnsi="Arial"/>
          <w:sz w:val="18"/>
          <w:szCs w:val="18"/>
          <w:b w:val="1"/>
          <w:bCs w:val="1"/>
          <w:color w:val="auto"/>
        </w:rPr>
        <w:t>AGRIFY CORPORATION AND SUBSIDIARY CONSOLIDATED STATEMENTS STOCKHOLDERS’ EQUITY DEFICIT (In thousands, except share amounts)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b w:val="1"/>
                <w:bCs w:val="1"/>
                <w:color w:val="auto"/>
              </w:rPr>
              <w:t>Additional</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75"/>
        </w:trPr>
        <w:tc>
          <w:tcPr>
            <w:tcW w:w="246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Paid-In</w:t>
            </w:r>
          </w:p>
        </w:tc>
        <w:tc>
          <w:tcPr>
            <w:tcW w:w="9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89"/>
              </w:rPr>
              <w:t>Subscription</w:t>
            </w:r>
          </w:p>
        </w:tc>
        <w:tc>
          <w:tcPr>
            <w:tcW w:w="100" w:type="dxa"/>
            <w:vAlign w:val="bottom"/>
          </w:tcPr>
          <w:p>
            <w:pPr>
              <w:spacing w:after="0"/>
              <w:rPr>
                <w:sz w:val="6"/>
                <w:szCs w:val="6"/>
                <w:color w:val="auto"/>
              </w:rPr>
            </w:pPr>
          </w:p>
        </w:tc>
        <w:tc>
          <w:tcPr>
            <w:tcW w:w="94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restart"/>
          </w:tcPr>
          <w:p>
            <w:pPr>
              <w:jc w:val="center"/>
              <w:ind w:right="21"/>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46"/>
        </w:trPr>
        <w:tc>
          <w:tcPr>
            <w:tcW w:w="24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18"/>
                <w:szCs w:val="18"/>
                <w:color w:val="auto"/>
              </w:rPr>
            </w:pPr>
          </w:p>
        </w:tc>
        <w:tc>
          <w:tcPr>
            <w:tcW w:w="76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rPr>
              <w:t>Capital</w:t>
            </w:r>
          </w:p>
        </w:tc>
        <w:tc>
          <w:tcPr>
            <w:tcW w:w="920" w:type="dxa"/>
            <w:vAlign w:val="bottom"/>
            <w:gridSpan w:val="3"/>
          </w:tcPr>
          <w:p>
            <w:pPr>
              <w:ind w:left="100"/>
              <w:spacing w:after="0"/>
              <w:rPr>
                <w:sz w:val="20"/>
                <w:szCs w:val="20"/>
                <w:color w:val="auto"/>
              </w:rPr>
            </w:pPr>
            <w:r>
              <w:rPr>
                <w:rFonts w:ascii="Arial" w:cs="Arial" w:eastAsia="Arial" w:hAnsi="Arial"/>
                <w:sz w:val="16"/>
                <w:szCs w:val="16"/>
                <w:b w:val="1"/>
                <w:bCs w:val="1"/>
                <w:color w:val="auto"/>
                <w:w w:val="95"/>
              </w:rPr>
              <w:t>Receivable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46"/>
        </w:trPr>
        <w:tc>
          <w:tcPr>
            <w:tcW w:w="24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2,326,458</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w w:val="99"/>
              </w:rPr>
              <w:t>Conversion of notes payable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(1,014)</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4"/>
        </w:trPr>
        <w:tc>
          <w:tcPr>
            <w:tcW w:w="2460" w:type="dxa"/>
            <w:vAlign w:val="bottom"/>
          </w:tcPr>
          <w:p>
            <w:pPr>
              <w:spacing w:after="0"/>
              <w:rPr>
                <w:sz w:val="20"/>
                <w:szCs w:val="20"/>
                <w:color w:val="auto"/>
              </w:rPr>
            </w:pPr>
            <w:r>
              <w:rPr>
                <w:rFonts w:ascii="Arial" w:cs="Arial" w:eastAsia="Arial" w:hAnsi="Arial"/>
                <w:sz w:val="18"/>
                <w:szCs w:val="18"/>
                <w:b w:val="1"/>
                <w:bCs w:val="1"/>
                <w:color w:val="auto"/>
              </w:rPr>
              <w:t>Balance, December 31, 2018</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2,326,458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1,289,667</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3,924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2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(3,042)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3,616,125</w:t>
            </w:r>
          </w:p>
        </w:tc>
        <w:tc>
          <w:tcPr>
            <w:tcW w:w="50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(3,042)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Adjustments to reconcile net loss to net cash provided by (used in) operating</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(3,441</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9019"/>
          </w:cols>
          <w:pgMar w:left="1440" w:top="274"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Repayment of loan with a related party</w:t>
      </w:r>
    </w:p>
    <w:p>
      <w:pPr>
        <w:spacing w:after="0" w:line="77" w:lineRule="exact"/>
        <w:rPr>
          <w:sz w:val="20"/>
          <w:szCs w:val="20"/>
          <w:color w:val="auto"/>
        </w:rPr>
      </w:pPr>
    </w:p>
    <w:p>
      <w:pPr>
        <w:jc w:val="right"/>
        <w:ind w:right="160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968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580"/>
        <w:spacing w:after="0"/>
        <w:tabs>
          <w:tab w:leader="none" w:pos="2120" w:val="left"/>
        </w:tabs>
        <w:rPr>
          <w:sz w:val="20"/>
          <w:szCs w:val="20"/>
          <w:color w:val="auto"/>
        </w:rPr>
      </w:pPr>
      <w:r>
        <w:rPr>
          <w:rFonts w:ascii="Arial" w:cs="Arial" w:eastAsia="Arial" w:hAnsi="Arial"/>
          <w:sz w:val="18"/>
          <w:szCs w:val="18"/>
          <w:color w:val="auto"/>
        </w:rPr>
        <w:t>3,879</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jc w:val="right"/>
        <w:ind w:right="619"/>
        <w:spacing w:after="0"/>
        <w:tabs>
          <w:tab w:leader="none" w:pos="1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1482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70" w:lineRule="exact"/>
        <w:rPr>
          <w:sz w:val="20"/>
          <w:szCs w:val="20"/>
          <w:color w:val="auto"/>
        </w:rPr>
      </w:pPr>
    </w:p>
    <w:p>
      <w:pPr>
        <w:jc w:val="both"/>
        <w:ind w:left="580"/>
        <w:spacing w:after="0"/>
        <w:tabs>
          <w:tab w:leader="none" w:pos="2120" w:val="left"/>
        </w:tabs>
        <w:rPr>
          <w:sz w:val="20"/>
          <w:szCs w:val="20"/>
          <w:color w:val="auto"/>
        </w:rPr>
      </w:pPr>
      <w:r>
        <w:rPr>
          <w:rFonts w:ascii="Arial" w:cs="Arial" w:eastAsia="Arial" w:hAnsi="Arial"/>
          <w:sz w:val="18"/>
          <w:szCs w:val="18"/>
          <w:color w:val="auto"/>
        </w:rPr>
        <w:t>3,746</w:t>
      </w:r>
      <w:r>
        <w:rPr>
          <w:sz w:val="20"/>
          <w:szCs w:val="20"/>
          <w:color w:val="auto"/>
        </w:rPr>
        <w:tab/>
      </w:r>
      <w:r>
        <w:rPr>
          <w:rFonts w:ascii="Arial" w:cs="Arial" w:eastAsia="Arial" w:hAnsi="Arial"/>
          <w:sz w:val="18"/>
          <w:szCs w:val="18"/>
          <w:color w:val="auto"/>
        </w:rPr>
        <w:t>—</w:t>
      </w:r>
    </w:p>
    <w:p>
      <w:pPr>
        <w:spacing w:after="0" w:line="360" w:lineRule="exact"/>
        <w:rPr>
          <w:sz w:val="20"/>
          <w:szCs w:val="20"/>
          <w:color w:val="auto"/>
        </w:rPr>
      </w:pPr>
    </w:p>
    <w:p>
      <w:pPr>
        <w:jc w:val="both"/>
        <w:ind w:left="720"/>
        <w:spacing w:after="0"/>
        <w:tabs>
          <w:tab w:leader="none" w:pos="21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49</w:t>
      </w:r>
    </w:p>
    <w:p>
      <w:pPr>
        <w:spacing w:after="0" w:line="374" w:lineRule="exact"/>
        <w:rPr>
          <w:sz w:val="20"/>
          <w:szCs w:val="20"/>
          <w:color w:val="auto"/>
        </w:rPr>
      </w:pPr>
    </w:p>
    <w:p>
      <w:pPr>
        <w:jc w:val="both"/>
        <w:ind w:left="800"/>
        <w:spacing w:after="0"/>
        <w:tabs>
          <w:tab w:leader="none" w:pos="21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36</w:t>
      </w:r>
    </w:p>
    <w:p>
      <w:pPr>
        <w:spacing w:after="0" w:line="374" w:lineRule="exact"/>
        <w:rPr>
          <w:sz w:val="20"/>
          <w:szCs w:val="20"/>
          <w:color w:val="auto"/>
        </w:rPr>
      </w:pPr>
    </w:p>
    <w:p>
      <w:pPr>
        <w:spacing w:after="0"/>
        <w:tabs>
          <w:tab w:leader="none" w:pos="700" w:val="left"/>
          <w:tab w:leader="none" w:pos="1200" w:val="left"/>
          <w:tab w:leader="none" w:pos="2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206</w:t>
        <w:tab/>
        <w:t>$</w:t>
      </w:r>
      <w:r>
        <w:rPr>
          <w:sz w:val="20"/>
          <w:szCs w:val="20"/>
          <w:color w:val="auto"/>
        </w:rPr>
        <w:tab/>
      </w: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482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4" w:right="1440" w:bottom="1440" w:gutter="0" w:footer="0" w:header="0"/>
          <w:type w:val="continuous"/>
        </w:sectPr>
      </w:pP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83"/>
        </w:trPr>
        <w:tc>
          <w:tcPr>
            <w:tcW w:w="488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48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11,091</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-342265</wp:posOffset>
            </wp:positionV>
            <wp:extent cx="514350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8890</wp:posOffset>
            </wp:positionV>
            <wp:extent cx="148272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5" w:name="page126"/>
    <w:bookmarkEnd w:id="12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40" w:right="164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Nature of Business</w:t>
      </w:r>
    </w:p>
    <w:p>
      <w:pPr>
        <w:spacing w:after="0" w:line="148"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wholly-owned subsidiaries</w:t>
      </w:r>
    </w:p>
    <w:p>
      <w:pPr>
        <w:spacing w:after="0" w:line="162"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the accounts of the Company and its wholly owned subsidiary, AGM Service Corp Inc, in accordance with the provisions required by the Consolidation Topic 810 of the Financial Accounting Standards Board (“FASB”) Accounting Standards Codification (“ASC”). All significant intercompany accounts and transactions have been eliminated in the preparation of the consolidated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joint-venture subsidiary</w:t>
      </w:r>
    </w:p>
    <w:p>
      <w:pPr>
        <w:spacing w:after="0" w:line="162"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For the Company’s less than wholly owned joint venture subsidiary, Agrify Valiant LLC, the Company first analyzes whether this joint venture is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9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Based on the Company’s analysis for this joint venture, the Company has determined that it is a VIE and that the Company is the primary beneficiary. While the Company owns 60% of the equity interest in the joint venture, the other 40% is owned by an unrelated third party, and the joint venture agreement with that third party provides the Company with greater voting rights. Accordingly, the Company consolidates its joint venture under the VIE rules and reflects the third party’s 40% interest in the consolidated financial statements as a non-controlling interest. The Company records this non-controlling interest at its initial fair value, adjusting the basis prospectively for the third party’s share of the respective consolidated investments’ net income or loss or equity contributions and distributions. This non-controlling interest is not redeemable by the equity holders and is presented as part of permanent equity. Income and losses are allocated to the non-controlling interest holder based on its economic ownership percentage.</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2019, Agrify Valiant LLC did not begin its operations.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 and Management’s Plan</w:t>
      </w:r>
    </w:p>
    <w:p>
      <w:pPr>
        <w:spacing w:after="0" w:line="162"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03"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Since its inception, the Company has funded its operations primarily with cash flows from product sales and proceeds from sales of common stock (including proceeds from convertible debt, which converted into common stock). The Company has not historically generated sufficient income to fund operations, including 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spacing w:after="0" w:line="269" w:lineRule="auto"/>
        <w:rPr>
          <w:sz w:val="20"/>
          <w:szCs w:val="20"/>
          <w:color w:val="auto"/>
        </w:rPr>
      </w:pPr>
      <w:r>
        <w:rPr>
          <w:rFonts w:ascii="Arial" w:cs="Arial" w:eastAsia="Arial" w:hAnsi="Arial"/>
          <w:sz w:val="17"/>
          <w:szCs w:val="17"/>
          <w:color w:val="auto"/>
        </w:rPr>
        <w:t>net loss of $3,042 and net income of $1,014 for the years ended December 31, 2019 and 2018, respectively. The Company expects to generate net income and cash flow from operating activities in the foreseeable future. During January 2020, the Company issued 55,000 shares of Series A Convertible Preferred Stock for a total $5,500,000 reflecting a per share price of $100 (see additional information in Note 12). As of the date of issuance of the annual consolidated financial statements for the year ended December 31, 2019, the Company expects that its cash and cash equivalents of $206 as of December 31, 2019 and the additional capital from the issuance of the Series A Convertible Preferred Stock would be sufficient to fund its operating expenses, capital expenditure requirements for the foreseeable future. The future viability of the Company beyond that point is dependent on its ability to increase sales sufficiently to fund operations or raise additional capital to finance its operations.</w:t>
      </w:r>
    </w:p>
    <w:p>
      <w:pPr>
        <w:spacing w:after="0" w:line="11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product portfolio expansion or commercialization efforts and research and development programs,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11"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Based on its recurring losses from operations incurred or insufficient income to fund operations since inception, expectation of continuing operating losses for the foreseeable future, and need to raise additional capital to finance its future operations, the Company has concluded that there is substantial doubt about its ability to continue as a going concern within one year after the date that the consolidated financial statements are issued.</w:t>
      </w:r>
    </w:p>
    <w:p>
      <w:pPr>
        <w:spacing w:after="0" w:line="120"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619" w:firstLine="432"/>
        <w:spacing w:after="0" w:line="289"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Subsidiary’s, fiscal year ends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December 31, 2019 and 2018.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62"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primarily consist of cash, cash equivalents, and accounts receivable. The Company places its cash with financial institutions in the United States. The cash balances are insured by the FDIC up to $250 per depositor with unlimited insurance for funds in noninterest-bearing transaction accounts through December 31, 2019. At times, the amounts in these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99"/>
        <w:spacing w:after="0" w:line="263" w:lineRule="auto"/>
        <w:rPr>
          <w:sz w:val="20"/>
          <w:szCs w:val="20"/>
          <w:color w:val="auto"/>
        </w:rPr>
      </w:pPr>
      <w:r>
        <w:rPr>
          <w:rFonts w:ascii="Arial" w:cs="Arial" w:eastAsia="Arial" w:hAnsi="Arial"/>
          <w:sz w:val="18"/>
          <w:szCs w:val="18"/>
          <w:color w:val="auto"/>
        </w:rPr>
        <w:t>accounts may exceed the federally insured limits. Revenue is primarily from product sales and royalty revenue. Two customers represented 99% and one customer represented 95% of total sales for the years ended December 31, 2019 and 2018, respectively.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Accounts Receivable</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are $0 and $0, respectively. No allowance for doubtful accounts was deemed necessary as of December 31, 2019 and 2018. There was no bad debt expense for 2019 and 2018.</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Inventories, which are stated at the lower of cost or net realizable value, consist primarily of supplies.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is determined using the weighted average method.</w:t>
      </w:r>
    </w:p>
    <w:p>
      <w:pPr>
        <w:spacing w:after="0" w:line="143" w:lineRule="exact"/>
        <w:rPr>
          <w:sz w:val="20"/>
          <w:szCs w:val="20"/>
          <w:color w:val="auto"/>
        </w:rPr>
      </w:pPr>
    </w:p>
    <w:p>
      <w:pPr>
        <w:jc w:val="both"/>
        <w:ind w:left="460" w:right="679" w:firstLine="432"/>
        <w:spacing w:after="0" w:line="263" w:lineRule="auto"/>
        <w:rPr>
          <w:sz w:val="20"/>
          <w:szCs w:val="20"/>
          <w:color w:val="auto"/>
        </w:rPr>
      </w:pPr>
      <w:r>
        <w:rPr>
          <w:rFonts w:ascii="Arial" w:cs="Arial" w:eastAsia="Arial" w:hAnsi="Arial"/>
          <w:sz w:val="18"/>
          <w:szCs w:val="18"/>
          <w:color w:val="auto"/>
        </w:rPr>
        <w:t>The Company purchased various equipment from 4D Bios Inc. (“4D”), which totalled $1,393 and $0 in 2019 and 2018, respectively. A member of the Company’s board and the Company’s Chief Executive Officer both had ownership interests and were board members of 4D.</w:t>
      </w:r>
    </w:p>
    <w:p>
      <w:pPr>
        <w:spacing w:after="0" w:line="116"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On June 7, 2019, the Company entered into a distribution agreement with Bluezone Products, Inc. (“Bluezone”) for distribution rights to the Bluezone products with certain exclusivity rights. The agreement requires minimum purchases amounting to $480 and $570 for the first and second contract anniversary years. The agreement auto renews for successive one year periods unless earlier terminated. The Company purchased approximately $318 of Bluezone products for the year ended December 31, 2019. A member of the board and the Company’s Chief Executive Officer both had ownership interests and were board members of Bluezone.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148"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r>
      <w:tr>
        <w:trPr>
          <w:trHeight w:val="210"/>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Furniture and fixture</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40"/>
        </w:trPr>
        <w:tc>
          <w:tcPr>
            <w:tcW w:w="68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capital assets not yet placed into service are capitalized as construction-in-progress and depreciated once placed into service.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Long-Lived Assets</w:t>
      </w:r>
    </w:p>
    <w:p>
      <w:pPr>
        <w:spacing w:after="0" w:line="162" w:lineRule="exact"/>
        <w:rPr>
          <w:sz w:val="20"/>
          <w:szCs w:val="20"/>
          <w:color w:val="auto"/>
        </w:rPr>
      </w:pPr>
    </w:p>
    <w:p>
      <w:pPr>
        <w:jc w:val="both"/>
        <w:ind w:left="460" w:right="659" w:firstLine="432"/>
        <w:spacing w:after="0" w:line="259" w:lineRule="auto"/>
        <w:rPr>
          <w:sz w:val="20"/>
          <w:szCs w:val="20"/>
          <w:color w:val="auto"/>
        </w:rPr>
      </w:pPr>
      <w:r>
        <w:rPr>
          <w:rFonts w:ascii="Arial" w:cs="Arial" w:eastAsia="Arial" w:hAnsi="Arial"/>
          <w:sz w:val="18"/>
          <w:szCs w:val="18"/>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39"/>
        <w:spacing w:after="0" w:line="255" w:lineRule="auto"/>
        <w:rPr>
          <w:sz w:val="20"/>
          <w:szCs w:val="20"/>
          <w:color w:val="auto"/>
        </w:rPr>
      </w:pPr>
      <w:r>
        <w:rPr>
          <w:rFonts w:ascii="Arial" w:cs="Arial" w:eastAsia="Arial" w:hAnsi="Arial"/>
          <w:sz w:val="18"/>
          <w:szCs w:val="18"/>
          <w:color w:val="auto"/>
        </w:rPr>
        <w:t>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2018 or 2019.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Intangible Assets</w:t>
      </w:r>
    </w:p>
    <w:p>
      <w:pPr>
        <w:spacing w:after="0" w:line="148"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The Company uses assumptions in establishing the carrying value of its intangible assets. Intangible assets resulted from investment in the Company’s website and trademark.</w:t>
      </w:r>
    </w:p>
    <w:p>
      <w:pPr>
        <w:spacing w:after="0" w:line="103"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Investments in the Company’s website are amortized over their estimated useful lives of 10 years. As of December 31, 2019, and 2018, amortizable intangible assets were $143 and $0, and accumulated amortization was $7 and $0, respectively. 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As of December 31, 2019, no impairment existed.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80"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79"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13"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1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07"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9"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97"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(in thousands):</w:t>
      </w:r>
    </w:p>
    <w:p>
      <w:pPr>
        <w:spacing w:after="0" w:line="130"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4,066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4,088</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25"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the Company has no product warranty accrual given the Company’s de minimis historical financial warranty experience.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2016 through 2017 remain open for IRS audit. The Company has received no notice of audit from the IRS for any of the open tax years.</w:t>
      </w:r>
    </w:p>
    <w:p>
      <w:pPr>
        <w:spacing w:after="0" w:line="109"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11"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As of 1/1/2018 the Company has no NOLs. There was no Federal income tax expense for the years ended December 31, 2019 and 2018 due to the Company’s net losses. The Company has not yet filed its 2018 Federal and State tax returns.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Method Investments</w:t>
      </w:r>
    </w:p>
    <w:p>
      <w:pPr>
        <w:spacing w:after="0" w:line="162"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Investments in non-public companies in which the Company owns less than a 50% equity interest and where it has the ability to exercise significant influence over the operating and financial policies of the investee are accounted for using the equity method of accounting. The Company’s proportionate share of the net income or loss of the equity method investment is included in other income (expense), net in the consolidated statement of operations and comprehensive loss and results in a corresponding adjustment to the carrying value of the investment on the consolidated balance sheet. Dividends received reduce the carrying value of the investment.</w:t>
      </w:r>
    </w:p>
    <w:p>
      <w:pPr>
        <w:spacing w:after="0" w:line="97" w:lineRule="exact"/>
        <w:rPr>
          <w:sz w:val="20"/>
          <w:szCs w:val="20"/>
          <w:color w:val="auto"/>
        </w:rPr>
      </w:pPr>
    </w:p>
    <w:p>
      <w:pPr>
        <w:ind w:left="460" w:right="619" w:firstLine="432"/>
        <w:spacing w:after="0" w:line="271" w:lineRule="auto"/>
        <w:rPr>
          <w:sz w:val="20"/>
          <w:szCs w:val="20"/>
          <w:color w:val="auto"/>
        </w:rPr>
      </w:pPr>
      <w:r>
        <w:rPr>
          <w:rFonts w:ascii="Arial" w:cs="Arial" w:eastAsia="Arial" w:hAnsi="Arial"/>
          <w:sz w:val="17"/>
          <w:szCs w:val="17"/>
          <w:color w:val="auto"/>
        </w:rPr>
        <w:t>An assessment of whether or not we have the power to direct activities that most significantly impact Teejan Podponics International LLC’s (“TPI”) economic performance and to identify the party that obtains the majority of the benefits of the investment was performed as of December 31, 2019 and 2018,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carrying value of the Company’s investment in TPI was $0 as of December 31, 2019 and 2018.</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did not recognize revenue from TPI for the years ended December 31, 2019 and 2018.</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is not permitted. The guidance permits companies to either apply the requirements retrospectively to all prior periods presented, or apply the requirements in the year of adoption, through a cumulative adjustment.</w:t>
      </w:r>
    </w:p>
    <w:p>
      <w:pPr>
        <w:spacing w:after="0" w:line="101"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 xml:space="preserve">We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 In August 2014, the Financial Accounting Standards Board (“FASB”) issued ASU No.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xml:space="preserve"> (“ASU 2014-15”). The amendments in this update explicitly require a company’s management to assess an entity’s ability to continue as a going concern and to provide related footnote disclosures in certain circumstances. For both public and nonpublic entities, the 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04"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Deferred Taxes </w:t>
      </w:r>
      <w:r>
        <w:rPr>
          <w:rFonts w:ascii="Arial" w:cs="Arial" w:eastAsia="Arial" w:hAnsi="Arial"/>
          <w:sz w:val="18"/>
          <w:szCs w:val="18"/>
          <w:color w:val="auto"/>
        </w:rPr>
        <w:t>(“ASU 2015-17”). ASU 2015-17 requires deferred tax liabilities and assets to</w:t>
      </w:r>
      <w:r>
        <w:rPr>
          <w:rFonts w:ascii="Arial" w:cs="Arial" w:eastAsia="Arial" w:hAnsi="Arial"/>
          <w:sz w:val="18"/>
          <w:szCs w:val="18"/>
          <w:i w:val="1"/>
          <w:iCs w:val="1"/>
          <w:color w:val="auto"/>
        </w:rPr>
        <w:t xml:space="preserve"> </w:t>
      </w:r>
      <w:r>
        <w:rPr>
          <w:rFonts w:ascii="Arial" w:cs="Arial" w:eastAsia="Arial" w:hAnsi="Arial"/>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27"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w:t>
      </w:r>
      <w:r>
        <w:rPr>
          <w:rFonts w:ascii="Arial" w:cs="Arial" w:eastAsia="Arial" w:hAnsi="Arial"/>
          <w:sz w:val="18"/>
          <w:szCs w:val="18"/>
          <w:color w:val="auto"/>
        </w:rPr>
        <w:t>(“ASU 2016-18”), which requires that the statement of cash flows explain the change during the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Recently Adopted Accounting Pronouncements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4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public entities, ASU 2016-02 is effective for annual reporting periods beginning after December 15, 2018,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Arial" w:cs="Arial" w:eastAsia="Arial" w:hAnsi="Arial"/>
          <w:sz w:val="16"/>
          <w:szCs w:val="16"/>
          <w:i w:val="1"/>
          <w:iCs w:val="1"/>
          <w:color w:val="auto"/>
        </w:rPr>
        <w:t>ASU No. 2018-11, Leases (Topic 842)</w:t>
      </w:r>
      <w:r>
        <w:rPr>
          <w:rFonts w:ascii="Arial" w:cs="Arial" w:eastAsia="Arial" w:hAnsi="Arial"/>
          <w:sz w:val="16"/>
          <w:szCs w:val="16"/>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106"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 Changes to the Disclosure Requirements for Fair Value Measurement </w:t>
      </w:r>
      <w:r>
        <w:rPr>
          <w:rFonts w:ascii="Arial" w:cs="Arial" w:eastAsia="Arial" w:hAnsi="Arial"/>
          <w:sz w:val="16"/>
          <w:szCs w:val="16"/>
          <w:color w:val="auto"/>
        </w:rPr>
        <w:t>(“ASU 2018-13”),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06" w:lineRule="exact"/>
        <w:rPr>
          <w:sz w:val="20"/>
          <w:szCs w:val="20"/>
          <w:color w:val="auto"/>
        </w:rPr>
      </w:pPr>
    </w:p>
    <w:p>
      <w:pPr>
        <w:ind w:left="460" w:right="759" w:firstLine="432"/>
        <w:spacing w:after="0" w:line="287"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Interaction between Topic 808 and Topic 606 </w:t>
      </w:r>
      <w:r>
        <w:rPr>
          <w:rFonts w:ascii="Arial" w:cs="Arial" w:eastAsia="Arial" w:hAnsi="Arial"/>
          <w:sz w:val="16"/>
          <w:szCs w:val="16"/>
          <w:color w:val="auto"/>
        </w:rPr>
        <w:t>(“ASU2018-18”), which clarifies that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between collaborative arrangement participants should be accounted for as revenue under Topic</w:t>
      </w:r>
    </w:p>
    <w:p>
      <w:pPr>
        <w:spacing w:after="0" w:line="2" w:lineRule="exact"/>
        <w:rPr>
          <w:sz w:val="20"/>
          <w:szCs w:val="20"/>
          <w:color w:val="auto"/>
        </w:rPr>
      </w:pPr>
    </w:p>
    <w:p>
      <w:pPr>
        <w:ind w:left="460" w:right="459"/>
        <w:spacing w:after="0" w:line="266" w:lineRule="auto"/>
        <w:rPr>
          <w:sz w:val="20"/>
          <w:szCs w:val="20"/>
          <w:color w:val="auto"/>
        </w:rPr>
      </w:pPr>
      <w:r>
        <w:rPr>
          <w:rFonts w:ascii="Arial" w:cs="Arial" w:eastAsia="Arial" w:hAnsi="Arial"/>
          <w:sz w:val="17"/>
          <w:szCs w:val="17"/>
          <w:color w:val="auto"/>
        </w:rPr>
        <w:t>606 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The standard is effective for interim and annual periods beginning after December 15, 2019, with early adoption permitted, including adoption in any interim period for public business entities for periods in which financial statements have not been issued. Amendments in the standard should be applied retrospectively to the date of initial application of Topic 606, but entities may elect to apply the amendments in this Update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Company is in the process of evaluating the impact of ASU 2018-18 on its consolidated financial statements and disclosures.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Prepaid Expenses and Other Receivables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87"/>
              <w:spacing w:after="0"/>
              <w:rPr>
                <w:sz w:val="20"/>
                <w:szCs w:val="20"/>
                <w:color w:val="auto"/>
              </w:rPr>
            </w:pPr>
            <w:r>
              <w:rPr>
                <w:rFonts w:ascii="Arial" w:cs="Arial" w:eastAsia="Arial" w:hAnsi="Arial"/>
                <w:sz w:val="16"/>
                <w:szCs w:val="16"/>
                <w:b w:val="1"/>
                <w:bCs w:val="1"/>
                <w:color w:val="auto"/>
                <w:w w:val="90"/>
              </w:rPr>
              <w:t>December 31,</w:t>
            </w:r>
          </w:p>
        </w:tc>
        <w:tc>
          <w:tcPr>
            <w:tcW w:w="32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87"/>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Vendor Receivables</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Prepaid expenses</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98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Inventory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2019 and 2018, inventory consists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5"/>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 in progress</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2,025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Inventory</w:t>
            </w:r>
          </w:p>
        </w:tc>
        <w:tc>
          <w:tcPr>
            <w:tcW w:w="740" w:type="dxa"/>
            <w:vAlign w:val="bottom"/>
          </w:tcPr>
          <w:p>
            <w:pPr>
              <w:spacing w:after="0"/>
              <w:rPr>
                <w:sz w:val="22"/>
                <w:szCs w:val="22"/>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456</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2,481</w:t>
            </w:r>
          </w:p>
        </w:tc>
        <w:tc>
          <w:tcPr>
            <w:tcW w:w="86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 Property and Equipment, Net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gridSpan w:val="5"/>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w w:val="92"/>
              </w:rPr>
              <w:t>Depreciation expense for 2019 and 2018 was $3 and $0, respectively.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b w:val="1"/>
                <w:bCs w:val="1"/>
                <w:color w:val="auto"/>
              </w:rPr>
              <w:t>Note 7 — Intangible Assets, net</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intangible assets as of December 31, 2019 and 2018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Website</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4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Domain</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Trademark</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47"/>
        </w:trPr>
        <w:tc>
          <w:tcPr>
            <w:tcW w:w="43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 $</w:t>
            </w:r>
          </w:p>
        </w:tc>
        <w:tc>
          <w:tcPr>
            <w:tcW w:w="138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140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Based on the intangible assets in service as of December 31, 2019, estimated amortization expenses are $14 for each of the next ten years.</w:t>
      </w:r>
    </w:p>
    <w:p>
      <w:pPr>
        <w:spacing w:after="0" w:line="103" w:lineRule="exact"/>
        <w:rPr>
          <w:sz w:val="20"/>
          <w:szCs w:val="20"/>
          <w:color w:val="auto"/>
        </w:rPr>
      </w:pPr>
    </w:p>
    <w:p>
      <w:pPr>
        <w:ind w:left="460" w:right="1159" w:firstLine="432"/>
        <w:spacing w:after="0" w:line="277" w:lineRule="auto"/>
        <w:rPr>
          <w:sz w:val="20"/>
          <w:szCs w:val="20"/>
          <w:color w:val="auto"/>
        </w:rPr>
      </w:pPr>
      <w:r>
        <w:rPr>
          <w:rFonts w:ascii="Arial" w:cs="Arial" w:eastAsia="Arial" w:hAnsi="Arial"/>
          <w:sz w:val="18"/>
          <w:szCs w:val="18"/>
          <w:color w:val="auto"/>
        </w:rPr>
        <w:t>Amortization expenses amounted to $7 and $0 for the years ended December 31, 2019 and 2018,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bookmarkStart w:id="134" w:name="page135"/>
    <w:bookmarkEnd w:id="13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Accrued Expenses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Accrued expenses consisted of the following:</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major components of accrued expenses are summarized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34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advertising expenses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accrued expense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accrued expenses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Capital 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As of December 31, 2019 and 2018, the Company’s articles of incorporation, as amended and restated, authorized the Company to issue 6,500,000 shares of common stock, $0.001 par value, and one share of common stock, $0.001 par value, respectively. As of December 31, 2019 and 2018, the Company had 5,720,000 and 1 shares of common stock issued and outstanding, respectively.</w:t>
      </w:r>
    </w:p>
    <w:p>
      <w:pPr>
        <w:spacing w:after="0" w:line="119" w:lineRule="exact"/>
        <w:rPr>
          <w:sz w:val="20"/>
          <w:szCs w:val="20"/>
          <w:color w:val="auto"/>
        </w:rPr>
      </w:pPr>
    </w:p>
    <w:p>
      <w:pPr>
        <w:ind w:left="460" w:right="819" w:firstLine="432"/>
        <w:spacing w:after="0" w:line="311" w:lineRule="auto"/>
        <w:rPr>
          <w:sz w:val="20"/>
          <w:szCs w:val="20"/>
          <w:color w:val="auto"/>
        </w:rPr>
      </w:pPr>
      <w:r>
        <w:rPr>
          <w:rFonts w:ascii="Arial" w:cs="Arial" w:eastAsia="Arial" w:hAnsi="Arial"/>
          <w:sz w:val="16"/>
          <w:szCs w:val="16"/>
          <w:color w:val="auto"/>
        </w:rPr>
        <w:t>In May 2019, the Company effected a 1:3,680,000 stock split to the outstanding common stock of the Company. All references made to share or per share amounts in the accompanying consolidated financial statements and applicable disclosures have been retroactively adjusted to reflect the stock split.</w:t>
      </w:r>
    </w:p>
    <w:p>
      <w:pPr>
        <w:spacing w:after="0" w:line="68" w:lineRule="exact"/>
        <w:rPr>
          <w:sz w:val="20"/>
          <w:szCs w:val="20"/>
          <w:color w:val="auto"/>
        </w:rPr>
      </w:pPr>
    </w:p>
    <w:p>
      <w:pPr>
        <w:ind w:left="460" w:right="1119" w:firstLine="432"/>
        <w:spacing w:after="0" w:line="277" w:lineRule="auto"/>
        <w:rPr>
          <w:sz w:val="20"/>
          <w:szCs w:val="20"/>
          <w:color w:val="auto"/>
        </w:rPr>
      </w:pPr>
      <w:r>
        <w:rPr>
          <w:rFonts w:ascii="Arial" w:cs="Arial" w:eastAsia="Arial" w:hAnsi="Arial"/>
          <w:sz w:val="18"/>
          <w:szCs w:val="18"/>
          <w:color w:val="auto"/>
        </w:rPr>
        <w:t>In June 2019, the Company issued and sold 2,040,000 shares of common stock to an investor at a purchase price of $1.96 per share for gross proceeds of $4,000.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Subscriptions Receivable</w:t>
      </w:r>
    </w:p>
    <w:p>
      <w:pPr>
        <w:spacing w:after="0" w:line="162"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At December 31, 2019, the Company recorded a stock subscription receivable in the amount of $40. The stock subscription receivable is in connection with the issuance of common stock in June 2019 and represents 12,902 shares of common stock. The outstanding balance of stock subscription was paid during January 2020.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2019 Stock Option Plan</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On June 4, 2019, the Company adopted its 2019 Stock Option Plan allowing the issuance of 1,743,744 shares. During December 2019 the Company granted 493,102 options to various employees and consultants. As of December 31, 2019, there were 1,250,641 shares available to be granted under the 2019 Stock Option Plan.</w:t>
      </w:r>
    </w:p>
    <w:p>
      <w:pPr>
        <w:spacing w:after="0" w:line="6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$109 and $0 for the years ended December 31, 2019 and 2018, respectively, and there was $887 of total unrecognized compensation cost related to unvested options granted under the Company’s options plans as of December 31, 2019. This stock option expense will be recognized through December 2029.</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following table summarizes the Company’s assumptions used in the valuation of options for the year ended December 31, 2019:</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Arial" w:cs="Arial" w:eastAsia="Arial" w:hAnsi="Arial"/>
                <w:sz w:val="18"/>
                <w:szCs w:val="18"/>
                <w:color w:val="auto"/>
                <w:w w:val="94"/>
              </w:rPr>
              <w:t>60%</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jc w:val="center"/>
              <w:ind w:left="2410"/>
              <w:spacing w:after="0"/>
              <w:rPr>
                <w:sz w:val="20"/>
                <w:szCs w:val="20"/>
                <w:color w:val="auto"/>
              </w:rPr>
            </w:pPr>
            <w:r>
              <w:rPr>
                <w:rFonts w:ascii="Arial" w:cs="Arial" w:eastAsia="Arial" w:hAnsi="Arial"/>
                <w:sz w:val="18"/>
                <w:szCs w:val="18"/>
                <w:color w:val="auto"/>
                <w:w w:val="90"/>
              </w:rPr>
              <w:t>1.67% – 1.84%</w:t>
            </w:r>
          </w:p>
        </w:tc>
      </w:tr>
      <w:tr>
        <w:trPr>
          <w:trHeight w:val="41"/>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Arial" w:cs="Arial" w:eastAsia="Arial" w:hAnsi="Arial"/>
                <w:sz w:val="18"/>
                <w:szCs w:val="18"/>
                <w:color w:val="auto"/>
                <w:w w:val="90"/>
              </w:rPr>
              <w:t>0.00%</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0% Expected life (years)</w:t>
            </w:r>
          </w:p>
        </w:tc>
        <w:tc>
          <w:tcPr>
            <w:tcW w:w="3760" w:type="dxa"/>
            <w:vAlign w:val="bottom"/>
          </w:tcPr>
          <w:p>
            <w:pPr>
              <w:jc w:val="center"/>
              <w:ind w:left="2410"/>
              <w:spacing w:after="0"/>
              <w:rPr>
                <w:sz w:val="20"/>
                <w:szCs w:val="20"/>
                <w:color w:val="auto"/>
              </w:rPr>
            </w:pPr>
            <w:r>
              <w:rPr>
                <w:rFonts w:ascii="Arial" w:cs="Arial" w:eastAsia="Arial" w:hAnsi="Arial"/>
                <w:sz w:val="18"/>
                <w:szCs w:val="18"/>
                <w:color w:val="auto"/>
              </w:rPr>
              <w:t>5–10</w:t>
            </w:r>
          </w:p>
        </w:tc>
      </w:tr>
      <w:tr>
        <w:trPr>
          <w:trHeight w:val="40"/>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4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376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0"/>
              </w:rPr>
              <w:t>0.00%</w:t>
            </w:r>
          </w:p>
        </w:tc>
      </w:tr>
      <w:tr>
        <w:trPr>
          <w:trHeight w:val="40"/>
        </w:trPr>
        <w:tc>
          <w:tcPr>
            <w:tcW w:w="4340" w:type="dxa"/>
            <w:vAlign w:val="bottom"/>
            <w:shd w:val="clear" w:color="auto" w:fill="CCEEFF"/>
          </w:tcPr>
          <w:p>
            <w:pPr>
              <w:spacing w:after="0"/>
              <w:rPr>
                <w:sz w:val="3"/>
                <w:szCs w:val="3"/>
                <w:color w:val="auto"/>
              </w:rPr>
            </w:pPr>
          </w:p>
        </w:tc>
        <w:tc>
          <w:tcPr>
            <w:tcW w:w="37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0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13"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presents option activity under the Company’s stock option plans as of December 31, 2019 and changes during years than ended: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average exercise</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43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price</w:t>
            </w:r>
          </w:p>
        </w:tc>
        <w:tc>
          <w:tcPr>
            <w:tcW w:w="180" w:type="dxa"/>
            <w:vAlign w:val="bottom"/>
          </w:tcPr>
          <w:p>
            <w:pPr>
              <w:spacing w:after="0"/>
              <w:rPr>
                <w:sz w:val="18"/>
                <w:szCs w:val="18"/>
                <w:color w:val="auto"/>
              </w:rPr>
            </w:pPr>
          </w:p>
        </w:tc>
        <w:tc>
          <w:tcPr>
            <w:tcW w:w="1100" w:type="dxa"/>
            <w:vAlign w:val="bottom"/>
          </w:tcPr>
          <w:p>
            <w:pPr>
              <w:jc w:val="center"/>
              <w:ind w:right="93"/>
              <w:spacing w:after="0"/>
              <w:rPr>
                <w:sz w:val="20"/>
                <w:szCs w:val="20"/>
                <w:color w:val="auto"/>
              </w:rPr>
            </w:pPr>
            <w:r>
              <w:rPr>
                <w:rFonts w:ascii="Arial" w:cs="Arial" w:eastAsia="Arial" w:hAnsi="Arial"/>
                <w:sz w:val="16"/>
                <w:szCs w:val="16"/>
                <w:b w:val="1"/>
                <w:bCs w:val="1"/>
                <w:color w:val="auto"/>
                <w:w w:val="87"/>
              </w:rPr>
              <w:t>value</w:t>
            </w:r>
          </w:p>
        </w:tc>
      </w:tr>
      <w:tr>
        <w:trPr>
          <w:trHeight w:val="47"/>
        </w:trPr>
        <w:tc>
          <w:tcPr>
            <w:tcW w:w="4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1100" w:type="dxa"/>
            <w:vAlign w:val="bottom"/>
          </w:tcPr>
          <w:p>
            <w:pPr>
              <w:spacing w:after="0"/>
              <w:rPr>
                <w:sz w:val="4"/>
                <w:szCs w:val="4"/>
                <w:color w:val="auto"/>
              </w:rPr>
            </w:pPr>
          </w:p>
        </w:tc>
      </w:tr>
      <w:tr>
        <w:trPr>
          <w:trHeight w:val="24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4, 2019</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493,102</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CCEEFF"/>
            </w:tcBorders>
            <w:gridSpan w:val="4"/>
            <w:shd w:val="clear" w:color="auto" w:fill="CCEEFF"/>
          </w:tcPr>
          <w:p>
            <w:pPr>
              <w:jc w:val="right"/>
              <w:ind w:right="3"/>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Cancelled or expired</w:t>
            </w:r>
          </w:p>
        </w:tc>
        <w:tc>
          <w:tcPr>
            <w:tcW w:w="1400" w:type="dxa"/>
            <w:vAlign w:val="bottom"/>
            <w:gridSpan w:val="4"/>
          </w:tcPr>
          <w:p>
            <w:pPr>
              <w:jc w:val="right"/>
              <w:ind w:right="3"/>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304"/>
        </w:trPr>
        <w:tc>
          <w:tcPr>
            <w:tcW w:w="4360" w:type="dxa"/>
            <w:vAlign w:val="bottom"/>
          </w:tcPr>
          <w:p>
            <w:pPr>
              <w:spacing w:after="0"/>
              <w:rPr>
                <w:sz w:val="20"/>
                <w:szCs w:val="20"/>
                <w:color w:val="auto"/>
              </w:rPr>
            </w:pPr>
            <w:r>
              <w:rPr>
                <w:rFonts w:ascii="Arial" w:cs="Arial" w:eastAsia="Arial" w:hAnsi="Arial"/>
                <w:sz w:val="18"/>
                <w:szCs w:val="18"/>
                <w:color w:val="auto"/>
              </w:rPr>
              <w:t>Options outstanding at December 31, 2019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493,102</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270"/>
        </w:trPr>
        <w:tc>
          <w:tcPr>
            <w:tcW w:w="436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CCEEFF"/>
            </w:tcBorders>
            <w:shd w:val="clear" w:color="auto" w:fill="CCEEFF"/>
          </w:tcPr>
          <w:p>
            <w:pPr>
              <w:spacing w:after="0"/>
              <w:rPr>
                <w:sz w:val="23"/>
                <w:szCs w:val="23"/>
                <w:color w:val="auto"/>
              </w:rPr>
            </w:pPr>
          </w:p>
        </w:tc>
      </w:tr>
      <w:tr>
        <w:trPr>
          <w:trHeight w:val="304"/>
        </w:trPr>
        <w:tc>
          <w:tcPr>
            <w:tcW w:w="4360" w:type="dxa"/>
            <w:vAlign w:val="bottom"/>
          </w:tcPr>
          <w:p>
            <w:pPr>
              <w:spacing w:after="0"/>
              <w:rPr>
                <w:sz w:val="20"/>
                <w:szCs w:val="20"/>
                <w:color w:val="auto"/>
              </w:rPr>
            </w:pPr>
            <w:r>
              <w:rPr>
                <w:rFonts w:ascii="Arial" w:cs="Arial" w:eastAsia="Arial" w:hAnsi="Arial"/>
                <w:sz w:val="18"/>
                <w:szCs w:val="18"/>
                <w:color w:val="auto"/>
                <w:w w:val="94"/>
              </w:rPr>
              <w:t>Options vested and exercisable as of December 31, 2019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53,726</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24"/>
                <w:szCs w:val="24"/>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270"/>
        </w:trPr>
        <w:tc>
          <w:tcPr>
            <w:tcW w:w="436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CCEEFF"/>
            </w:tcBorders>
            <w:shd w:val="clear" w:color="auto" w:fill="CCEEFF"/>
          </w:tcPr>
          <w:p>
            <w:pPr>
              <w:spacing w:after="0"/>
              <w:rPr>
                <w:sz w:val="23"/>
                <w:szCs w:val="23"/>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9"/>
              </w:rPr>
              <w:t>Weighted average fair value of options granted in 2019</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21"/>
                <w:szCs w:val="21"/>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432"/>
        </w:trPr>
        <w:tc>
          <w:tcPr>
            <w:tcW w:w="436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F-17</w:t>
            </w: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There was no aggregate intrinsic value at December 31, 2019 as the Company’s stock price of $3.10 on December 31, 2019, was below the exercise price of the outstanding stock options.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information about options vested and exercisable at December 31, 2019:</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5"/>
          </w:tcPr>
          <w:p>
            <w:pPr>
              <w:jc w:val="right"/>
              <w:ind w:right="90"/>
              <w:spacing w:after="0"/>
              <w:rPr>
                <w:sz w:val="20"/>
                <w:szCs w:val="20"/>
                <w:color w:val="auto"/>
              </w:rPr>
            </w:pPr>
            <w:r>
              <w:rPr>
                <w:rFonts w:ascii="Arial" w:cs="Arial" w:eastAsia="Arial" w:hAnsi="Arial"/>
                <w:sz w:val="16"/>
                <w:szCs w:val="16"/>
                <w:b w:val="1"/>
                <w:bCs w:val="1"/>
                <w:color w:val="auto"/>
                <w:w w:val="88"/>
              </w:rPr>
              <w:t>Options vested and exercisable</w:t>
            </w:r>
          </w:p>
        </w:tc>
        <w:tc>
          <w:tcPr>
            <w:tcW w:w="1780" w:type="dxa"/>
            <w:vAlign w:val="bottom"/>
          </w:tcPr>
          <w:p>
            <w:pPr>
              <w:spacing w:after="0"/>
              <w:rPr>
                <w:sz w:val="18"/>
                <w:szCs w:val="18"/>
                <w:color w:val="auto"/>
              </w:rPr>
            </w:pPr>
          </w:p>
        </w:tc>
      </w:tr>
      <w:tr>
        <w:trPr>
          <w:trHeight w:val="46"/>
        </w:trPr>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2"/>
        </w:trPr>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r>
      <w:tr>
        <w:trPr>
          <w:trHeight w:val="210"/>
        </w:trPr>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Range price ($</w:t>
            </w:r>
          </w:p>
        </w:tc>
        <w:tc>
          <w:tcPr>
            <w:tcW w:w="540" w:type="dxa"/>
            <w:vAlign w:val="bottom"/>
          </w:tcPr>
          <w:p>
            <w:pPr>
              <w:jc w:val="right"/>
              <w:ind w:right="393"/>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194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 of options</w:t>
            </w:r>
          </w:p>
        </w:tc>
        <w:tc>
          <w:tcPr>
            <w:tcW w:w="80" w:type="dxa"/>
            <w:vAlign w:val="bottom"/>
          </w:tcPr>
          <w:p>
            <w:pPr>
              <w:spacing w:after="0"/>
              <w:rPr>
                <w:sz w:val="18"/>
                <w:szCs w:val="18"/>
                <w:color w:val="auto"/>
              </w:rPr>
            </w:pPr>
          </w:p>
        </w:tc>
        <w:tc>
          <w:tcPr>
            <w:tcW w:w="19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r>
      <w:tr>
        <w:trPr>
          <w:trHeight w:val="47"/>
        </w:trPr>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420" w:type="dxa"/>
            <w:vAlign w:val="bottom"/>
            <w:tcBorders>
              <w:bottom w:val="single" w:sz="8" w:color="CCEEFF"/>
            </w:tcBorders>
            <w:shd w:val="clear" w:color="auto" w:fill="CCEEFF"/>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w w:val="79"/>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1420" w:type="dxa"/>
            <w:vAlign w:val="bottom"/>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9,772</w:t>
            </w:r>
          </w:p>
        </w:tc>
        <w:tc>
          <w:tcPr>
            <w:tcW w:w="2040" w:type="dxa"/>
            <w:vAlign w:val="bottom"/>
            <w:gridSpan w:val="3"/>
          </w:tcPr>
          <w:p>
            <w:pPr>
              <w:ind w:left="1760"/>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3.42</w:t>
            </w: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following table summarizes information about options expected to vest after December 31, 2019:</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6"/>
                <w:szCs w:val="16"/>
                <w:b w:val="1"/>
                <w:bCs w:val="1"/>
                <w:color w:val="auto"/>
                <w:w w:val="93"/>
              </w:rPr>
              <w:t>Options expected to vest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47"/>
        </w:trPr>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2"/>
        </w:trPr>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r>
      <w:tr>
        <w:trPr>
          <w:trHeight w:val="210"/>
        </w:trPr>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Range price ($</w:t>
            </w:r>
          </w:p>
        </w:tc>
        <w:tc>
          <w:tcPr>
            <w:tcW w:w="540" w:type="dxa"/>
            <w:vAlign w:val="bottom"/>
          </w:tcPr>
          <w:p>
            <w:pPr>
              <w:jc w:val="right"/>
              <w:ind w:right="393"/>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Options</w:t>
            </w:r>
          </w:p>
        </w:tc>
        <w:tc>
          <w:tcPr>
            <w:tcW w:w="19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r>
      <w:tr>
        <w:trPr>
          <w:trHeight w:val="47"/>
        </w:trPr>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420" w:type="dxa"/>
            <w:vAlign w:val="bottom"/>
            <w:tcBorders>
              <w:bottom w:val="single" w:sz="8" w:color="CCEEFF"/>
            </w:tcBorders>
            <w:shd w:val="clear" w:color="auto" w:fill="CCEEFF"/>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355,331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w w:val="79"/>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1420" w:type="dxa"/>
            <w:vAlign w:val="bottom"/>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84,045</w:t>
            </w:r>
          </w:p>
        </w:tc>
        <w:tc>
          <w:tcPr>
            <w:tcW w:w="1960" w:type="dxa"/>
            <w:vAlign w:val="bottom"/>
            <w:gridSpan w:val="2"/>
          </w:tcPr>
          <w:p>
            <w:pPr>
              <w:ind w:left="1680"/>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3.42</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Employee Benefit Plan</w:t>
      </w:r>
    </w:p>
    <w:p>
      <w:pPr>
        <w:spacing w:after="0" w:line="14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58"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In June 2019, the Company entered an operating lease for office space in Burlington, Massachusetts, which expires in April 30, 2020. The Company has the right to extend the operating lease on a month-to-month through August 31, 2020. In addition, the company leases two corporate apartments that can be used by employees who have traveled long distances in order to attend meetings in the corporate office in Burlington, MA. The lease of corporate apartments is on a month-to-month basis.</w:t>
      </w:r>
    </w:p>
    <w:p>
      <w:pPr>
        <w:spacing w:after="0" w:line="109"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The Company recognizes rent expense on a straight-line basis over the respective lease period. Rent expense was $53 and $10 for the years ended December 31, 2019 and 2018, respectively.</w:t>
      </w:r>
    </w:p>
    <w:p>
      <w:pPr>
        <w:spacing w:after="0" w:line="43" w:lineRule="exact"/>
        <w:rPr>
          <w:sz w:val="20"/>
          <w:szCs w:val="20"/>
          <w:color w:val="auto"/>
        </w:rPr>
      </w:pPr>
    </w:p>
    <w:p>
      <w:pPr>
        <w:jc w:val="both"/>
        <w:ind w:left="460" w:right="599" w:firstLine="432"/>
        <w:spacing w:after="0" w:line="277" w:lineRule="auto"/>
        <w:rPr>
          <w:sz w:val="20"/>
          <w:szCs w:val="20"/>
          <w:color w:val="auto"/>
        </w:rPr>
      </w:pPr>
      <w:r>
        <w:rPr>
          <w:rFonts w:ascii="Arial" w:cs="Arial" w:eastAsia="Arial" w:hAnsi="Arial"/>
          <w:sz w:val="18"/>
          <w:szCs w:val="18"/>
          <w:color w:val="auto"/>
        </w:rPr>
        <w:t>Future minimum lease commitments under operating leases as of December 31, 2019 are $30 until April 30, 2020.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jc w:val="both"/>
        <w:ind w:left="460" w:right="619" w:firstLine="432"/>
        <w:spacing w:after="0" w:line="257"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During January 2020, the Company issued 55,000 shares of Series A Convertible Preferred Stock, $0.001 par value per share, for total consideration of $5,500,000. Shares of Series A Convertible Preferred Stock confer the same voting rights as the common stock and have preference rights in the event of liquidation and deemed liquidation. Shares of Series A Convertible Preferred Stock are convertible into common stock, at each holders’ option, or in their entirety (i) upon an Initial Public Offering of the Company, or (ii) consummation of an automatic conversion event.</w:t>
      </w:r>
    </w:p>
    <w:p>
      <w:pPr>
        <w:spacing w:after="0" w:line="125"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The holders of the Series A Convertible Preferred Stock have the right to receive dividends prior and in preference to any payment of any dividend on the common stock, at a rate of 7% per stock per annum.</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TriGrow Systems, Inc.</w:t>
      </w:r>
    </w:p>
    <w:p>
      <w:pPr>
        <w:spacing w:after="0" w:line="158"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On January 22, 2020, the Company acquired TriGrow Systems, Inc. (“TriGrow”), which became a wholly-owned subsidiary of the Company. TriGrow was a distributor of the Company’s automated, micro-climate, precision controlled vertical farming units solution for indoor grow. As part of the acquisition of TriGrow, the Company received TriGrow’s 75% interest in Agrify Brands, LLC (formerly TriGrow Brands, LLC), an owner of portfolio cannabis consumer brands. In consideration of TriGrow’s shares, the Company issued to TriGrow’s shareholders 595,552 shares of the Company’s common stock, $0.001 par value per share.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of Authorized Shares</w:t>
      </w:r>
    </w:p>
    <w:p>
      <w:pPr>
        <w:spacing w:after="0" w:line="144" w:lineRule="exact"/>
        <w:rPr>
          <w:sz w:val="20"/>
          <w:szCs w:val="20"/>
          <w:color w:val="auto"/>
        </w:rPr>
      </w:pPr>
    </w:p>
    <w:p>
      <w:pPr>
        <w:jc w:val="both"/>
        <w:ind w:left="460" w:right="499" w:firstLine="432"/>
        <w:spacing w:after="0" w:line="340" w:lineRule="auto"/>
        <w:rPr>
          <w:sz w:val="20"/>
          <w:szCs w:val="20"/>
          <w:color w:val="auto"/>
        </w:rPr>
      </w:pPr>
      <w:r>
        <w:rPr>
          <w:rFonts w:ascii="Arial" w:cs="Arial" w:eastAsia="Arial" w:hAnsi="Arial"/>
          <w:sz w:val="15"/>
          <w:szCs w:val="15"/>
          <w:color w:val="auto"/>
        </w:rPr>
        <w:t>On January 6, 2020, the Company’s shareholders approved an increase to the number of authorized shares of capital stock that the Company shall have authority to issue to 53 million, consisting of: 50 million shares of common stock, $0.001 par value per share, and 3 million shares of preferred stock, $0.001 par value per share.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 Agreement</w:t>
      </w:r>
    </w:p>
    <w:p>
      <w:pPr>
        <w:spacing w:after="0" w:line="15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distributor status as per the agreement, for the period from contract date until December 31, 2021 for $375, for the year ended December 31, 2022 for $750, for the year ended December 31, 2023 for $1,125 and may increase by 3% for the later years. A member of the board and the Company’s Chief Executive Officer both had ownership interests and were board members of Enozo.</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Subsequent Event, Reverse Stock Split</w:t>
      </w:r>
    </w:p>
    <w:p>
      <w:pPr>
        <w:spacing w:after="0" w:line="162"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In January 2021, the Company effected a 1-for-1.581804 reverse stock split to the outstanding shares of common stock of the Company. All references made to share or per share amounts in the accompanying consolidated financial statements and applicable disclosures have been retroactively adjusted to reflect the reverse stock split.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8" w:name="page139"/>
    <w:bookmarkEnd w:id="13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2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4,958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Prepaid inventory</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Intangible assets acquired through business combination, net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Capitalized website costs, net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gridSpan w:val="2"/>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13,490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71"/>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1,675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Notes payable, net of debt discount of $2,434,675 and $0 as of</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September 30, 2020 and December 31, 2019,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gridSpan w:val="2"/>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9,098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70"/>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 (Deficit)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Common stock, 50,000,000 and 6,500,000 shares, $0.001 par value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authorized as of September 30, 2020 and December 31, 2019,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respectively; 4,211,677 and 3,616,125 shares issued at September 30,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2020 and December 31, 2019,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56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8"/>
              </w:rPr>
              <w:t>Preferred 2,895,000 and 0 shares, $0.001 par value authorized as of</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Arial" w:cs="Arial" w:eastAsia="Arial" w:hAnsi="Arial"/>
                <w:sz w:val="18"/>
                <w:szCs w:val="18"/>
                <w:color w:val="auto"/>
                <w:w w:val="95"/>
              </w:rPr>
              <w:t>September 30, 2020 and December 31, 2019, respectively; 0 shares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360"/>
              <w:spacing w:after="0"/>
              <w:rPr>
                <w:sz w:val="20"/>
                <w:szCs w:val="20"/>
                <w:color w:val="auto"/>
              </w:rPr>
            </w:pPr>
            <w:r>
              <w:rPr>
                <w:rFonts w:ascii="Arial" w:cs="Arial" w:eastAsia="Arial" w:hAnsi="Arial"/>
                <w:sz w:val="18"/>
                <w:szCs w:val="18"/>
                <w:color w:val="auto"/>
                <w:w w:val="91"/>
              </w:rPr>
              <w:t>issued as of September 30, 2020 and December 31, 2019, respectively;</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Preferred A stock 105,000 and 0 shares, $0.001 par value authorized as of</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September 30, 2020 and December 31, 2019, respectively; 100,000 and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 shares issued at September 30, 2020 and December 31, 2019,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(13,455)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13,490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511" w:gutter="0" w:footer="0" w:header="0"/>
        </w:sectPr>
      </w:pPr>
    </w:p>
    <w:bookmarkStart w:id="139" w:name="page140"/>
    <w:bookmarkEnd w:id="13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380" w:right="880"/>
        <w:spacing w:after="0" w:line="266" w:lineRule="auto"/>
        <w:rPr>
          <w:sz w:val="20"/>
          <w:szCs w:val="20"/>
          <w:color w:val="auto"/>
        </w:rPr>
      </w:pPr>
      <w:r>
        <w:rPr>
          <w:rFonts w:ascii="Arial" w:cs="Arial" w:eastAsia="Arial" w:hAnsi="Arial"/>
          <w:sz w:val="18"/>
          <w:szCs w:val="18"/>
          <w:b w:val="1"/>
          <w:bCs w:val="1"/>
          <w:color w:val="auto"/>
        </w:rPr>
        <w:t>AGRIFY CORPORATION AND SUBSIDIARIES CONDENSED CONSOLIDATED STATEMENTS OF OPERATIONS (UNAUDITED)</w:t>
      </w:r>
    </w:p>
    <w:p>
      <w:pPr>
        <w:spacing w:after="0" w:line="140" w:lineRule="exact"/>
        <w:rPr>
          <w:sz w:val="20"/>
          <w:szCs w:val="20"/>
          <w:color w:val="auto"/>
        </w:rPr>
      </w:pPr>
    </w:p>
    <w:p>
      <w:pPr>
        <w:ind w:left="6620"/>
        <w:spacing w:after="0"/>
        <w:rPr>
          <w:sz w:val="20"/>
          <w:szCs w:val="20"/>
          <w:color w:val="auto"/>
        </w:rPr>
      </w:pPr>
      <w:r>
        <w:rPr>
          <w:rFonts w:ascii="Arial" w:cs="Arial" w:eastAsia="Arial" w:hAnsi="Arial"/>
          <w:sz w:val="15"/>
          <w:szCs w:val="15"/>
          <w:b w:val="1"/>
          <w:bCs w:val="1"/>
          <w:color w:val="auto"/>
        </w:rPr>
        <w:t>Nine months ended</w:t>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33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goods sold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profit (loss)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tabs>
          <w:tab w:leader="none" w:pos="700" w:val="left"/>
          <w:tab w:leader="none" w:pos="1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7,734 $</w:t>
      </w:r>
      <w:r>
        <w:rPr>
          <w:sz w:val="20"/>
          <w:szCs w:val="20"/>
          <w:color w:val="auto"/>
        </w:rPr>
        <w:tab/>
      </w:r>
      <w:r>
        <w:rPr>
          <w:rFonts w:ascii="Arial" w:cs="Arial" w:eastAsia="Arial" w:hAnsi="Arial"/>
          <w:sz w:val="15"/>
          <w:szCs w:val="15"/>
          <w:color w:val="auto"/>
        </w:rPr>
        <w:t>2,425</w:t>
      </w:r>
    </w:p>
    <w:p>
      <w:pPr>
        <w:spacing w:after="0" w:line="90" w:lineRule="exact"/>
        <w:rPr>
          <w:sz w:val="20"/>
          <w:szCs w:val="20"/>
          <w:color w:val="auto"/>
        </w:rPr>
      </w:pPr>
    </w:p>
    <w:p>
      <w:pPr>
        <w:ind w:left="720"/>
        <w:spacing w:after="0"/>
        <w:tabs>
          <w:tab w:leader="none" w:pos="1900" w:val="left"/>
        </w:tabs>
        <w:rPr>
          <w:sz w:val="20"/>
          <w:szCs w:val="20"/>
          <w:color w:val="auto"/>
        </w:rPr>
      </w:pPr>
      <w:r>
        <w:rPr>
          <w:rFonts w:ascii="Arial" w:cs="Arial" w:eastAsia="Arial" w:hAnsi="Arial"/>
          <w:sz w:val="18"/>
          <w:szCs w:val="18"/>
          <w:color w:val="auto"/>
        </w:rPr>
        <w:t>6,874</w:t>
      </w:r>
      <w:r>
        <w:rPr>
          <w:sz w:val="20"/>
          <w:szCs w:val="20"/>
          <w:color w:val="auto"/>
        </w:rPr>
        <w:tab/>
      </w:r>
      <w:r>
        <w:rPr>
          <w:rFonts w:ascii="Arial" w:cs="Arial" w:eastAsia="Arial" w:hAnsi="Arial"/>
          <w:sz w:val="18"/>
          <w:szCs w:val="18"/>
          <w:color w:val="auto"/>
        </w:rPr>
        <w:t>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31750</wp:posOffset>
            </wp:positionV>
            <wp:extent cx="5143500"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3" w:lineRule="exact"/>
        <w:rPr>
          <w:sz w:val="20"/>
          <w:szCs w:val="20"/>
          <w:color w:val="auto"/>
        </w:rPr>
      </w:pPr>
    </w:p>
    <w:p>
      <w:pPr>
        <w:jc w:val="both"/>
        <w:ind w:left="860"/>
        <w:spacing w:after="0"/>
        <w:tabs>
          <w:tab w:leader="none" w:pos="1980" w:val="left"/>
        </w:tabs>
        <w:rPr>
          <w:sz w:val="20"/>
          <w:szCs w:val="20"/>
          <w:color w:val="auto"/>
        </w:rPr>
      </w:pPr>
      <w:r>
        <w:rPr>
          <w:rFonts w:ascii="Arial" w:cs="Arial" w:eastAsia="Arial" w:hAnsi="Arial"/>
          <w:sz w:val="18"/>
          <w:szCs w:val="18"/>
          <w:color w:val="auto"/>
        </w:rPr>
        <w:t>860</w:t>
      </w:r>
      <w:r>
        <w:rPr>
          <w:sz w:val="20"/>
          <w:szCs w:val="20"/>
          <w:color w:val="auto"/>
        </w:rPr>
        <w:tab/>
      </w:r>
      <w:r>
        <w:rPr>
          <w:rFonts w:ascii="Arial" w:cs="Arial" w:eastAsia="Arial" w:hAnsi="Arial"/>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1482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4" w:right="1440" w:bottom="1440" w:gutter="0" w:footer="0" w:header="0"/>
          <w:type w:val="continuous"/>
        </w:sectPr>
      </w:pP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2,392</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6,940</w:t>
            </w: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9,332</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Loss attributable to non-controlling interest</w:t>
            </w:r>
          </w:p>
        </w:tc>
        <w:tc>
          <w:tcPr>
            <w:tcW w:w="4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8,562</w:t>
            </w: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0" w:name="page141"/>
    <w:bookmarkEnd w:id="14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3" w:lineRule="auto"/>
        <w:rPr>
          <w:sz w:val="20"/>
          <w:szCs w:val="20"/>
          <w:color w:val="auto"/>
        </w:rPr>
      </w:pPr>
      <w:r>
        <w:rPr>
          <w:rFonts w:ascii="Arial" w:cs="Arial" w:eastAsia="Arial" w:hAnsi="Arial"/>
          <w:sz w:val="18"/>
          <w:szCs w:val="18"/>
          <w:b w:val="1"/>
          <w:bCs w:val="1"/>
          <w:color w:val="auto"/>
        </w:rPr>
        <w:t>AGRIFY CORPORATION AND SUBSIDIARIES CONDENSED CONSOLIDATED STATEMENTS OF STOCKHOLDERS’ EQUITY FOR THE NINE MONTHS ENDED SEPTEMBER 30, 2019 and 2020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60" w:type="dxa"/>
            <w:vAlign w:val="bottom"/>
            <w:gridSpan w:val="20"/>
          </w:tcPr>
          <w:p>
            <w:pPr>
              <w:spacing w:after="0"/>
              <w:rPr>
                <w:sz w:val="20"/>
                <w:szCs w:val="20"/>
                <w:color w:val="auto"/>
              </w:rPr>
            </w:pPr>
            <w:r>
              <w:rPr>
                <w:rFonts w:ascii="Arial" w:cs="Arial" w:eastAsia="Arial" w:hAnsi="Arial"/>
                <w:sz w:val="14"/>
                <w:szCs w:val="14"/>
                <w:b w:val="1"/>
                <w:bCs w:val="1"/>
                <w:color w:val="auto"/>
              </w:rPr>
              <w:t>Nine months ended September 30, 2019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9"/>
            <w:vMerge w:val="restart"/>
          </w:tcPr>
          <w:p>
            <w:pPr>
              <w:jc w:val="center"/>
              <w:ind w:right="120"/>
              <w:spacing w:after="0"/>
              <w:rPr>
                <w:sz w:val="20"/>
                <w:szCs w:val="20"/>
                <w:color w:val="auto"/>
              </w:rPr>
            </w:pPr>
            <w:r>
              <w:rPr>
                <w:rFonts w:ascii="Arial" w:cs="Arial" w:eastAsia="Arial" w:hAnsi="Arial"/>
                <w:sz w:val="14"/>
                <w:szCs w:val="14"/>
                <w:b w:val="1"/>
                <w:bCs w:val="1"/>
                <w:color w:val="auto"/>
                <w:w w:val="96"/>
              </w:rPr>
              <w:t>Preferred A</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10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6"/>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Stockholders’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jc w:val="center"/>
              <w:ind w:left="144"/>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6"/>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14"/>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  Subscription Accumulated</w:t>
            </w:r>
          </w:p>
        </w:tc>
        <w:tc>
          <w:tcPr>
            <w:tcW w:w="900" w:type="dxa"/>
            <w:vAlign w:val="bottom"/>
            <w:gridSpan w:val="6"/>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1640" w:type="dxa"/>
            <w:vAlign w:val="bottom"/>
            <w:gridSpan w:val="10"/>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controlling Stockholders’</w:t>
            </w: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680" w:type="dxa"/>
            <w:vAlign w:val="bottom"/>
            <w:gridSpan w:val="11"/>
            <w:vMerge w:val="restart"/>
          </w:tcPr>
          <w:p>
            <w:pPr>
              <w:jc w:val="right"/>
              <w:ind w:right="120"/>
              <w:spacing w:after="0"/>
              <w:rPr>
                <w:sz w:val="20"/>
                <w:szCs w:val="20"/>
                <w:color w:val="auto"/>
              </w:rPr>
            </w:pPr>
            <w:r>
              <w:rPr>
                <w:rFonts w:ascii="Arial" w:cs="Arial" w:eastAsia="Arial" w:hAnsi="Arial"/>
                <w:sz w:val="14"/>
                <w:szCs w:val="14"/>
                <w:b w:val="1"/>
                <w:bCs w:val="1"/>
                <w:color w:val="auto"/>
                <w:w w:val="96"/>
              </w:rPr>
              <w:t>Amount Shares Amount</w:t>
            </w:r>
          </w:p>
        </w:tc>
        <w:tc>
          <w:tcPr>
            <w:tcW w:w="2360" w:type="dxa"/>
            <w:vAlign w:val="bottom"/>
            <w:gridSpan w:val="14"/>
            <w:vMerge w:val="continue"/>
          </w:tcPr>
          <w:p>
            <w:pPr>
              <w:spacing w:after="0"/>
              <w:rPr>
                <w:sz w:val="5"/>
                <w:szCs w:val="5"/>
                <w:color w:val="auto"/>
              </w:rPr>
            </w:pPr>
          </w:p>
        </w:tc>
        <w:tc>
          <w:tcPr>
            <w:tcW w:w="900" w:type="dxa"/>
            <w:vAlign w:val="bottom"/>
            <w:gridSpan w:val="6"/>
            <w:vMerge w:val="continue"/>
          </w:tcPr>
          <w:p>
            <w:pPr>
              <w:spacing w:after="0"/>
              <w:rPr>
                <w:sz w:val="5"/>
                <w:szCs w:val="5"/>
                <w:color w:val="auto"/>
              </w:rPr>
            </w:pPr>
          </w:p>
        </w:tc>
        <w:tc>
          <w:tcPr>
            <w:tcW w:w="164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80" w:type="dxa"/>
            <w:vAlign w:val="bottom"/>
            <w:gridSpan w:val="11"/>
            <w:vMerge w:val="continue"/>
          </w:tcPr>
          <w:p>
            <w:pPr>
              <w:spacing w:after="0"/>
              <w:rPr>
                <w:sz w:val="16"/>
                <w:szCs w:val="16"/>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Capital</w:t>
            </w:r>
          </w:p>
        </w:tc>
        <w:tc>
          <w:tcPr>
            <w:tcW w:w="8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Receivable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7"/>
              </w:rPr>
              <w:t>to Agrify</w:t>
            </w:r>
          </w:p>
        </w:tc>
        <w:tc>
          <w:tcPr>
            <w:tcW w:w="40" w:type="dxa"/>
            <w:vAlign w:val="bottom"/>
          </w:tcPr>
          <w:p>
            <w:pPr>
              <w:spacing w:after="0"/>
              <w:rPr>
                <w:sz w:val="16"/>
                <w:szCs w:val="16"/>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January 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2,326,458</w:t>
            </w: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4"/>
            <w:shd w:val="clear" w:color="auto" w:fill="CCEEFF"/>
          </w:tcPr>
          <w:p>
            <w:pPr>
              <w:jc w:val="center"/>
              <w:ind w:left="139"/>
              <w:spacing w:after="0"/>
              <w:rPr>
                <w:sz w:val="20"/>
                <w:szCs w:val="20"/>
                <w:color w:val="auto"/>
              </w:rPr>
            </w:pPr>
            <w:r>
              <w:rPr>
                <w:rFonts w:ascii="Arial" w:cs="Arial" w:eastAsia="Arial" w:hAnsi="Arial"/>
                <w:sz w:val="16"/>
                <w:szCs w:val="16"/>
                <w:color w:val="auto"/>
                <w:w w:val="94"/>
              </w:rPr>
              <w:t>(1,851)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(1,758)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(1,758)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subscription</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2"/>
              </w:rPr>
              <w:t>1,289,667</w:t>
            </w: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2,948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3,950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3,950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4"/>
            <w:shd w:val="clear" w:color="auto" w:fill="CCEEFF"/>
          </w:tcPr>
          <w:p>
            <w:pPr>
              <w:jc w:val="center"/>
              <w:ind w:left="139"/>
              <w:spacing w:after="0"/>
              <w:rPr>
                <w:sz w:val="20"/>
                <w:szCs w:val="20"/>
                <w:color w:val="auto"/>
              </w:rPr>
            </w:pPr>
            <w:r>
              <w:rPr>
                <w:rFonts w:ascii="Arial" w:cs="Arial" w:eastAsia="Arial" w:hAnsi="Arial"/>
                <w:sz w:val="16"/>
                <w:szCs w:val="16"/>
                <w:color w:val="auto"/>
                <w:w w:val="94"/>
              </w:rPr>
              <w:t>(1,201)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(1,201)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(1,201)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Pr>
          <w:p>
            <w:pPr>
              <w:ind w:left="180"/>
              <w:spacing w:after="0"/>
              <w:rPr>
                <w:sz w:val="20"/>
                <w:szCs w:val="20"/>
                <w:color w:val="auto"/>
              </w:rPr>
            </w:pPr>
            <w:r>
              <w:rPr>
                <w:rFonts w:ascii="Arial" w:cs="Arial" w:eastAsia="Arial" w:hAnsi="Arial"/>
                <w:sz w:val="16"/>
                <w:szCs w:val="16"/>
                <w:b w:val="1"/>
                <w:bCs w:val="1"/>
                <w:color w:val="auto"/>
              </w:rPr>
              <w:t>201</w:t>
            </w:r>
            <w:r>
              <w:rPr>
                <w:rFonts w:ascii="Arial" w:cs="Arial" w:eastAsia="Arial" w:hAnsi="Arial"/>
                <w:sz w:val="16"/>
                <w:szCs w:val="16"/>
                <w:color w:val="auto"/>
              </w:rPr>
              <w:t>9</w:t>
            </w: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3,616,125</w:t>
            </w:r>
          </w:p>
        </w:tc>
        <w:tc>
          <w:tcPr>
            <w:tcW w:w="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0"/>
                <w:szCs w:val="20"/>
                <w:color w:val="auto"/>
              </w:rPr>
            </w:pPr>
          </w:p>
        </w:tc>
        <w:tc>
          <w:tcPr>
            <w:tcW w:w="760" w:type="dxa"/>
            <w:vAlign w:val="bottom"/>
            <w:gridSpan w:val="5"/>
          </w:tcPr>
          <w:p>
            <w:pPr>
              <w:ind w:left="240"/>
              <w:spacing w:after="0"/>
              <w:rPr>
                <w:sz w:val="20"/>
                <w:szCs w:val="20"/>
                <w:color w:val="auto"/>
              </w:rPr>
            </w:pPr>
            <w:r>
              <w:rPr>
                <w:rFonts w:ascii="Arial" w:cs="Arial" w:eastAsia="Arial" w:hAnsi="Arial"/>
                <w:sz w:val="16"/>
                <w:szCs w:val="16"/>
                <w:color w:val="auto"/>
              </w:rPr>
              <w:t>—</w:t>
            </w:r>
          </w:p>
        </w:tc>
        <w:tc>
          <w:tcPr>
            <w:tcW w:w="3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3,039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1,000</w:t>
            </w:r>
          </w:p>
        </w:tc>
        <w:tc>
          <w:tcPr>
            <w:tcW w:w="780" w:type="dxa"/>
            <w:vAlign w:val="bottom"/>
            <w:gridSpan w:val="4"/>
          </w:tcPr>
          <w:p>
            <w:pPr>
              <w:jc w:val="center"/>
              <w:ind w:left="139"/>
              <w:spacing w:after="0"/>
              <w:rPr>
                <w:sz w:val="20"/>
                <w:szCs w:val="20"/>
                <w:color w:val="auto"/>
              </w:rPr>
            </w:pPr>
            <w:r>
              <w:rPr>
                <w:rFonts w:ascii="Arial" w:cs="Arial" w:eastAsia="Arial" w:hAnsi="Arial"/>
                <w:sz w:val="16"/>
                <w:szCs w:val="16"/>
                <w:color w:val="auto"/>
                <w:w w:val="94"/>
              </w:rPr>
              <w:t>(3,052)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991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gridSpan w:val="19"/>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9"/>
            <w:vMerge w:val="restart"/>
          </w:tcPr>
          <w:p>
            <w:pPr>
              <w:jc w:val="center"/>
              <w:ind w:right="20"/>
              <w:spacing w:after="0"/>
              <w:rPr>
                <w:sz w:val="20"/>
                <w:szCs w:val="20"/>
                <w:color w:val="auto"/>
              </w:rPr>
            </w:pPr>
            <w:r>
              <w:rPr>
                <w:rFonts w:ascii="Arial" w:cs="Arial" w:eastAsia="Arial" w:hAnsi="Arial"/>
                <w:sz w:val="14"/>
                <w:szCs w:val="14"/>
                <w:b w:val="1"/>
                <w:bCs w:val="1"/>
                <w:color w:val="auto"/>
                <w:w w:val="94"/>
              </w:rPr>
              <w:t>Preferred A</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10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10"/>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jc w:val="center"/>
              <w:ind w:left="244"/>
              <w:spacing w:after="0" w:line="149" w:lineRule="exact"/>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3"/>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rPr>
              <w:t>Paid-In</w:t>
            </w:r>
          </w:p>
        </w:tc>
        <w:tc>
          <w:tcPr>
            <w:tcW w:w="2560" w:type="dxa"/>
            <w:vAlign w:val="bottom"/>
            <w:gridSpan w:val="16"/>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Subscription Accumulated attributable</w:t>
            </w:r>
          </w:p>
        </w:tc>
        <w:tc>
          <w:tcPr>
            <w:tcW w:w="40" w:type="dxa"/>
            <w:vAlign w:val="bottom"/>
          </w:tcPr>
          <w:p>
            <w:pPr>
              <w:spacing w:after="0"/>
              <w:rPr>
                <w:sz w:val="5"/>
                <w:szCs w:val="5"/>
                <w:color w:val="auto"/>
              </w:rPr>
            </w:pPr>
          </w:p>
        </w:tc>
        <w:tc>
          <w:tcPr>
            <w:tcW w:w="1600" w:type="dxa"/>
            <w:vAlign w:val="bottom"/>
            <w:gridSpan w:val="9"/>
            <w:vMerge w:val="restart"/>
          </w:tcPr>
          <w:p>
            <w:pPr>
              <w:jc w:val="right"/>
              <w:spacing w:after="0" w:line="149" w:lineRule="exact"/>
              <w:rPr>
                <w:sz w:val="20"/>
                <w:szCs w:val="20"/>
                <w:color w:val="auto"/>
              </w:rPr>
            </w:pPr>
            <w:r>
              <w:rPr>
                <w:rFonts w:ascii="Arial" w:cs="Arial" w:eastAsia="Arial" w:hAnsi="Arial"/>
                <w:sz w:val="14"/>
                <w:szCs w:val="14"/>
                <w:b w:val="1"/>
                <w:bCs w:val="1"/>
                <w:color w:val="auto"/>
                <w:w w:val="93"/>
              </w:rPr>
              <w:t>controlling Stockholders’</w:t>
            </w: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5"/>
                <w:szCs w:val="5"/>
                <w:color w:val="auto"/>
              </w:rPr>
            </w:pPr>
          </w:p>
        </w:tc>
        <w:tc>
          <w:tcPr>
            <w:tcW w:w="1100" w:type="dxa"/>
            <w:vAlign w:val="bottom"/>
            <w:gridSpan w:val="9"/>
            <w:vMerge w:val="restart"/>
          </w:tcPr>
          <w:p>
            <w:pPr>
              <w:jc w:val="right"/>
              <w:ind w:right="20"/>
              <w:spacing w:after="0"/>
              <w:rPr>
                <w:sz w:val="20"/>
                <w:szCs w:val="20"/>
                <w:color w:val="auto"/>
              </w:rPr>
            </w:pPr>
            <w:r>
              <w:rPr>
                <w:rFonts w:ascii="Arial" w:cs="Arial" w:eastAsia="Arial" w:hAnsi="Arial"/>
                <w:sz w:val="14"/>
                <w:szCs w:val="14"/>
                <w:b w:val="1"/>
                <w:bCs w:val="1"/>
                <w:color w:val="auto"/>
                <w:w w:val="98"/>
              </w:rPr>
              <w:t>Shares  Amount</w:t>
            </w:r>
          </w:p>
        </w:tc>
        <w:tc>
          <w:tcPr>
            <w:tcW w:w="4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2560" w:type="dxa"/>
            <w:vAlign w:val="bottom"/>
            <w:gridSpan w:val="16"/>
            <w:vMerge w:val="continue"/>
          </w:tcPr>
          <w:p>
            <w:pPr>
              <w:spacing w:after="0"/>
              <w:rPr>
                <w:sz w:val="5"/>
                <w:szCs w:val="5"/>
                <w:color w:val="auto"/>
              </w:rPr>
            </w:pPr>
          </w:p>
        </w:tc>
        <w:tc>
          <w:tcPr>
            <w:tcW w:w="40" w:type="dxa"/>
            <w:vAlign w:val="bottom"/>
          </w:tcPr>
          <w:p>
            <w:pPr>
              <w:spacing w:after="0"/>
              <w:rPr>
                <w:sz w:val="5"/>
                <w:szCs w:val="5"/>
                <w:color w:val="auto"/>
              </w:rPr>
            </w:pPr>
          </w:p>
        </w:tc>
        <w:tc>
          <w:tcPr>
            <w:tcW w:w="16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9"/>
            <w:vMerge w:val="continue"/>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5"/>
              </w:rPr>
              <w:t>Receivable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to Agrify</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9"/>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January 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3,616,125</w:t>
            </w: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4,124</w:t>
            </w:r>
          </w:p>
        </w:tc>
        <w:tc>
          <w:tcPr>
            <w:tcW w:w="8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8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(4,893)</w:t>
            </w:r>
          </w:p>
        </w:tc>
        <w:tc>
          <w:tcPr>
            <w:tcW w:w="9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6"/>
                <w:szCs w:val="16"/>
                <w:color w:val="auto"/>
              </w:rPr>
              <w:t>(805)</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Stock based</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803</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6"/>
                <w:szCs w:val="16"/>
                <w:color w:val="auto"/>
              </w:rPr>
              <w:t>803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6"/>
                <w:szCs w:val="16"/>
                <w:color w:val="auto"/>
              </w:rPr>
              <w:t>803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Stock</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subscription</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Issuance of</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Arial" w:cs="Arial" w:eastAsia="Arial" w:hAnsi="Arial"/>
                <w:sz w:val="16"/>
                <w:szCs w:val="16"/>
                <w:color w:val="auto"/>
              </w:rPr>
              <w:t>Preferred A</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gridSpan w:val="5"/>
          </w:tcPr>
          <w:p>
            <w:pPr>
              <w:jc w:val="right"/>
              <w:ind w:right="60"/>
              <w:spacing w:after="0"/>
              <w:rPr>
                <w:sz w:val="20"/>
                <w:szCs w:val="20"/>
                <w:color w:val="auto"/>
              </w:rPr>
            </w:pPr>
            <w:r>
              <w:rPr>
                <w:rFonts w:ascii="Arial" w:cs="Arial" w:eastAsia="Arial" w:hAnsi="Arial"/>
                <w:sz w:val="16"/>
                <w:szCs w:val="16"/>
                <w:color w:val="auto"/>
                <w:w w:val="96"/>
              </w:rPr>
              <w:t>100,000</w:t>
            </w:r>
          </w:p>
        </w:tc>
        <w:tc>
          <w:tcPr>
            <w:tcW w:w="180" w:type="dxa"/>
            <w:vAlign w:val="bottom"/>
          </w:tcPr>
          <w:p>
            <w:pPr>
              <w:spacing w:after="0"/>
              <w:rPr>
                <w:sz w:val="17"/>
                <w:szCs w:val="17"/>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Investment in</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Agrify Valiant</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Acquisition of</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Arial" w:cs="Arial" w:eastAsia="Arial" w:hAnsi="Arial"/>
                <w:sz w:val="16"/>
                <w:szCs w:val="16"/>
                <w:color w:val="auto"/>
              </w:rPr>
              <w:t>TriGrow</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Systems</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595,552</w:t>
            </w: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1,356</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6"/>
                <w:szCs w:val="16"/>
                <w:color w:val="auto"/>
              </w:rPr>
              <w:t>1,356</w:t>
            </w:r>
          </w:p>
        </w:tc>
        <w:tc>
          <w:tcPr>
            <w:tcW w:w="6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207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6"/>
                <w:szCs w:val="16"/>
                <w:color w:val="auto"/>
              </w:rPr>
              <w:t>1,563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Warrants issued</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recorded</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 debt</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discount in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connection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 notes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issuances</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1,362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1,362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6"/>
          </w:tcPr>
          <w:p>
            <w:pPr>
              <w:jc w:val="right"/>
              <w:ind w:right="20"/>
              <w:spacing w:after="0"/>
              <w:rPr>
                <w:sz w:val="20"/>
                <w:szCs w:val="20"/>
                <w:color w:val="auto"/>
              </w:rPr>
            </w:pPr>
            <w:r>
              <w:rPr>
                <w:rFonts w:ascii="Arial" w:cs="Arial" w:eastAsia="Arial" w:hAnsi="Arial"/>
                <w:sz w:val="16"/>
                <w:szCs w:val="16"/>
                <w:color w:val="auto"/>
              </w:rPr>
              <w:t>(8,562)</w:t>
            </w:r>
          </w:p>
        </w:tc>
        <w:tc>
          <w:tcPr>
            <w:tcW w:w="900" w:type="dxa"/>
            <w:vAlign w:val="bottom"/>
            <w:gridSpan w:val="6"/>
          </w:tcPr>
          <w:p>
            <w:pPr>
              <w:jc w:val="right"/>
              <w:ind w:right="40"/>
              <w:spacing w:after="0"/>
              <w:rPr>
                <w:sz w:val="20"/>
                <w:szCs w:val="20"/>
                <w:color w:val="auto"/>
              </w:rPr>
            </w:pPr>
            <w:r>
              <w:rPr>
                <w:rFonts w:ascii="Arial" w:cs="Arial" w:eastAsia="Arial" w:hAnsi="Arial"/>
                <w:sz w:val="16"/>
                <w:szCs w:val="16"/>
                <w:color w:val="auto"/>
              </w:rPr>
              <w:t>(8,562)</w:t>
            </w:r>
          </w:p>
        </w:tc>
        <w:tc>
          <w:tcPr>
            <w:tcW w:w="720" w:type="dxa"/>
            <w:vAlign w:val="bottom"/>
            <w:gridSpan w:val="5"/>
          </w:tcPr>
          <w:p>
            <w:pPr>
              <w:jc w:val="right"/>
              <w:ind w:right="40"/>
              <w:spacing w:after="0"/>
              <w:rPr>
                <w:sz w:val="20"/>
                <w:szCs w:val="20"/>
                <w:color w:val="auto"/>
              </w:rPr>
            </w:pPr>
            <w:r>
              <w:rPr>
                <w:rFonts w:ascii="Arial" w:cs="Arial" w:eastAsia="Arial" w:hAnsi="Arial"/>
                <w:sz w:val="16"/>
                <w:szCs w:val="16"/>
                <w:color w:val="auto"/>
              </w:rPr>
              <w:t>(49)</w:t>
            </w:r>
          </w:p>
        </w:tc>
        <w:tc>
          <w:tcPr>
            <w:tcW w:w="920" w:type="dxa"/>
            <w:vAlign w:val="bottom"/>
            <w:gridSpan w:val="5"/>
          </w:tcPr>
          <w:p>
            <w:pPr>
              <w:jc w:val="right"/>
              <w:ind w:right="60"/>
              <w:spacing w:after="0"/>
              <w:rPr>
                <w:sz w:val="20"/>
                <w:szCs w:val="20"/>
                <w:color w:val="auto"/>
              </w:rPr>
            </w:pPr>
            <w:r>
              <w:rPr>
                <w:rFonts w:ascii="Arial" w:cs="Arial" w:eastAsia="Arial" w:hAnsi="Arial"/>
                <w:sz w:val="16"/>
                <w:szCs w:val="16"/>
                <w:color w:val="auto"/>
              </w:rPr>
              <w:t>(8,611)</w:t>
            </w:r>
          </w:p>
        </w:tc>
        <w:tc>
          <w:tcPr>
            <w:tcW w:w="0" w:type="dxa"/>
            <w:vAlign w:val="bottom"/>
          </w:tcPr>
          <w:p>
            <w:pPr>
              <w:spacing w:after="0"/>
              <w:rPr>
                <w:sz w:val="1"/>
                <w:szCs w:val="1"/>
                <w:color w:val="auto"/>
              </w:rPr>
            </w:pPr>
          </w:p>
        </w:tc>
      </w:tr>
      <w:tr>
        <w:trPr>
          <w:trHeight w:val="33"/>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2020</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2"/>
              </w:rPr>
              <w:t>4,211,677</w:t>
            </w:r>
          </w:p>
        </w:tc>
        <w:tc>
          <w:tcPr>
            <w:tcW w:w="1160" w:type="dxa"/>
            <w:vAlign w:val="bottom"/>
            <w:gridSpan w:val="6"/>
            <w:shd w:val="clear" w:color="auto" w:fill="CCEEFF"/>
          </w:tcPr>
          <w:p>
            <w:pPr>
              <w:jc w:val="right"/>
              <w:ind w:right="60"/>
              <w:spacing w:after="0"/>
              <w:rPr>
                <w:sz w:val="20"/>
                <w:szCs w:val="20"/>
                <w:color w:val="auto"/>
              </w:rPr>
            </w:pPr>
            <w:r>
              <w:rPr>
                <w:rFonts w:ascii="Arial" w:cs="Arial" w:eastAsia="Arial" w:hAnsi="Arial"/>
                <w:sz w:val="16"/>
                <w:szCs w:val="16"/>
                <w:color w:val="auto"/>
              </w:rPr>
              <w:t>4 100,000</w:t>
            </w:r>
          </w:p>
        </w:tc>
        <w:tc>
          <w:tcPr>
            <w:tcW w:w="180" w:type="dxa"/>
            <w:vAlign w:val="bottom"/>
            <w:shd w:val="clear" w:color="auto" w:fill="CCEEFF"/>
          </w:tcPr>
          <w:p>
            <w:pPr>
              <w:spacing w:after="0"/>
              <w:rPr>
                <w:sz w:val="20"/>
                <w:szCs w:val="20"/>
                <w:color w:val="auto"/>
              </w:rPr>
            </w:pP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17,645</w:t>
            </w: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(13,455)</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4,194</w:t>
            </w:r>
          </w:p>
        </w:tc>
        <w:tc>
          <w:tcPr>
            <w:tcW w:w="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4,392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CONDENSED CONSOLIDATED STATEMENTS OF CASH FLOWS (UNAUDITED)</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6"/>
          </w:tcPr>
          <w:p>
            <w:pPr>
              <w:jc w:val="right"/>
              <w:ind w:right="52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Net loss attributable to Agrify Corporation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(8,562)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Adjustments to reconcile net loss attributable to Agrify Corporation 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from disposal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Loss attributable to non- controlling interests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7"/>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Cash paid for business combination, net of cash acquired</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issuance of Preferred A Stock</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Minority interest in Valiant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PPP Loan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Payments of financing leases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notes payable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loan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16,670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24"/>
        </w:trPr>
        <w:tc>
          <w:tcPr>
            <w:tcW w:w="5600" w:type="dxa"/>
            <w:vAlign w:val="bottom"/>
            <w:gridSpan w:val="2"/>
          </w:tcPr>
          <w:p>
            <w:pPr>
              <w:spacing w:after="0"/>
              <w:rPr>
                <w:sz w:val="20"/>
                <w:szCs w:val="20"/>
                <w:color w:val="auto"/>
              </w:rPr>
            </w:pPr>
            <w:r>
              <w:rPr>
                <w:rFonts w:ascii="Arial" w:cs="Arial" w:eastAsia="Arial" w:hAnsi="Arial"/>
                <w:sz w:val="18"/>
                <w:szCs w:val="18"/>
                <w:color w:val="auto"/>
              </w:rPr>
              <w:t>Net increase in cash</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 Beginning of the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Cash – End of the period</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gridSpan w:val="2"/>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4,958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Supplemental disclosure of non-cash investing and financing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600" w:type="dxa"/>
            <w:vAlign w:val="bottom"/>
            <w:gridSpan w:val="2"/>
          </w:tcPr>
          <w:p>
            <w:pPr>
              <w:spacing w:after="0" w:line="201" w:lineRule="exact"/>
              <w:rPr>
                <w:sz w:val="20"/>
                <w:szCs w:val="20"/>
                <w:color w:val="auto"/>
              </w:rPr>
            </w:pPr>
            <w:r>
              <w:rPr>
                <w:rFonts w:ascii="Arial" w:cs="Arial" w:eastAsia="Arial" w:hAnsi="Arial"/>
                <w:sz w:val="18"/>
                <w:szCs w:val="18"/>
                <w:color w:val="auto"/>
                <w:w w:val="97"/>
              </w:rPr>
              <w:t>Warrants issued and recorded as debt discount in connection with notes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payable issuances</w:t>
            </w: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Bifurcated embedded conversion options recorded as derivative liabilities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debt discount</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Description of Business</w:t>
      </w:r>
    </w:p>
    <w:p>
      <w:pPr>
        <w:spacing w:after="0" w:line="148"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20" w:lineRule="exact"/>
        <w:rPr>
          <w:sz w:val="20"/>
          <w:szCs w:val="20"/>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The Company has two wholly owned subsidiaries, AGM Service Corp LLC and Ariafy Finance LLC; it holds 50% of Teejan Podponics International LLC (“TPI”) since December 2018 and it holds 60% of Agrify-Valiant, LLC, formed in December 2019.</w:t>
      </w:r>
    </w:p>
    <w:p>
      <w:pPr>
        <w:spacing w:after="0" w:line="116"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On January 22, 2020, the Company acquired TriGrow Systems, Inc. (“TriGrow”), which became a wholly-owned subsidiary of the Company. TriGrow was the sole distributor of the Company’s automated, micro-climate, precision controlled vertical farming units solution for indoor grow. As part of the acquisition of TriGrow, the Company received TriGrow’s 75% interest in Agrify Brands, LLC (formerly TriGrow Brands, LLC), an owner of a portfolio cannabis consumer brands.</w:t>
      </w:r>
    </w:p>
    <w:p>
      <w:pPr>
        <w:spacing w:after="0" w:line="107"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On July 21, 2020, the Company acquired all the outstanding shares of Harbor Mountain Holdings, LLC (“HMH”), located in the Atlanta, GA area, that has been producing and assembling many of the Company’s products.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Coronavirus pandemic (“COVID-19”)</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20"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To date, although all of the Company’s operations are operating, COVID-19 has caused some disruptions to the Company’s business. However, the extent to which COVID-19 and the related global economic crisis, affect the Company’s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The Company continues to service its customers amid uncertainty and disruption linked to COVID-19 and is actively managing its business to respond to the impact.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Preparation of Condensed Consolidated Financial Statements</w:t>
      </w:r>
    </w:p>
    <w:p>
      <w:pPr>
        <w:spacing w:after="0" w:line="148" w:lineRule="exact"/>
        <w:rPr>
          <w:sz w:val="20"/>
          <w:szCs w:val="20"/>
          <w:color w:val="auto"/>
        </w:rPr>
      </w:pPr>
    </w:p>
    <w:p>
      <w:pPr>
        <w:ind w:left="460" w:right="619" w:firstLine="432"/>
        <w:spacing w:after="0" w:line="287" w:lineRule="auto"/>
        <w:rPr>
          <w:sz w:val="20"/>
          <w:szCs w:val="20"/>
          <w:color w:val="auto"/>
        </w:rPr>
      </w:pPr>
      <w:r>
        <w:rPr>
          <w:rFonts w:ascii="Arial" w:cs="Arial" w:eastAsia="Arial" w:hAnsi="Arial"/>
          <w:sz w:val="16"/>
          <w:szCs w:val="16"/>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our Annual Report on Form 10-K for the year ended December 31, 2019 filed with the U.S. Securities and Exchange Commission (“SEC”), except for the recently adopted accounting pronouncements described below. The condensed consolidated statements of operations, stockholders’ equity, and cash flows for the periods ended September 30, 2020 and 2019, and the condensed consolidated balance sheet as of September 30, 2020, are not audited but reflect all adjustments that are of a normal recurring nature and that are considered necessary for a fair presentation of the results for the periods shown. The condensed consolidated balance sheet as of December 31, 2019 is derived from the audited consolidated financial statements presented in our Annual Report on Form 10-K for the year ended December 31, 2019. Certain information and disclosures normally included in annual consolidated financial statements have been omitted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19"/>
        <w:spacing w:after="0" w:line="296" w:lineRule="auto"/>
        <w:rPr>
          <w:sz w:val="20"/>
          <w:szCs w:val="20"/>
          <w:color w:val="auto"/>
        </w:rPr>
      </w:pPr>
      <w:r>
        <w:rPr>
          <w:rFonts w:ascii="Arial" w:cs="Arial" w:eastAsia="Arial" w:hAnsi="Arial"/>
          <w:sz w:val="16"/>
          <w:szCs w:val="16"/>
          <w:color w:val="auto"/>
        </w:rPr>
        <w:t>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our Annual Report on Form 10-K for the year ended December 31, 2019 filed with the SEC. The results for interim periods are not necessarily indicative of a full year’s results.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wholly-owned subsidiaries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accompanying condensed consolidated financial statements include the accounts of Agrify Inc. and its wholly owned subsidiaries, AGM Service Corp LLC (formerly AGM Service Corp Inc.), HMH, TriGrow Systems, Inc., Agriafy Finance LLC, and Agxiom LLC, in accordance with the provisions required by the Consolidation Topic 810 of the Financial Accounting Standards Board (“FASB”) Accounting Standards Codification (“ASC”). We include the results of operations of acquired companies from the date of acquisition. All significant intercompany transactions and balances are eliminated.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joint-venture subsidiary</w:t>
      </w:r>
    </w:p>
    <w:p>
      <w:pPr>
        <w:spacing w:after="0" w:line="148"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For the Company’s less than wholly owned subsidiaries, Agrify Valiant LLC, Agrify Brands, LLC and TPI, the Company first analyzes whether these entities are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100"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Based on the Company’s analysis for these entities, the Company has determined that Agrify Valiant LLC and Agrify Brands, LLC are each a VIE and that the Company is the primary beneficiary. While the Company owns 60% of Agrify Valiant LLC’s equity interests and 75% of Agrify Brands, LLC’s equity interests, the remaining equity interests in Agrify Valiant LLC and Agrify Brands, LLC are owned by unrelated third parties, and the agreement with these third parties provides the Company with greater voting rights. Accordingly, the Company consolidates the financial statements of Agrify Valiant LLC and Agrify Brands, LLC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These unaudited condensed consolidated financial statements are presented on the basis that the Company will continue as a going concern. The going concern concept contemplates the realization of assets and satisfaction of liabilities in the normal course of business. No adjustment has been made to the carrying amount and classification of the Company’s assets and the carrying amount of its liabilities based on the going concern uncertainty. As reflected in the accompanying unaudited condensed consolidated financial statements, the Company had a net loss attributable to Agrify Inc. common shareholders of $8,562 for the Nine months ended September 30, 2020. The net cash used in operating activities was $10,723 for the Nine months ended September 30, 2020.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Additionally, the Company had an accumulated deficit of $13,455 at September 30, 2020. These factors raise substantial doubt about the Company’s ability to continue as a going concern for a period of twelve months from the issuance date of this report. Management cannot provide assurance that the Company will ultimately achieve profitable operations or become cash flow positive, or raise additional debt and/or equity capital. The Company is seeking to raise capital through additional debt and/or equity financings to fund its operations in the future. Although the Company has historically raised capital from product sales and proceeds from sales of common and preferred shares (including proceeds from convertible debt, which converted into common stock), there is no assurance that it will be able to continue to do so. If the Company is unable to raise additional capital or secure additional lending in the near future, management expects that the Company will need to curtail its operations. These unaudited condensed consolidated financial statements do not include any adjustments related to the recoverability and classification of assets or the amounts and classification of liabilities that might be necessary should the Company be unable to continue as a going concern.</w:t>
      </w:r>
    </w:p>
    <w:p>
      <w:pPr>
        <w:spacing w:after="0" w:line="100"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Over the last several months the Company and its advisors have been evaluating numerous opportunities and relationships to increase shareholder value. The Company expects to realize revenue through its efforts, if successful, to sell wholesale and retail products to third parties. However, as the Company is in a start-up phase, in a new business venture, in a rapidly evolving industry, many of its costs and challenges are new and unknown. In order to fund the Company’s activities, the Company will need to raise additional capital either through the issuance of equity and/or the issuance of debt.</w:t>
      </w:r>
    </w:p>
    <w:p>
      <w:pPr>
        <w:spacing w:after="0" w:line="97"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During the first five months of 2020, the Company raised a total of $10,000 by issuing its Preferred A stock. On August 14, 2020, the Company’s Board of directors’ approved the issuance of (i) convertible promissory note (the “Notes”) in the aggregate of $5,000 and (ii) warrants to purchase a number of shares of Common Stock equal to 10% of the principal amount of Notes purchased by the Purchasers (please refer to note 18 for further details). On September 30, 2020, the Company’s Board of Directors approved the increase of the total aggregate amount of the Notes to $10,000 and on November 23, 2020 it increased to $13,500. The Company received an aggregate amount of $5,800 for the issuance of notes by September 30, 2020 and additional $7,300 by January 10, 2021.</w:t>
      </w:r>
    </w:p>
    <w:p>
      <w:pPr>
        <w:spacing w:after="0" w:line="124"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Subsidiaries, fiscal year ends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of September 30, 2020 and December 31, 2019.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Financial instruments that potentially subject the Company to concentration of credit risk primarily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consist of cash and accounts receivable. The Company places its cash with financial institutions in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United States. The cash balances are insured by the FDIC up to $250 per depositor with unlimited insurance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funds in noninterest-bearing transaction accounts through September 30, 2020. At times, the amounts in these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may exceed the federally insured limits.</w:t>
      </w:r>
    </w:p>
    <w:p>
      <w:pPr>
        <w:spacing w:after="0" w:line="143"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The Company has certain customers whose revenue individually represented 10% or more of the Company’s total revenue, or whose accounts receivable balances individually represent 10% or more of the Company’s total accounts receivable.</w:t>
      </w:r>
    </w:p>
    <w:p>
      <w:pPr>
        <w:spacing w:after="0" w:line="116"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For the Nine months ended September 30, 2020 and 2019, three customers accounted for 77.8% and two customers accounted for 98.8% (74.8% was TriGrow — then the sole distributor of Agrify) of revenue, respectively. At September 30, 2020, one customer accounted for 78.4% of accounts receivable (approximately 55% of that balance was paid subsequent to September 30,2020).</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The Company adopted Accounting Standards Update (“ASU”) No. 2016-02, Leases (“Topic 842”) effective January 1, 2019. Prior to the acquisition of HMH in July 2019, the Company had leases that were classified as short term leases per the standard. The acquisition of HMH in July 2020, included several financing leases and short term leases. The Company determines if an arrangement is a lease at inception and classifies its leases at commencement. Operating leases are included in operating lease right-of-use (“ROU”) assets and current and noncurrent operating lease liabilities on the Company’s condensed consolidated balance sheets. Finance leases are included in property and equipment, accrued expenses and other liabilities, and other noncurrent liabilities on the Company’s condensed consolidated balance sheets.</w:t>
      </w:r>
    </w:p>
    <w:p>
      <w:pPr>
        <w:spacing w:after="0" w:line="98" w:lineRule="exact"/>
        <w:rPr>
          <w:sz w:val="20"/>
          <w:szCs w:val="20"/>
          <w:color w:val="auto"/>
        </w:rPr>
      </w:pPr>
    </w:p>
    <w:p>
      <w:pPr>
        <w:ind w:left="460" w:right="839" w:firstLine="432"/>
        <w:spacing w:after="0" w:line="327" w:lineRule="auto"/>
        <w:rPr>
          <w:sz w:val="20"/>
          <w:szCs w:val="20"/>
          <w:color w:val="auto"/>
        </w:rPr>
      </w:pPr>
      <w:r>
        <w:rPr>
          <w:rFonts w:ascii="Arial" w:cs="Arial" w:eastAsia="Arial" w:hAnsi="Arial"/>
          <w:sz w:val="15"/>
          <w:szCs w:val="15"/>
          <w:color w:val="auto"/>
        </w:rPr>
        <w:t>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commencement date. The lease ROU asset is reduced for tenant incentives.</w:t>
      </w:r>
    </w:p>
    <w:p>
      <w:pPr>
        <w:spacing w:after="0" w:line="72"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Lease expenses for minimum lease payments for operating leases are recognized on a straight-line basis over the lease term. Amortization expense of the ROU asset for finance leases is recognized on a straight-line basis over the lease term and interest expense for finance leases is recognized based on the incremental borrowing rate.</w:t>
      </w:r>
    </w:p>
    <w:p>
      <w:pPr>
        <w:spacing w:after="0" w:line="106"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Company does not recognize ROU assets or lease liabilities for leases with a term of 12 months or less for any asset classes (short term leases).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Convertible Notes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Company evaluates its convertible instruments to determine if those contracts or embedded components of those contracts qualify as derivative financial instruments to be separately accounted for in accordance with Accounting Standards Codification Topic 815 of the FASB. The accounting treatment of derivative financial instruments requires that the Company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93" w:lineRule="auto"/>
        <w:rPr>
          <w:sz w:val="20"/>
          <w:szCs w:val="20"/>
          <w:color w:val="auto"/>
        </w:rPr>
      </w:pPr>
      <w:r>
        <w:rPr>
          <w:rFonts w:ascii="Arial" w:cs="Arial" w:eastAsia="Arial" w:hAnsi="Arial"/>
          <w:sz w:val="16"/>
          <w:szCs w:val="16"/>
          <w:color w:val="auto"/>
        </w:rPr>
        <w:t>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97"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If the instrument is determined to not be a derivative liability, the Company then evaluates for the existence of a beneficial conversion feature (“BCF”) by comparing the commitment date fair value to the effective conversion price of the instrument. The Company records a BCF as debt discount which is amortized to interest expense over the life of the respective note using the effective interest method. BCFs that are contingent upon the occurrence of a future event are recognized when the contingency is resolved.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94" w:lineRule="exact"/>
        <w:rPr>
          <w:sz w:val="20"/>
          <w:szCs w:val="20"/>
          <w:color w:val="auto"/>
        </w:rPr>
      </w:pPr>
    </w:p>
    <w:p>
      <w:pPr>
        <w:ind w:left="460" w:right="1519" w:firstLine="432"/>
        <w:spacing w:after="0" w:line="277" w:lineRule="auto"/>
        <w:rPr>
          <w:sz w:val="20"/>
          <w:szCs w:val="20"/>
          <w:color w:val="auto"/>
        </w:rPr>
      </w:pPr>
      <w:r>
        <w:rPr>
          <w:rFonts w:ascii="Arial" w:cs="Arial" w:eastAsia="Arial" w:hAnsi="Arial"/>
          <w:sz w:val="18"/>
          <w:szCs w:val="18"/>
          <w:color w:val="auto"/>
        </w:rPr>
        <w:t>We generate revenue from the following sources: (1) equipment sales, (2) services sales and (3) construction contracts.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sell our offering to customers under a combination of a contract and purchase order.</w:t>
      </w:r>
    </w:p>
    <w:p>
      <w:pPr>
        <w:spacing w:after="0" w:line="144"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13"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9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for other expenses, including materials, as incurred at rates agreed to in the contract. The Company uses one main sub-contractor to execute the construction contracts.</w:t>
      </w:r>
    </w:p>
    <w:p>
      <w:pPr>
        <w:spacing w:after="0" w:line="114"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98" w:lineRule="exact"/>
        <w:rPr>
          <w:sz w:val="20"/>
          <w:szCs w:val="20"/>
          <w:color w:val="auto"/>
        </w:rPr>
      </w:pPr>
    </w:p>
    <w:p>
      <w:pPr>
        <w:ind w:left="460" w:right="579" w:firstLine="432"/>
        <w:spacing w:after="0" w:line="308" w:lineRule="auto"/>
        <w:rPr>
          <w:sz w:val="20"/>
          <w:szCs w:val="20"/>
          <w:color w:val="auto"/>
        </w:rPr>
      </w:pPr>
      <w:r>
        <w:rPr>
          <w:rFonts w:ascii="Arial" w:cs="Arial" w:eastAsia="Arial" w:hAnsi="Arial"/>
          <w:sz w:val="17"/>
          <w:szCs w:val="17"/>
          <w:color w:val="auto"/>
        </w:rPr>
        <w:t>We enter contracts that can include various combinations of equipment, services and construction, which are generally capable of being distinct and accounted for as separate performance obligations.</w:t>
      </w:r>
    </w:p>
    <w:p>
      <w:pPr>
        <w:spacing w:after="0" w:line="65"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9"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In certain cases, the Company offers its customers extended payment terms for more than 12 months. The Company will consider contracts with such extended payment terms as contracts with a financing component, whether explicit or implicit. Accordingly, the Company imputes interest on such contracts at an agreed upon interest rate and will present the financing components separately as financial income. For the Nine months ended September 30, 2019 and 2020, the Company did not have any such financial income.</w:t>
      </w:r>
    </w:p>
    <w:p>
      <w:pPr>
        <w:spacing w:after="0" w:line="9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83"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w:t>
      </w:r>
    </w:p>
    <w:p>
      <w:pPr>
        <w:spacing w:after="0" w:line="144"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4,715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3,019</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7,734</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September 30, 2020, the Company has no product warranty accrual given the Company’s de minimis historical financial warranty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97"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September 30, 2020, and December 31, 2019, tax years 2016 through 2019 remain open for IRS audit. The Company has received no notice of audit from the IRS for any of the open tax years.</w:t>
      </w:r>
    </w:p>
    <w:p>
      <w:pPr>
        <w:spacing w:after="0" w:line="109"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2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As of January 1, 2018, the Company has no NOLs. There was no Federal income tax expense for the nine months ended September 30, 2020 and 2019 due to the Company’s net losses. The Company has not yet filed its 2018 and 2019 Federal and State tax returns.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Company expenses research and development costs as incurred. During the Nine months ended September 30, 2020, the Company expensed $739 related to development of hardware solution for deployment of rapid grow solution and additional costs of $107 related to research and development facility, there were no such costs in the Nine months ended September 30, 2019.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9" w:name="page150"/>
    <w:bookmarkEnd w:id="14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48"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In June 2016, the FASB issued Accounting Standard Update (“ASU”) No. 2016-13, Financial Instruments — Credit Losses (Topic 326) — Measurement of Credit Losses on Financial Instruments. This new standard requires entities to measure expected credit losses for certain financial assets held at the reporting date using a current expected credit loss model, which is based on historical experience, adjusted for current conditions and reasonable and supportable forecasts. The Company’s financial instruments within the scope of this guidance primarily includes accounts receivable. The adoption of ASU 2016-13 had no impact on the Company’s consolidated financial position.</w:t>
      </w:r>
    </w:p>
    <w:p>
      <w:pPr>
        <w:spacing w:after="0" w:line="110"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standard effective January 1, 2020, using a prospective approach. The adoption of this new standard did not have a material impact on the Company’s condensed consolidated financial statements. Subsequent impact will depend on the magnitude of implementation costs to be incurred. Implementation costs capitalized subsequent to adoption will be recognized in operating expenses in the statements of operations over the noncancelable period of the hosting arrangement plus any renewal periods reasonably certain to be taken.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Accounts Receivables</w:t>
      </w:r>
    </w:p>
    <w:p>
      <w:pPr>
        <w:spacing w:after="0" w:line="148"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September 30, 2020 and December 31, 2019 are $981 and $0, respectively. No allowance for doubtful accounts was deemed necessary as of September 30, 2020 and December 31, 2019. There was no bad debt expense for the Nine months ended September 30, 2020 and 2019,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Prepaid Expenses and Other Receivables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Prepaid Expenses and Other Receivables consisted of the following as of September 30, 2020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2019:</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2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2019</w:t>
            </w:r>
          </w:p>
        </w:tc>
      </w:tr>
      <w:tr>
        <w:trPr>
          <w:trHeight w:val="47"/>
        </w:trPr>
        <w:tc>
          <w:tcPr>
            <w:tcW w:w="284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Prepaid software</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
        </w:trPr>
        <w:tc>
          <w:tcPr>
            <w:tcW w:w="284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professional fees</w:t>
            </w:r>
          </w:p>
        </w:tc>
        <w:tc>
          <w:tcPr>
            <w:tcW w:w="2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6"/>
        </w:trPr>
        <w:tc>
          <w:tcPr>
            <w:tcW w:w="2840" w:type="dxa"/>
            <w:vAlign w:val="bottom"/>
          </w:tcPr>
          <w:p>
            <w:pPr>
              <w:spacing w:after="0"/>
              <w:rPr>
                <w:sz w:val="20"/>
                <w:szCs w:val="20"/>
                <w:color w:val="auto"/>
              </w:rPr>
            </w:pPr>
            <w:r>
              <w:rPr>
                <w:rFonts w:ascii="Arial" w:cs="Arial" w:eastAsia="Arial" w:hAnsi="Arial"/>
                <w:sz w:val="18"/>
                <w:szCs w:val="18"/>
                <w:color w:val="auto"/>
              </w:rPr>
              <w:t>Prepaid expenses</w:t>
            </w:r>
          </w:p>
        </w:tc>
        <w:tc>
          <w:tcPr>
            <w:tcW w:w="2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28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840" w:type="dxa"/>
            <w:vAlign w:val="bottom"/>
            <w:shd w:val="clear" w:color="auto" w:fill="CCEEFF"/>
          </w:tcPr>
          <w:p>
            <w:pPr>
              <w:spacing w:after="0"/>
              <w:rPr>
                <w:sz w:val="21"/>
                <w:szCs w:val="21"/>
                <w:color w:val="auto"/>
              </w:rPr>
            </w:pPr>
          </w:p>
        </w:tc>
        <w:tc>
          <w:tcPr>
            <w:tcW w:w="30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92"/>
        </w:trPr>
        <w:tc>
          <w:tcPr>
            <w:tcW w:w="28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right"/>
              <w:ind w:right="1555"/>
              <w:spacing w:after="0"/>
              <w:rPr>
                <w:sz w:val="20"/>
                <w:szCs w:val="20"/>
                <w:color w:val="auto"/>
              </w:rPr>
            </w:pPr>
            <w:r>
              <w:rPr>
                <w:rFonts w:ascii="Arial" w:cs="Arial" w:eastAsia="Arial" w:hAnsi="Arial"/>
                <w:sz w:val="18"/>
                <w:szCs w:val="18"/>
                <w:color w:val="auto"/>
              </w:rPr>
              <w:t>F-31</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50" w:name="page151"/>
    <w:bookmarkEnd w:id="15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Prepaid Inventory</w:t>
      </w:r>
    </w:p>
    <w:p>
      <w:pPr>
        <w:spacing w:after="0" w:line="14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As of September 30, 2020, and December 31, 2019, prepaid inventory were $3,902 and $2,481, respectively. The Company’s standard payment terms with suppliers require to make payments in advance of delivery of the Company’s products. The prepaid inventory are short-term, non-bearing interest that are applied to the purchase of products once it is delivered.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Property and Equipment, Net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Property and equipment, net consisted of the following as of September 30, 2020 and December 31, 2019:</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Machinery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1119" w:firstLine="432"/>
        <w:spacing w:after="0" w:line="277" w:lineRule="auto"/>
        <w:rPr>
          <w:sz w:val="20"/>
          <w:szCs w:val="20"/>
          <w:color w:val="auto"/>
        </w:rPr>
      </w:pPr>
      <w:r>
        <w:rPr>
          <w:rFonts w:ascii="Arial" w:cs="Arial" w:eastAsia="Arial" w:hAnsi="Arial"/>
          <w:sz w:val="18"/>
          <w:szCs w:val="18"/>
          <w:color w:val="auto"/>
        </w:rPr>
        <w:t>Depreciation expense for the Nine months ended September 30, 2020 and 2019 was $100 and $0,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Capitalized website costs, net</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Investments in the Company’s website are amortized over their estimated useful lives of 3 years. As of September 30, 2020 and December 31, 2019, amortizable website costs were $139 and $143, and accumulated amortization was $38 and $7, respectively. Amortization expense was $32 and $0 for the Nine months ended September 30, 2020 and 2019, respectively.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Intangible Assets and Goodwill</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breakdown of acquisition-related intangible assets as of September 30, 2020 was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Brand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Customer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Rights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relationships</w:t>
            </w:r>
          </w:p>
        </w:tc>
        <w:tc>
          <w:tcPr>
            <w:tcW w:w="2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2020</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Net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866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539" w:firstLine="432"/>
        <w:spacing w:after="0" w:line="277" w:lineRule="auto"/>
        <w:rPr>
          <w:sz w:val="20"/>
          <w:szCs w:val="20"/>
          <w:color w:val="auto"/>
        </w:rPr>
      </w:pPr>
      <w:r>
        <w:rPr>
          <w:rFonts w:ascii="Arial" w:cs="Arial" w:eastAsia="Arial" w:hAnsi="Arial"/>
          <w:sz w:val="18"/>
          <w:szCs w:val="18"/>
          <w:color w:val="auto"/>
        </w:rPr>
        <w:t>There were $0 acquisition related intangibles as of December 31, 2019. Amortization expenses amounted to $129 and $0 for the Nine months ended September 30, 2020 and 2019,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Intangible Assets and Goodwill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Estimated future amortization expense on finite-lived acquisition-related intangible assets is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6"/>
                <w:szCs w:val="16"/>
                <w:b w:val="1"/>
                <w:bCs w:val="1"/>
                <w:color w:val="auto"/>
              </w:rPr>
              <w:t>Amount</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(remainder of year)</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1,651</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1239" w:firstLine="432"/>
        <w:spacing w:after="0" w:line="277" w:lineRule="auto"/>
        <w:rPr>
          <w:sz w:val="20"/>
          <w:szCs w:val="20"/>
          <w:color w:val="auto"/>
        </w:rPr>
      </w:pPr>
      <w:r>
        <w:rPr>
          <w:rFonts w:ascii="Arial" w:cs="Arial" w:eastAsia="Arial" w:hAnsi="Arial"/>
          <w:sz w:val="18"/>
          <w:szCs w:val="18"/>
          <w:color w:val="auto"/>
        </w:rPr>
        <w:t>There was $238 goodwill activity since the acquisition date of January 22, 2020 (see note 11) to September 30, 2020.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Accrued Expenses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Accrued expenses consisted of the following as of September 30, 2020 and December 31, 2019:</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2"/>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related fees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costs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accrued expense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Business Combination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of TriGrow</w:t>
      </w:r>
    </w:p>
    <w:p>
      <w:pPr>
        <w:spacing w:after="0" w:line="148"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On January 22, 2020, the Company completed the acquisition of all outstanding shares of TriGrow. TriGrow is an integrator and distributor of the Company’s premium indoor grow solutions for the indoor controlled agriculture marketplace. As part of the acquisition, the Company received TriGrow’s 75% interest in Agrify Brands, LLC (formerly TriGrow Brands, LLC), a licensor and marketing supporter of established portfolio of consumer brands that utilize the Company’s growing technology. In consideration of TriGrow’s shares, the Company issued to TriGrow’s shareholders 595,552 shares of Agrify common stock. In addition, the closing conditions included the assumption of TriGrow’s outstanding obligation to invest $1,140 (the “Funding Amount”) in a form of a so called “profit interest” investment in CCI Finance, LLC (“CCI”). The Company satisfied this obligation and made payment of the Funding Amount on January 24, 2020 pursuant to a Profits Interest Agreement with CCI. Under the Profits Interest Agreement, in return for the Company’s investment of the Funding Amount, CCI is obligated to share with the Company 28.5% of the net revenue generated from its equipment lease agreement with its customer, payable at least annually by CCI to the Company. The revenue sharing percentage is reduced from 28.5% to 20% once the Company has received payments equalling an 18% Internal Rate of Return on the Funding Amount (the “Preferred Return”) prior to the fifth anniversary of the agreement. The revenue sharing terminates upon the later of five years, or the Company’s attainment of the Preferred Return. To date, no revenue has been generated and shared with the Company under this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2" w:name="page153"/>
    <w:bookmarkEnd w:id="15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As part of the acquisition of TriGrow, the Company made available 121,539 shares of its common stock for issuance to certain executives of TriGrow upon TriGrow’s and/or the Company’s receipt of $10 million of accumulative purchase orders for TriGrow and/or the Company’s equipment, products, and services, for the period from November 21, 2019 through June 30, 2020 as a result of the efforts of the TriGrow executives. Such common stock of the Company is to be distributed by the Company to certain executives of the surviving corporation responsible for achievement of such milestone, in the Company’s sole discretion. The Company concluded the earn-out, if materialized, will be considered as post combination services. Additionally, the Company concluded that the value associated with the earn out to be de minimis. No earn out was earned through June 30, 2020.</w:t>
      </w:r>
    </w:p>
    <w:p>
      <w:pPr>
        <w:spacing w:after="0" w:line="113"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The purchase price for this business combination was allocated to the tangible and intangible assets acquired and liabilities assumed based on their estimated fair values on the acquisition date, with the remaining unallocated purchase price recorded as goodwill. The fair value assigned to identifiable intangible assets acquired was determined primarily by using the income approach, which discounts expected future cash flows to present value using estimates and assumptions determined by the Company.</w:t>
      </w:r>
    </w:p>
    <w:p>
      <w:pPr>
        <w:spacing w:after="0" w:line="80"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Transaction and related costs, consisting primarily of professional fees, directly related to the acquisition, totalled $45 for the Nine months ended September 30, 2020. All transaction and related costs were expensed as incurred and are included in selling, general and administrative expenses.</w:t>
      </w:r>
    </w:p>
    <w:p>
      <w:pPr>
        <w:spacing w:after="0" w:line="116"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purchase price allocation for the business combination has been prepared on a preliminary basis and changes to the allocation may occur as additional information becomes available during the respective measurement period (up to one year from the acquisition date). Fair value still under review include values assigned to identifiable intangible assets and goodwill.</w:t>
      </w:r>
    </w:p>
    <w:p>
      <w:pPr>
        <w:spacing w:after="0" w:line="119"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1803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Purchase Price:</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Obligation to invest cash in profit interest</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consideration</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56"/>
        </w:trPr>
        <w:tc>
          <w:tcPr>
            <w:tcW w:w="68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assets, including cash acquired of $44:</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6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Identifiable intangible assets: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Brand rights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identifiable intangible assets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 allocation</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Brand rights and Customer relationships were assigned estimated useful lives of ten years and nine years, respectively, the weighted average of which is approximately 9.5 years.</w:t>
      </w:r>
    </w:p>
    <w:p>
      <w:pPr>
        <w:spacing w:after="0" w:line="103"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The amount of revenue of TriGrow included in the Company’s condensed consolidated statement of operations from the acquisition date of January 22, 2020 to September 30, 2020 was $4,000.</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3" w:name="page154"/>
    <w:bookmarkEnd w:id="15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Harbor Mountain Holdings, LLC</w:t>
      </w:r>
    </w:p>
    <w:p>
      <w:pPr>
        <w:spacing w:after="0" w:line="144"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In July 2020, the Company acquired all the outstanding shares of Harbor Mountain Holdings, LLC (“HMH”), located in the Atlanta, GA area, that has been producing and assembling many of the Company’s products. As part of the acquisition, the Company waived net receivable owed amounting to $214 and assumed lease liabilities for existing equipment and premises. As part of the acquisition of HMH, the Company may issue Agrify stock options or shares of Common Stock (at the Company’s discretion), at a value of up to $100 to an executive of HMH upon achievement of certain milestones from the acquisition date through March 31, 2021, as a result of the efforts of the HMH executive. The Company concluded the earn-out, if materialized, will be considered as post combination services. Additionally, the Company concluded that the value associated with the earn out to be de minimis. No earn out was earned through September 30, 2020.</w:t>
      </w:r>
    </w:p>
    <w:p>
      <w:pPr>
        <w:spacing w:after="0" w:line="99"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The purchase price for this business combination was allocated by management to the tangible and intangible assets acquired and liabilities assumed based on their book value which estimated their fair values on the acquisition date, with the remaining unallocated purchase price recorded as goodwill.</w:t>
      </w:r>
    </w:p>
    <w:p>
      <w:pPr>
        <w:spacing w:after="0" w:line="98"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Transaction and related costs, consisting primarily of professional fees, directly related to the acquisition, totalled $35 for the Nine months ended September 30, 2020. All transaction and related costs were expensed as incurred and are included in selling, general and administrative expenses.</w:t>
      </w:r>
    </w:p>
    <w:p>
      <w:pPr>
        <w:spacing w:after="0" w:line="103"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Components of Purchase Price:</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Waiver of net receivable owed to Agrify</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214</w:t>
            </w:r>
          </w:p>
        </w:tc>
        <w:tc>
          <w:tcPr>
            <w:tcW w:w="120" w:type="dxa"/>
            <w:vAlign w:val="bottom"/>
            <w:shd w:val="clear" w:color="auto" w:fill="CCEEFF"/>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assets (liabilities):</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21"/>
                <w:szCs w:val="21"/>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(23)</w:t>
            </w: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(649)</w:t>
            </w: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(liabilities):</w:t>
            </w:r>
          </w:p>
        </w:tc>
        <w:tc>
          <w:tcPr>
            <w:tcW w:w="4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gridSpan w:val="2"/>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4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4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purchase price allocation</w:t>
            </w: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1139" w:firstLine="432"/>
        <w:spacing w:after="0" w:line="308" w:lineRule="auto"/>
        <w:rPr>
          <w:sz w:val="20"/>
          <w:szCs w:val="20"/>
          <w:color w:val="auto"/>
        </w:rPr>
      </w:pPr>
      <w:r>
        <w:rPr>
          <w:rFonts w:ascii="Arial" w:cs="Arial" w:eastAsia="Arial" w:hAnsi="Arial"/>
          <w:sz w:val="17"/>
          <w:szCs w:val="17"/>
          <w:color w:val="auto"/>
        </w:rPr>
        <w:t>The amount of revenue of HMH included in the Company’s condensed consolidated statement of operations from the acquisition date of July 22, 2020 to September 30, 2020 was $0.</w:t>
      </w:r>
    </w:p>
    <w:p>
      <w:pPr>
        <w:spacing w:after="0" w:line="79" w:lineRule="exact"/>
        <w:rPr>
          <w:sz w:val="20"/>
          <w:szCs w:val="20"/>
          <w:color w:val="auto"/>
        </w:rPr>
      </w:pPr>
    </w:p>
    <w:p>
      <w:pPr>
        <w:ind w:left="460" w:right="739" w:firstLine="432"/>
        <w:spacing w:after="0" w:line="342" w:lineRule="auto"/>
        <w:rPr>
          <w:sz w:val="20"/>
          <w:szCs w:val="20"/>
          <w:color w:val="auto"/>
        </w:rPr>
      </w:pPr>
      <w:r>
        <w:rPr>
          <w:rFonts w:ascii="Arial" w:cs="Arial" w:eastAsia="Arial" w:hAnsi="Arial"/>
          <w:sz w:val="16"/>
          <w:szCs w:val="16"/>
          <w:color w:val="auto"/>
        </w:rPr>
        <w:t>The following pro forma financial information summarizes the combined results of operations for the Company, TriGrow and HMH, as though the acquisition of TriGrow and HMH occurred on January 1, 2019.</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4" w:name="page155"/>
    <w:bookmarkEnd w:id="15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unaudited pro forma financial information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5"/>
          </w:tcPr>
          <w:p>
            <w:pPr>
              <w:jc w:val="right"/>
              <w:ind w:right="87"/>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Pr>
          <w:p>
            <w:pPr>
              <w:spacing w:after="0"/>
              <w:rPr>
                <w:sz w:val="17"/>
                <w:szCs w:val="17"/>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247"/>
              <w:spacing w:after="0"/>
              <w:rPr>
                <w:sz w:val="20"/>
                <w:szCs w:val="20"/>
                <w:color w:val="auto"/>
              </w:rPr>
            </w:pPr>
            <w:r>
              <w:rPr>
                <w:rFonts w:ascii="Arial" w:cs="Arial" w:eastAsia="Arial" w:hAnsi="Arial"/>
                <w:sz w:val="16"/>
                <w:szCs w:val="16"/>
                <w:b w:val="1"/>
                <w:bCs w:val="1"/>
                <w:color w:val="auto"/>
                <w:w w:val="89"/>
              </w:rPr>
              <w:t>September 30,</w:t>
            </w:r>
          </w:p>
        </w:tc>
        <w:tc>
          <w:tcPr>
            <w:tcW w:w="440" w:type="dxa"/>
            <w:vAlign w:val="bottom"/>
          </w:tcPr>
          <w:p>
            <w:pPr>
              <w:spacing w:after="0"/>
              <w:rPr>
                <w:sz w:val="18"/>
                <w:szCs w:val="18"/>
                <w:color w:val="auto"/>
              </w:rPr>
            </w:pPr>
          </w:p>
        </w:tc>
      </w:tr>
      <w:tr>
        <w:trPr>
          <w:trHeight w:val="46"/>
        </w:trPr>
        <w:tc>
          <w:tcPr>
            <w:tcW w:w="5600" w:type="dxa"/>
            <w:vAlign w:val="bottom"/>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7,766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2,266</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Net loss before non-controlling interest</w:t>
            </w: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9,785</w:t>
            </w:r>
          </w:p>
        </w:tc>
        <w:tc>
          <w:tcPr>
            <w:tcW w:w="860" w:type="dxa"/>
            <w:vAlign w:val="bottom"/>
            <w:gridSpan w:val="2"/>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5,425</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860" w:type="dxa"/>
            <w:vAlign w:val="bottom"/>
            <w:tcBorders>
              <w:bottom w:val="single" w:sz="8" w:color="CCEEFF"/>
            </w:tcBorders>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9,720</w:t>
            </w:r>
          </w:p>
        </w:tc>
        <w:tc>
          <w:tcPr>
            <w:tcW w:w="860" w:type="dxa"/>
            <w:vAlign w:val="bottom"/>
            <w:gridSpan w:val="2"/>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5,362</w:t>
            </w:r>
          </w:p>
        </w:tc>
      </w:tr>
    </w:tbl>
    <w:p>
      <w:pPr>
        <w:spacing w:after="0" w:line="215"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11"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The pro forma financial information is for informational purposes only and is not indicative of the results of operations that would have been achieved if the acquisition had taken place on January 1, 2019.</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Method Investments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September 30, 2020 and December 31, 2019,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24"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The carrying value of the Company’s investment in TPI was $0 as of September 30, 2020 and December 31, 2019. The Company did not recognize revenue from TPI for the Nine months ended September 30, 2020 and 2019.</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Paycheck Protection Program Loan under the Coronavirus Aid, Relief, and Economic Security Act</w:t>
      </w:r>
    </w:p>
    <w:p>
      <w:pPr>
        <w:spacing w:after="0" w:line="156"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On May 7, 2020, the Company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Company received total proceeds of $779 from the unsecured PPP Loan. The PPP Loan is scheduled to mature on May 7, 2022 and has an interest rate of 1.00% per annum and is subject to the terms and conditions applicable to loans administered by the U.S. Small Business Administration under the CARES Act. The PPP Loan may be prepaid by the Company at any time prior to its maturity with no prepayment penalties.</w:t>
      </w:r>
    </w:p>
    <w:p>
      <w:pPr>
        <w:spacing w:after="0" w:line="12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the Company for certain eligible expenses, including payroll costs, rent payments on certain leases and certain qualified utility payments, provided that, among other things, at least 60% of the loan amount is used for eligible payroll costs,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5" w:name="page156"/>
    <w:bookmarkEnd w:id="15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54" w:right="513"/>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12 — Debt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73" w:lineRule="auto"/>
        <w:rPr>
          <w:sz w:val="20"/>
          <w:szCs w:val="20"/>
          <w:color w:val="auto"/>
        </w:rPr>
      </w:pPr>
      <w:r>
        <w:rPr>
          <w:rFonts w:ascii="Arial" w:cs="Arial" w:eastAsia="Arial" w:hAnsi="Arial"/>
          <w:sz w:val="17"/>
          <w:szCs w:val="17"/>
          <w:color w:val="auto"/>
        </w:rPr>
        <w:t>the employer maintaining or rehiring employees and maintaining salaries at certain level. In accordance with the requirements of the CARES Act and the PPP, the Company intends to use the proceeds from the PPP Loan primarily for payroll costs. There can be no assurance that the Company will be granted forgiveness of the PPP Loan in whole or in part. Assuming the principal amount is not forgiven, the payment schedule would consist of 18 monthly consecutive payments of $44 each, beginning December 7, 2020 with a final payment due on May 7, 2022 for all principal and accrued interest not yet paid.</w:t>
      </w:r>
    </w:p>
    <w:p>
      <w:pPr>
        <w:spacing w:after="0" w:line="110"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On July 27, 2020, Agrify Brands, LLC received a PPP Loan from Bank of America for a total proceeds of $44. The PPP Loan is scheduled to mature on July 27, 2022, has an interest rate of 1.00% per annum and is subject to the terms and conditions mentioned above.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Convertible Promissory Notes</w:t>
      </w:r>
    </w:p>
    <w:p>
      <w:pPr>
        <w:spacing w:after="0" w:line="148" w:lineRule="exact"/>
        <w:rPr>
          <w:sz w:val="20"/>
          <w:szCs w:val="20"/>
          <w:color w:val="auto"/>
        </w:rPr>
      </w:pPr>
    </w:p>
    <w:p>
      <w:pPr>
        <w:ind w:left="460" w:right="679" w:firstLine="432"/>
        <w:spacing w:after="0" w:line="269" w:lineRule="auto"/>
        <w:rPr>
          <w:sz w:val="20"/>
          <w:szCs w:val="20"/>
          <w:color w:val="auto"/>
        </w:rPr>
      </w:pPr>
      <w:r>
        <w:rPr>
          <w:rFonts w:ascii="Arial" w:cs="Arial" w:eastAsia="Arial" w:hAnsi="Arial"/>
          <w:sz w:val="17"/>
          <w:szCs w:val="17"/>
          <w:color w:val="auto"/>
        </w:rPr>
        <w:t>On August 14, 2020, the Company’s Board of Directors approved the issuance of (i) convertible promissory note (the “Notes”) in the aggregate of $5,000 with an initial maturity date of one year following issuance (which may be extended by the Company in its sole discretion for an additional one year, referred herein as the “Maturity Date Extension”), convertible at the option of the Company or the holder of the Notes upon an IPO or public listing into shares of the Company’s common stock (the “Common Stock”), and (ii) warrants (the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the Company).</w:t>
      </w:r>
    </w:p>
    <w:p>
      <w:pPr>
        <w:spacing w:after="0" w:line="118"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Solely in the event the Company determines to effectuate the Maturity Date Extension, the outstanding principal balance of the Notes shall bear interest, in arrears accruing as of the issuance date of this Note, at a rate per annum equal to eight percent (8%). Interest shall be computed on the basis of a 360-day year of twelve (12) 30-day months and shall be payable on the Maturity Date, as extended.</w:t>
      </w:r>
    </w:p>
    <w:p>
      <w:pPr>
        <w:spacing w:after="0" w:line="10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Immediately prior to the consummation of a public transaction, in which the Borrower is becoming a reporting issuer in the United States (the “Public Transaction”), the outstanding principal amount of the Notes together with all accrued and unpaid interest hereunder shall convert, at the option of the Company or the holder of the Notes, into a number of fully paid and non-assessable shares of Common Stock equal to the quotient of</w:t>
      </w:r>
    </w:p>
    <w:p>
      <w:pPr>
        <w:spacing w:after="0" w:line="1" w:lineRule="exact"/>
        <w:rPr>
          <w:sz w:val="20"/>
          <w:szCs w:val="20"/>
          <w:color w:val="auto"/>
        </w:rPr>
      </w:pPr>
    </w:p>
    <w:p>
      <w:pPr>
        <w:ind w:left="460" w:right="479" w:hanging="6"/>
        <w:spacing w:after="0" w:line="266" w:lineRule="auto"/>
        <w:tabs>
          <w:tab w:leader="none" w:pos="67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outstanding principal amount of the Notes together with all accrued and unpaid interest hereunder shall convert, at the option of the Company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the Conversion Price. The “Conversion Price” shall mean a price equal to the quotient of (i) the lesser of (x) $70 million and (y) 70% of the price per share issued in such Public Transaction multiplied by the total number of total outstanding shares of Common Stock immediately prior to the consummation of the Public Transaction on a fully diluted as-converted basis, divided by (ii) the number of total outstanding shares of Common Stock immediately prior to the consummation of the Public Transaction on a fully diluted as-converted basis; provided, however, in the event the closing of the Public Transaction does not occur by December 31, 2020, the Conversion Price shall be adjusted to equal the product of (a) the Conversion Price then in effect immediately prior to such adjustment and (b) 85%. In the event of a conversion upon Public Transaction, all shares of Common Stock issuable upon conversion of the Notes (at an assumed conversion price per share of $7.43, subject to adjustment pursuant to the terms of the Notes), all outstanding shares of Series A convertible preferred stock of the Company (at an assumed conversion price per share of $7.43, subject to adjustment pursuant to the terms of Series A convertible preferred stock), and the exercise and/or conversion of any other outstanding convertible securities and options shall be deemed to be outstanding (see additional information in Note 19).</w:t>
      </w:r>
    </w:p>
    <w:p>
      <w:pPr>
        <w:spacing w:after="0" w:line="109"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On September 30, 2020, the Company’s Board of Directors approved the increase of the total aggregate offering amount of the Notes to $10,000 and on November 23, 2020 it increased to $13,500.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13 — Convertible Promissory Notes </w:t>
      </w:r>
      <w:r>
        <w:rPr>
          <w:rFonts w:ascii="Arial" w:cs="Arial" w:eastAsia="Arial" w:hAnsi="Arial"/>
          <w:sz w:val="18"/>
          <w:szCs w:val="18"/>
          <w:color w:val="auto"/>
        </w:rPr>
        <w:t>(cont.)</w:t>
      </w:r>
    </w:p>
    <w:p>
      <w:pPr>
        <w:spacing w:after="0" w:line="189"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of September 30, 2020, a total of $5,800 of Notes and Warrants to purchase 366,670 shares of Common Stock were subscribed. Through September 30, 2020, the aggregate relative fair value of the Warrants of $1,362 was recorded as debt discount at issuance and is being amortized over the term of the respective Notes.</w:t>
      </w:r>
    </w:p>
    <w:p>
      <w:pPr>
        <w:spacing w:after="0" w:line="119"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During the nine months ended September 30, 2020, the Company determined that the Notes contained variable-share settlement features that represented derivative liabilities and contingent BCFs. The aggregate issuance date fair value of the variable-share settlement features was $1,160, which was recorded at issuance as a debt discount and is being amortized over the terms of the respective Notes. See Note 14 — Derivative Liabilities for additional details. During the nine months ended September 30, 2020, the contingently adjustable non-bifurcated, beneficial conversion features associated with the Notes were not resolved. Upon resolving such contingency the Company will estimate the intrinsic value of the beneficial conversion features based upon the difference between the fair value of the underlying common stock at the commitment date of the note transaction and the adjusted conversion price embedded in the convertible note.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 Derivative Liabilities</w:t>
      </w:r>
    </w:p>
    <w:p>
      <w:pPr>
        <w:spacing w:after="0" w:line="14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During the nine months ended September 30, 2020, the Company recorded Level 3 derivative liabilities that were measured at fair value at issuance in the aggregate amount of $1,160 related to the variable-share settlement features of certain convertible notes payable. See Note 13 — Convertible Promissory Notes for additional details. On September 30, 2020, the Company recomputed the fair value of the variable-share settlement features recorded as derivative liabilities to be $1,163. The loss on the change in fair value between the issuance date and September 30, 2020 was recorded to interest expense for the nine months ended September 30, 2020. The variable-share settlement feature was valued using a combination of a discounted cash flow and a Black-Scholes valuation technique. At issuance, the significant unobservable inputs used in the discounted cash flow were a discount rate of 20% and a probability of a Public Transaction occurring of 56%. The Black-Scholes assumptions were as follows: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0.14%</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term (years)</w:t>
            </w:r>
          </w:p>
        </w:tc>
        <w:tc>
          <w:tcPr>
            <w:tcW w:w="3060" w:type="dxa"/>
            <w:vAlign w:val="bottom"/>
          </w:tcPr>
          <w:p>
            <w:pPr>
              <w:jc w:val="right"/>
              <w:spacing w:after="0"/>
              <w:rPr>
                <w:sz w:val="20"/>
                <w:szCs w:val="20"/>
                <w:color w:val="auto"/>
              </w:rPr>
            </w:pPr>
            <w:r>
              <w:rPr>
                <w:rFonts w:ascii="Arial" w:cs="Arial" w:eastAsia="Arial" w:hAnsi="Arial"/>
                <w:sz w:val="18"/>
                <w:szCs w:val="18"/>
                <w:color w:val="auto"/>
              </w:rPr>
              <w:t>0.75</w:t>
            </w:r>
          </w:p>
        </w:tc>
        <w:tc>
          <w:tcPr>
            <w:tcW w:w="900" w:type="dxa"/>
            <w:vAlign w:val="bottom"/>
          </w:tcPr>
          <w:p>
            <w:pPr>
              <w:ind w:left="20"/>
              <w:spacing w:after="0"/>
              <w:rPr>
                <w:sz w:val="20"/>
                <w:szCs w:val="20"/>
                <w:color w:val="auto"/>
              </w:rPr>
            </w:pPr>
            <w:r>
              <w:rPr>
                <w:rFonts w:ascii="Arial" w:cs="Arial" w:eastAsia="Arial" w:hAnsi="Arial"/>
                <w:sz w:val="18"/>
                <w:szCs w:val="18"/>
                <w:color w:val="auto"/>
              </w:rPr>
              <w:t>– 1.75</w:t>
            </w:r>
          </w:p>
        </w:tc>
      </w:tr>
      <w:tr>
        <w:trPr>
          <w:trHeight w:val="40"/>
        </w:trPr>
        <w:tc>
          <w:tcPr>
            <w:tcW w:w="4140" w:type="dxa"/>
            <w:vAlign w:val="bottom"/>
          </w:tcPr>
          <w:p>
            <w:pPr>
              <w:spacing w:after="0"/>
              <w:rPr>
                <w:sz w:val="3"/>
                <w:szCs w:val="3"/>
                <w:color w:val="auto"/>
              </w:rPr>
            </w:pPr>
          </w:p>
        </w:tc>
        <w:tc>
          <w:tcPr>
            <w:tcW w:w="3960" w:type="dxa"/>
            <w:vAlign w:val="bottom"/>
            <w:gridSpan w:val="2"/>
          </w:tcPr>
          <w:p>
            <w:pPr>
              <w:spacing w:after="0"/>
              <w:rPr>
                <w:sz w:val="3"/>
                <w:szCs w:val="3"/>
                <w:color w:val="auto"/>
              </w:rPr>
            </w:pPr>
          </w:p>
        </w:tc>
      </w:t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6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40%</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dividend</w:t>
            </w:r>
          </w:p>
        </w:tc>
        <w:tc>
          <w:tcPr>
            <w:tcW w:w="3960" w:type="dxa"/>
            <w:vAlign w:val="bottom"/>
            <w:gridSpan w:val="2"/>
          </w:tcPr>
          <w:p>
            <w:pPr>
              <w:jc w:val="right"/>
              <w:ind w:right="51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As of September 30, 2020, the significant unobservable inputs used in the discounted cash flow were a discount rate of 20% and a probability of Public Transaction occurring of 56%. The Black-Scholes assumptions were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0.13%</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term (years)</w:t>
            </w:r>
          </w:p>
        </w:tc>
        <w:tc>
          <w:tcPr>
            <w:tcW w:w="3060" w:type="dxa"/>
            <w:vAlign w:val="bottom"/>
          </w:tcPr>
          <w:p>
            <w:pPr>
              <w:jc w:val="right"/>
              <w:spacing w:after="0"/>
              <w:rPr>
                <w:sz w:val="20"/>
                <w:szCs w:val="20"/>
                <w:color w:val="auto"/>
              </w:rPr>
            </w:pPr>
            <w:r>
              <w:rPr>
                <w:rFonts w:ascii="Arial" w:cs="Arial" w:eastAsia="Arial" w:hAnsi="Arial"/>
                <w:sz w:val="18"/>
                <w:szCs w:val="18"/>
                <w:color w:val="auto"/>
              </w:rPr>
              <w:t>0.71</w:t>
            </w:r>
          </w:p>
        </w:tc>
        <w:tc>
          <w:tcPr>
            <w:tcW w:w="900" w:type="dxa"/>
            <w:vAlign w:val="bottom"/>
          </w:tcPr>
          <w:p>
            <w:pPr>
              <w:ind w:left="20"/>
              <w:spacing w:after="0"/>
              <w:rPr>
                <w:sz w:val="20"/>
                <w:szCs w:val="20"/>
                <w:color w:val="auto"/>
              </w:rPr>
            </w:pPr>
            <w:r>
              <w:rPr>
                <w:rFonts w:ascii="Arial" w:cs="Arial" w:eastAsia="Arial" w:hAnsi="Arial"/>
                <w:sz w:val="18"/>
                <w:szCs w:val="18"/>
                <w:color w:val="auto"/>
              </w:rPr>
              <w:t>– 1.71</w:t>
            </w:r>
          </w:p>
        </w:tc>
      </w:tr>
      <w:tr>
        <w:trPr>
          <w:trHeight w:val="40"/>
        </w:trPr>
        <w:tc>
          <w:tcPr>
            <w:tcW w:w="4140" w:type="dxa"/>
            <w:vAlign w:val="bottom"/>
          </w:tcPr>
          <w:p>
            <w:pPr>
              <w:spacing w:after="0"/>
              <w:rPr>
                <w:sz w:val="3"/>
                <w:szCs w:val="3"/>
                <w:color w:val="auto"/>
              </w:rPr>
            </w:pPr>
          </w:p>
        </w:tc>
        <w:tc>
          <w:tcPr>
            <w:tcW w:w="3960" w:type="dxa"/>
            <w:vAlign w:val="bottom"/>
            <w:gridSpan w:val="2"/>
          </w:tcPr>
          <w:p>
            <w:pPr>
              <w:spacing w:after="0"/>
              <w:rPr>
                <w:sz w:val="3"/>
                <w:szCs w:val="3"/>
                <w:color w:val="auto"/>
              </w:rPr>
            </w:pPr>
          </w:p>
        </w:tc>
      </w:t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6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40%</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dividend</w:t>
            </w:r>
          </w:p>
        </w:tc>
        <w:tc>
          <w:tcPr>
            <w:tcW w:w="3960" w:type="dxa"/>
            <w:vAlign w:val="bottom"/>
            <w:gridSpan w:val="2"/>
          </w:tcPr>
          <w:p>
            <w:pPr>
              <w:jc w:val="right"/>
              <w:ind w:right="510"/>
              <w:spacing w:after="0"/>
              <w:rPr>
                <w:sz w:val="20"/>
                <w:szCs w:val="20"/>
                <w:color w:val="auto"/>
              </w:rPr>
            </w:pPr>
            <w:r>
              <w:rPr>
                <w:rFonts w:ascii="Arial" w:cs="Arial" w:eastAsia="Arial" w:hAnsi="Arial"/>
                <w:sz w:val="18"/>
                <w:szCs w:val="18"/>
                <w:color w:val="auto"/>
              </w:rPr>
              <w:t>0.00%</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15 — Capital Structure</w:t>
      </w:r>
    </w:p>
    <w:p>
      <w:pPr>
        <w:spacing w:after="0" w:line="162"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On January 9, 2020, the Company increased its authorized number of shares to 53,000,000, consisting of: 50,000,000 shares of common stock, par value $0.001 per share and 3,000,000 shares of preferred stock, par value $0.001 per share. At that time, it also designated 100,000 shares of the 3,000,000 authorized shares of preferred stock, par value $0.001 per share, as Series A Convertible Preferred Stock (“Series A”).</w:t>
      </w:r>
    </w:p>
    <w:p>
      <w:pPr>
        <w:spacing w:after="0" w:line="90"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During the first quarter of 2020, the Company issued an aggregate of 60,000 shares of Series A for an aggregate purchase price of $6,000. Contemporaneously with the issuance of Series A, the Company and each respective investor entered into a Registration Rights Agreement and Subscription Agreement whereby the Company has agreed to use its commercially reasonably efforts as soon as reasonably practical to register such shares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499"/>
        <w:spacing w:after="0" w:line="286" w:lineRule="auto"/>
        <w:rPr>
          <w:sz w:val="20"/>
          <w:szCs w:val="20"/>
          <w:color w:val="auto"/>
        </w:rPr>
      </w:pPr>
      <w:r>
        <w:rPr>
          <w:rFonts w:ascii="Arial" w:cs="Arial" w:eastAsia="Arial" w:hAnsi="Arial"/>
          <w:sz w:val="17"/>
          <w:szCs w:val="17"/>
          <w:color w:val="auto"/>
        </w:rPr>
        <w:t>common stock issuable upon conversion of the Series A pursuant to a registration statement and each respective investor agreed that it will lock-up any preferred stock or common stock held immediately prior to the effectiveness of the registration statement for the Company’s IPO for 180 days.</w:t>
      </w:r>
    </w:p>
    <w:p>
      <w:pPr>
        <w:spacing w:after="0" w:line="98"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On March 19, 2020, the Company increased the number of shares designated as Series A from 100,000 shares to 105,000 shares.</w:t>
      </w:r>
    </w:p>
    <w:p>
      <w:pPr>
        <w:spacing w:after="0" w:line="76"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Series A is senior to any shares of common stock of the Company par value $0.001 per share (the “common stock”), and each other class or series of capital stock of the Company hereafter created (together with the common stock, the “Junior Stock”) Holders of Series A stock are entitled to receive, in preference to any dividend paid or declared and set aside for any junior stock, dividend at per share price equal to the Series A original issue price at an annual rate equal to 7% compounded annually. Series A Stock holder will be entitled to cast the number of votes, rounded down to the nearest whole number, equal to the number of votes that would be attributable to the shares of common stock issuable upon conversion of such shares of Series A, assuming conversion on the date applicable to the vote. In the event of a liquidation, dissolution or winding up of the Company, each share of Series A will be entitled to a payment as set forth in the Company’s Certificate of Designation. The Series A is convertible, at any time after issuance, into common stock of the Company at the election of the holder into an amount of shares equal to (i) the product of the Series A original price plus unpaid dividends on the shares being converted, multiplied by the number of Series A shares being converted, divided by (ii) a conversion price of $7.43 per share ($70M divided by 9,420,288), subject to adjustment (see additional information in Note 19).</w:t>
      </w:r>
    </w:p>
    <w:p>
      <w:pPr>
        <w:spacing w:after="0" w:line="117"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In May 2020, the Company issued 4,000 Series A Convertible Preferred Stock, $0.001 par value, for total consideration of $4,000.</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Subscriptions Receivable</w:t>
      </w:r>
    </w:p>
    <w:p>
      <w:pPr>
        <w:spacing w:after="0" w:line="162"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In June 2019, the Company issued and sold 1,289,667 shares of common stock to an investor at a purchase price of $3.10 per share for gross proceeds of $4,000 of which only $3,000 were received in cash by September 30, 2019.</w:t>
      </w:r>
    </w:p>
    <w:p>
      <w:pPr>
        <w:spacing w:after="0" w:line="116"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At December 31, 2019, the Company recorded a stock subscription receivable in the amount of $40. The Stock subscription receivable is in connection with the issuance of common stock in September 2019 and represents 12,902 shares of common stock. The outstanding balance of stock subscription was paid during January 2020.</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 Plan</w:t>
      </w:r>
    </w:p>
    <w:p>
      <w:pPr>
        <w:spacing w:after="0" w:line="148" w:lineRule="exact"/>
        <w:rPr>
          <w:sz w:val="20"/>
          <w:szCs w:val="20"/>
          <w:color w:val="auto"/>
        </w:rPr>
      </w:pPr>
    </w:p>
    <w:p>
      <w:pPr>
        <w:ind w:left="460" w:right="639" w:firstLine="432"/>
        <w:spacing w:after="0" w:line="275" w:lineRule="auto"/>
        <w:rPr>
          <w:sz w:val="20"/>
          <w:szCs w:val="20"/>
          <w:color w:val="auto"/>
        </w:rPr>
      </w:pPr>
      <w:r>
        <w:rPr>
          <w:rFonts w:ascii="Arial" w:cs="Arial" w:eastAsia="Arial" w:hAnsi="Arial"/>
          <w:sz w:val="17"/>
          <w:szCs w:val="17"/>
          <w:color w:val="auto"/>
        </w:rPr>
        <w:t>On June 4, 2019, the Company adopted its 2019 Stock Option Plan allowing the issuance of 1,743,744 shares. On August 10, 2020, the Company’s Board of Director approved to increase the maximum number of shares of Common Stock authorized for issuance over the term of the 2019 Stock Option Plan from 1,743,744 shares to 3,355,083 shares, subject to and effective upon the effectiveness of the Amendment. On October 8, 2020, the amendment was approved by the Company’s shareholders.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December 2019, the Company granted 493,102 options to various employees and consultants.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May 2020, the Company cancelled all the options that were granted in December 2019.</w:t>
      </w:r>
    </w:p>
    <w:p>
      <w:pPr>
        <w:spacing w:after="0" w:line="144"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During May 2020, the Company granted to its employees, directors and officers 473,588 options to purchase shares of common stock. 379,770 of the options will expire 10 years from the date of grant and have an exercise price per share of $2.28 and 93,818 of the options will expire 5 years from the date of grant and have an exercise price per share of $2.50. 281,522 of the options were fully vested on the grant date and the remaining stock options vest in equal monthly installments monthly over 24 months thereafter. In addition, the Company granted its employees, directors and officers 1,149,131 options to purchase shares of common stock. 988,320 of the options will expire 10 years from the date of grant and have an exercise price per share of $2.28 and 160,811 options will expire 5 years from the date of grant and have an exercise price per share of $2.50. 25% of the options vest 12 months following issuance and the balance vests in 36 equal monthly installments thereafter.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8" w:name="page159"/>
    <w:bookmarkEnd w:id="15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On July 20, 2020, the Company granted to its employees, directors and officers 211,113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11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 August 10, 2020, the Company’s Board of Directors approved grants to its directors of 15,362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106"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On August 10, 2020, the Company’s Board of Directors approved to increase the maximum number of shares of Common Stock authorized for issuance over the term of the 2019 Stock Option Plan from 1,743,744 shares to 3,355,083 shares, subject to and effective upon the effectiveness of the Amendment. On October 8, 2020, the amendment was approved by the Company’s shareholders.</w:t>
      </w:r>
    </w:p>
    <w:p>
      <w:pPr>
        <w:spacing w:after="0" w:line="104" w:lineRule="exact"/>
        <w:rPr>
          <w:sz w:val="20"/>
          <w:szCs w:val="20"/>
          <w:color w:val="auto"/>
        </w:rPr>
      </w:pPr>
    </w:p>
    <w:p>
      <w:pPr>
        <w:ind w:left="460" w:right="859" w:firstLine="432"/>
        <w:spacing w:after="0" w:line="342" w:lineRule="auto"/>
        <w:rPr>
          <w:sz w:val="20"/>
          <w:szCs w:val="20"/>
          <w:color w:val="auto"/>
        </w:rPr>
      </w:pPr>
      <w:r>
        <w:rPr>
          <w:rFonts w:ascii="Arial" w:cs="Arial" w:eastAsia="Arial" w:hAnsi="Arial"/>
          <w:sz w:val="16"/>
          <w:szCs w:val="16"/>
          <w:color w:val="auto"/>
        </w:rPr>
        <w:t>Stock options that were granted during fiscal year 2020 have several vesting conditions, including an event-based vesting acceleration (defined as a change in control, including an initial public offering).</w:t>
      </w:r>
    </w:p>
    <w:p>
      <w:pPr>
        <w:spacing w:after="0" w:line="56"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The Company’s stock option compensation expense was $803 and $0 for the Nine months ended September 30, 2020 and 2019, respectively, and there was $2,036 of total unrecognized compensation cost related to unvested options granted under the Company’s options plans as of September 30, 2020. This stock option expense will be recognized through September 2030.</w:t>
      </w:r>
    </w:p>
    <w:p>
      <w:pPr>
        <w:spacing w:after="0" w:line="10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As of September 30, 2020, there were 1,664,230 shares available to be granted under the Company’s 2019 Stock Option Plan.</w:t>
      </w:r>
    </w:p>
    <w:p>
      <w:pPr>
        <w:spacing w:after="0" w:line="103" w:lineRule="exact"/>
        <w:rPr>
          <w:sz w:val="20"/>
          <w:szCs w:val="20"/>
          <w:color w:val="auto"/>
        </w:rPr>
      </w:pPr>
    </w:p>
    <w:p>
      <w:pPr>
        <w:ind w:left="460" w:right="559" w:firstLine="432"/>
        <w:spacing w:after="0" w:line="342" w:lineRule="auto"/>
        <w:rPr>
          <w:sz w:val="20"/>
          <w:szCs w:val="20"/>
          <w:color w:val="auto"/>
        </w:rPr>
      </w:pPr>
      <w:r>
        <w:rPr>
          <w:rFonts w:ascii="Arial" w:cs="Arial" w:eastAsia="Arial" w:hAnsi="Arial"/>
          <w:sz w:val="16"/>
          <w:szCs w:val="16"/>
          <w:color w:val="auto"/>
        </w:rPr>
        <w:t>The following table presents option activity under the Company’s stock option plans for the Nine months ended September 30, 2020 (no outstanding options for the three months ended September 30, 2019):</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Weighted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exercise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price</w:t>
            </w:r>
          </w:p>
        </w:tc>
        <w:tc>
          <w:tcPr>
            <w:tcW w:w="120" w:type="dxa"/>
            <w:vAlign w:val="bottom"/>
          </w:tcPr>
          <w:p>
            <w:pPr>
              <w:spacing w:after="0"/>
              <w:rPr>
                <w:sz w:val="18"/>
                <w:szCs w:val="18"/>
                <w:color w:val="auto"/>
              </w:rPr>
            </w:pPr>
          </w:p>
        </w:tc>
        <w:tc>
          <w:tcPr>
            <w:tcW w:w="940" w:type="dxa"/>
            <w:vAlign w:val="bottom"/>
          </w:tcPr>
          <w:p>
            <w:pPr>
              <w:jc w:val="center"/>
              <w:ind w:right="35"/>
              <w:spacing w:after="0"/>
              <w:rPr>
                <w:sz w:val="20"/>
                <w:szCs w:val="20"/>
                <w:color w:val="auto"/>
              </w:rPr>
            </w:pPr>
            <w:r>
              <w:rPr>
                <w:rFonts w:ascii="Arial" w:cs="Arial" w:eastAsia="Arial" w:hAnsi="Arial"/>
                <w:sz w:val="16"/>
                <w:szCs w:val="16"/>
                <w:b w:val="1"/>
                <w:bCs w:val="1"/>
                <w:color w:val="auto"/>
                <w:w w:val="92"/>
              </w:rPr>
              <w:t>value</w:t>
            </w:r>
          </w:p>
        </w:tc>
        <w:tc>
          <w:tcPr>
            <w:tcW w:w="0" w:type="dxa"/>
            <w:vAlign w:val="bottom"/>
          </w:tcPr>
          <w:p>
            <w:pPr>
              <w:spacing w:after="0"/>
              <w:rPr>
                <w:sz w:val="1"/>
                <w:szCs w:val="1"/>
                <w:color w:val="auto"/>
              </w:rPr>
            </w:pPr>
          </w:p>
        </w:tc>
      </w:tr>
      <w:tr>
        <w:trPr>
          <w:trHeight w:val="47"/>
        </w:trPr>
        <w:tc>
          <w:tcPr>
            <w:tcW w:w="50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2020</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493,102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1,849,194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(495,155)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Expired</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(156,289)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Options outstanding at September 30, 2020</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ind w:left="7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line="20" w:lineRule="exact"/>
              <w:rPr>
                <w:sz w:val="1"/>
                <w:szCs w:val="1"/>
                <w:color w:val="auto"/>
              </w:rPr>
            </w:pPr>
          </w:p>
        </w:tc>
      </w:tr>
      <w:tr>
        <w:trPr>
          <w:trHeight w:val="283"/>
        </w:trPr>
        <w:tc>
          <w:tcPr>
            <w:tcW w:w="5000" w:type="dxa"/>
            <w:vAlign w:val="bottom"/>
            <w:vMerge w:val="continue"/>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1,690,852</w:t>
            </w:r>
          </w:p>
        </w:tc>
        <w:tc>
          <w:tcPr>
            <w:tcW w:w="100" w:type="dxa"/>
            <w:vAlign w:val="bottom"/>
          </w:tcPr>
          <w:p>
            <w:pPr>
              <w:spacing w:after="0"/>
              <w:rPr>
                <w:sz w:val="24"/>
                <w:szCs w:val="24"/>
                <w:color w:val="auto"/>
              </w:rPr>
            </w:pPr>
          </w:p>
        </w:tc>
        <w:tc>
          <w:tcPr>
            <w:tcW w:w="100" w:type="dxa"/>
            <w:vAlign w:val="bottom"/>
            <w:vMerge w:val="continue"/>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Options vested and exercisable as of September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bottom w:val="single" w:sz="8" w:color="CCEEFF"/>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Weighted average fair value of options granted in 2020</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information about options vested and exercisable at September 30, 2020:</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4"/>
          </w:tcPr>
          <w:p>
            <w:pPr>
              <w:jc w:val="right"/>
              <w:ind w:right="90"/>
              <w:spacing w:after="0"/>
              <w:rPr>
                <w:sz w:val="20"/>
                <w:szCs w:val="20"/>
                <w:color w:val="auto"/>
              </w:rPr>
            </w:pPr>
            <w:r>
              <w:rPr>
                <w:rFonts w:ascii="Arial" w:cs="Arial" w:eastAsia="Arial" w:hAnsi="Arial"/>
                <w:sz w:val="16"/>
                <w:szCs w:val="16"/>
                <w:b w:val="1"/>
                <w:bCs w:val="1"/>
                <w:color w:val="auto"/>
                <w:w w:val="89"/>
              </w:rPr>
              <w:t>Options vested and exercisable</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360" w:type="dxa"/>
            <w:vAlign w:val="bottom"/>
            <w:vMerge w:val="restart"/>
          </w:tcPr>
          <w:p>
            <w:pPr>
              <w:jc w:val="center"/>
              <w:ind w:left="402"/>
              <w:spacing w:after="0"/>
              <w:rPr>
                <w:sz w:val="20"/>
                <w:szCs w:val="20"/>
                <w:color w:val="auto"/>
              </w:rPr>
            </w:pPr>
            <w:r>
              <w:rPr>
                <w:rFonts w:ascii="Arial" w:cs="Arial" w:eastAsia="Arial" w:hAnsi="Arial"/>
                <w:sz w:val="16"/>
                <w:szCs w:val="16"/>
                <w:b w:val="1"/>
                <w:bCs w:val="1"/>
                <w:color w:val="auto"/>
                <w:w w:val="89"/>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left="462"/>
              <w:spacing w:after="0"/>
              <w:rPr>
                <w:sz w:val="20"/>
                <w:szCs w:val="20"/>
                <w:color w:val="auto"/>
              </w:rPr>
            </w:pPr>
            <w:r>
              <w:rPr>
                <w:rFonts w:ascii="Arial" w:cs="Arial" w:eastAsia="Arial" w:hAnsi="Arial"/>
                <w:sz w:val="16"/>
                <w:szCs w:val="16"/>
                <w:b w:val="1"/>
                <w:bCs w:val="1"/>
                <w:color w:val="auto"/>
                <w:w w:val="88"/>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left="235"/>
              <w:spacing w:after="0"/>
              <w:rPr>
                <w:sz w:val="20"/>
                <w:szCs w:val="20"/>
                <w:color w:val="auto"/>
              </w:rPr>
            </w:pPr>
            <w:r>
              <w:rPr>
                <w:rFonts w:ascii="Arial" w:cs="Arial" w:eastAsia="Arial" w:hAnsi="Arial"/>
                <w:sz w:val="16"/>
                <w:szCs w:val="16"/>
                <w:b w:val="1"/>
                <w:bCs w:val="1"/>
                <w:color w:val="auto"/>
                <w:w w:val="94"/>
              </w:rPr>
              <w:t>Number of</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c>
          <w:tcPr>
            <w:tcW w:w="0" w:type="dxa"/>
            <w:vAlign w:val="bottom"/>
          </w:tcPr>
          <w:p>
            <w:pPr>
              <w:spacing w:after="0"/>
              <w:rPr>
                <w:sz w:val="1"/>
                <w:szCs w:val="1"/>
                <w:color w:val="auto"/>
              </w:rPr>
            </w:pPr>
          </w:p>
        </w:tc>
      </w:tr>
      <w:tr>
        <w:trPr>
          <w:trHeight w:val="210"/>
        </w:trPr>
        <w:tc>
          <w:tcPr>
            <w:tcW w:w="1360" w:type="dxa"/>
            <w:vAlign w:val="bottom"/>
          </w:tcPr>
          <w:p>
            <w:pPr>
              <w:jc w:val="center"/>
              <w:ind w:left="462"/>
              <w:spacing w:after="0"/>
              <w:rPr>
                <w:sz w:val="20"/>
                <w:szCs w:val="20"/>
                <w:color w:val="auto"/>
              </w:rPr>
            </w:pPr>
            <w:r>
              <w:rPr>
                <w:rFonts w:ascii="Arial" w:cs="Arial" w:eastAsia="Arial" w:hAnsi="Arial"/>
                <w:sz w:val="16"/>
                <w:szCs w:val="16"/>
                <w:b w:val="1"/>
                <w:bCs w:val="1"/>
                <w:color w:val="auto"/>
                <w:w w:val="91"/>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left="275"/>
              <w:spacing w:after="0"/>
              <w:rPr>
                <w:sz w:val="20"/>
                <w:szCs w:val="20"/>
                <w:color w:val="auto"/>
              </w:rPr>
            </w:pPr>
            <w:r>
              <w:rPr>
                <w:rFonts w:ascii="Arial" w:cs="Arial" w:eastAsia="Arial" w:hAnsi="Arial"/>
                <w:sz w:val="16"/>
                <w:szCs w:val="16"/>
                <w:b w:val="1"/>
                <w:bCs w:val="1"/>
                <w:color w:val="auto"/>
                <w:w w:val="89"/>
              </w:rPr>
              <w:t>options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47"/>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shd w:val="clear" w:color="auto" w:fill="CCEEFF"/>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1,436,224</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1360" w:type="dxa"/>
            <w:vAlign w:val="bottom"/>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560" w:type="dxa"/>
            <w:vAlign w:val="bottom"/>
          </w:tcPr>
          <w:p>
            <w:pPr>
              <w:jc w:val="right"/>
              <w:ind w:right="215"/>
              <w:spacing w:after="0"/>
              <w:rPr>
                <w:sz w:val="20"/>
                <w:szCs w:val="20"/>
                <w:color w:val="auto"/>
              </w:rPr>
            </w:pPr>
            <w:r>
              <w:rPr>
                <w:rFonts w:ascii="Arial" w:cs="Arial" w:eastAsia="Arial" w:hAnsi="Arial"/>
                <w:sz w:val="18"/>
                <w:szCs w:val="18"/>
                <w:color w:val="auto"/>
              </w:rPr>
              <w:t>254,628</w:t>
            </w:r>
          </w:p>
        </w:tc>
        <w:tc>
          <w:tcPr>
            <w:tcW w:w="2360" w:type="dxa"/>
            <w:vAlign w:val="bottom"/>
            <w:gridSpan w:val="3"/>
          </w:tcPr>
          <w:p>
            <w:pPr>
              <w:jc w:val="center"/>
              <w:ind w:left="370"/>
              <w:spacing w:after="0"/>
              <w:rPr>
                <w:sz w:val="20"/>
                <w:szCs w:val="20"/>
                <w:color w:val="auto"/>
              </w:rPr>
            </w:pPr>
            <w:r>
              <w:rPr>
                <w:rFonts w:ascii="Arial" w:cs="Arial" w:eastAsia="Arial" w:hAnsi="Arial"/>
                <w:sz w:val="18"/>
                <w:szCs w:val="18"/>
                <w:color w:val="auto"/>
                <w:w w:val="87"/>
              </w:rPr>
              <w:t>6.4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F-40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Capital Structure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information about options expected to vest after September 30, 2020:</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Arial" w:cs="Arial" w:eastAsia="Arial" w:hAnsi="Arial"/>
                <w:sz w:val="16"/>
                <w:szCs w:val="16"/>
                <w:b w:val="1"/>
                <w:bCs w:val="1"/>
                <w:color w:val="auto"/>
                <w:w w:val="90"/>
              </w:rPr>
              <w:t>Options expected to vest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360" w:type="dxa"/>
            <w:vAlign w:val="bottom"/>
            <w:vMerge w:val="restart"/>
          </w:tcPr>
          <w:p>
            <w:pPr>
              <w:jc w:val="center"/>
              <w:ind w:left="402"/>
              <w:spacing w:after="0"/>
              <w:rPr>
                <w:sz w:val="20"/>
                <w:szCs w:val="20"/>
                <w:color w:val="auto"/>
              </w:rPr>
            </w:pPr>
            <w:r>
              <w:rPr>
                <w:rFonts w:ascii="Arial" w:cs="Arial" w:eastAsia="Arial" w:hAnsi="Arial"/>
                <w:sz w:val="16"/>
                <w:szCs w:val="16"/>
                <w:b w:val="1"/>
                <w:bCs w:val="1"/>
                <w:color w:val="auto"/>
                <w:w w:val="89"/>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left="422"/>
              <w:spacing w:after="0"/>
              <w:rPr>
                <w:sz w:val="20"/>
                <w:szCs w:val="20"/>
                <w:color w:val="auto"/>
              </w:rPr>
            </w:pPr>
            <w:r>
              <w:rPr>
                <w:rFonts w:ascii="Arial" w:cs="Arial" w:eastAsia="Arial" w:hAnsi="Arial"/>
                <w:sz w:val="16"/>
                <w:szCs w:val="16"/>
                <w:b w:val="1"/>
                <w:bCs w:val="1"/>
                <w:color w:val="auto"/>
                <w:w w:val="88"/>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c>
          <w:tcPr>
            <w:tcW w:w="0" w:type="dxa"/>
            <w:vAlign w:val="bottom"/>
          </w:tcPr>
          <w:p>
            <w:pPr>
              <w:spacing w:after="0"/>
              <w:rPr>
                <w:sz w:val="1"/>
                <w:szCs w:val="1"/>
                <w:color w:val="auto"/>
              </w:rPr>
            </w:pPr>
          </w:p>
        </w:tc>
      </w:tr>
      <w:tr>
        <w:trPr>
          <w:trHeight w:val="210"/>
        </w:trPr>
        <w:tc>
          <w:tcPr>
            <w:tcW w:w="1360" w:type="dxa"/>
            <w:vAlign w:val="bottom"/>
          </w:tcPr>
          <w:p>
            <w:pPr>
              <w:jc w:val="center"/>
              <w:ind w:left="462"/>
              <w:spacing w:after="0"/>
              <w:rPr>
                <w:sz w:val="20"/>
                <w:szCs w:val="20"/>
                <w:color w:val="auto"/>
              </w:rPr>
            </w:pPr>
            <w:r>
              <w:rPr>
                <w:rFonts w:ascii="Arial" w:cs="Arial" w:eastAsia="Arial" w:hAnsi="Arial"/>
                <w:sz w:val="16"/>
                <w:szCs w:val="16"/>
                <w:b w:val="1"/>
                <w:bCs w:val="1"/>
                <w:color w:val="auto"/>
                <w:w w:val="91"/>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47"/>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shd w:val="clear" w:color="auto" w:fill="CCEEFF"/>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1,205,068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1360" w:type="dxa"/>
            <w:vAlign w:val="bottom"/>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920" w:type="dxa"/>
            <w:vAlign w:val="bottom"/>
          </w:tcPr>
          <w:p>
            <w:pPr>
              <w:jc w:val="right"/>
              <w:ind w:right="575"/>
              <w:spacing w:after="0"/>
              <w:rPr>
                <w:sz w:val="20"/>
                <w:szCs w:val="20"/>
                <w:color w:val="auto"/>
              </w:rPr>
            </w:pPr>
            <w:r>
              <w:rPr>
                <w:rFonts w:ascii="Arial" w:cs="Arial" w:eastAsia="Arial" w:hAnsi="Arial"/>
                <w:sz w:val="18"/>
                <w:szCs w:val="18"/>
                <w:color w:val="auto"/>
              </w:rPr>
              <w:t>192,571</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6.4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16 — Employee Benefit Plan</w:t>
      </w:r>
    </w:p>
    <w:p>
      <w:pPr>
        <w:spacing w:after="0" w:line="16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the Nine months ended September 30, 2020 and 2019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In September 2019, the Company entered an operating lease for office space in Burlington, Massachusetts, which expired on April 30, 2020. The Company had the right to extend the operating lease on a month-to-month through August 31, 2020. The Company elected to terminate the lease on July 14, 2020.</w:t>
      </w:r>
    </w:p>
    <w:p>
      <w:pPr>
        <w:spacing w:after="0" w:line="6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Company used two apartments for the use of its personnel while attending meetings in the corporate office in Burlington, MA. One of the apartments was leased by the Chief Executive Officer and a shareholder of the Company. The Company paid the monthly liability directly to the Company that owns the apartment complex. The monthly rent for each apartment was approximately $3.5 and the annual lease that was set to expire in January 2021 was terminated and ended in August 2020.</w:t>
      </w:r>
    </w:p>
    <w:p>
      <w:pPr>
        <w:spacing w:after="0" w:line="120" w:lineRule="exact"/>
        <w:rPr>
          <w:sz w:val="20"/>
          <w:szCs w:val="20"/>
          <w:color w:val="auto"/>
        </w:rPr>
      </w:pPr>
    </w:p>
    <w:p>
      <w:pPr>
        <w:jc w:val="both"/>
        <w:ind w:left="460" w:right="659" w:firstLine="432"/>
        <w:spacing w:after="0" w:line="311" w:lineRule="auto"/>
        <w:rPr>
          <w:sz w:val="20"/>
          <w:szCs w:val="20"/>
          <w:color w:val="auto"/>
        </w:rPr>
      </w:pPr>
      <w:r>
        <w:rPr>
          <w:rFonts w:ascii="Arial" w:cs="Arial" w:eastAsia="Arial" w:hAnsi="Arial"/>
          <w:sz w:val="16"/>
          <w:szCs w:val="16"/>
          <w:color w:val="auto"/>
        </w:rPr>
        <w:t>As part of the acquisition of HMH in July 2020, the Company obtained a couple of facilities leases with term remaining of less than 12 months (classified as rent expenses part of Selling, general and administrative expenses in the income statement) and several non-cancellable finance leases for machinery and equipment.</w:t>
      </w:r>
    </w:p>
    <w:p>
      <w:pPr>
        <w:spacing w:after="0" w:line="81" w:lineRule="exact"/>
        <w:rPr>
          <w:sz w:val="20"/>
          <w:szCs w:val="20"/>
          <w:color w:val="auto"/>
        </w:rPr>
      </w:pPr>
    </w:p>
    <w:p>
      <w:pPr>
        <w:jc w:val="both"/>
        <w:ind w:left="460" w:right="639" w:firstLine="432"/>
        <w:spacing w:after="0" w:line="277" w:lineRule="auto"/>
        <w:rPr>
          <w:sz w:val="20"/>
          <w:szCs w:val="20"/>
          <w:color w:val="auto"/>
        </w:rPr>
      </w:pPr>
      <w:r>
        <w:rPr>
          <w:rFonts w:ascii="Arial" w:cs="Arial" w:eastAsia="Arial" w:hAnsi="Arial"/>
          <w:sz w:val="18"/>
          <w:szCs w:val="18"/>
          <w:color w:val="auto"/>
        </w:rPr>
        <w:t>Additional information of our lease activity, for the nine months ended September 30, 2020 and 2019, is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360"/>
              <w:spacing w:after="0"/>
              <w:rPr>
                <w:sz w:val="20"/>
                <w:szCs w:val="20"/>
                <w:color w:val="auto"/>
              </w:rPr>
            </w:pPr>
            <w:r>
              <w:rPr>
                <w:rFonts w:ascii="Arial" w:cs="Arial" w:eastAsia="Arial" w:hAnsi="Arial"/>
                <w:sz w:val="16"/>
                <w:szCs w:val="16"/>
                <w:b w:val="1"/>
                <w:bCs w:val="1"/>
                <w:color w:val="auto"/>
              </w:rPr>
              <w:t>2019</w:t>
            </w:r>
          </w:p>
        </w:tc>
      </w:tr>
      <w:tr>
        <w:trPr>
          <w:trHeight w:val="46"/>
        </w:trPr>
        <w:tc>
          <w:tcPr>
            <w:tcW w:w="5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Amortization of right-of-use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24</w:t>
            </w: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79"/>
              </w:rPr>
              <w:t>24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5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 finance leases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4.17 years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Weighted-average discount rate – finance leases</w:t>
            </w:r>
          </w:p>
        </w:tc>
        <w:tc>
          <w:tcPr>
            <w:tcW w:w="1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r>
      <w:tr>
        <w:trPr>
          <w:trHeight w:val="432"/>
        </w:trPr>
        <w:tc>
          <w:tcPr>
            <w:tcW w:w="558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F-41</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60" w:name="page161"/>
    <w:bookmarkEnd w:id="16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17 — Commitments and Contingencies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As of September 30, 2020, the maturities of lease liabilities under non-cancellable finance leases were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87"/>
              </w:rPr>
              <w:t>Finance Leases</w:t>
            </w:r>
          </w:p>
        </w:tc>
      </w:tr>
      <w:tr>
        <w:trPr>
          <w:trHeight w:val="46"/>
        </w:trPr>
        <w:tc>
          <w:tcPr>
            <w:tcW w:w="68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 the year ending December 31,</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2020 (remainder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4"/>
        </w:trPr>
        <w:tc>
          <w:tcPr>
            <w:tcW w:w="6860" w:type="dxa"/>
            <w:vAlign w:val="bottom"/>
          </w:tcPr>
          <w:p>
            <w:pPr>
              <w:ind w:left="180"/>
              <w:spacing w:after="0"/>
              <w:rPr>
                <w:sz w:val="20"/>
                <w:szCs w:val="20"/>
                <w:color w:val="auto"/>
              </w:rPr>
            </w:pPr>
            <w:r>
              <w:rPr>
                <w:rFonts w:ascii="Arial" w:cs="Arial" w:eastAsia="Arial" w:hAnsi="Arial"/>
                <w:sz w:val="18"/>
                <w:szCs w:val="18"/>
                <w:color w:val="auto"/>
              </w:rPr>
              <w:t>Total minimum lease payments</w:t>
            </w: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Total lease liabilities</w:t>
            </w:r>
          </w:p>
        </w:tc>
        <w:tc>
          <w:tcPr>
            <w:tcW w:w="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jc w:val="both"/>
        <w:ind w:left="460" w:right="619" w:firstLine="432"/>
        <w:spacing w:after="0" w:line="257"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 Agreements with related parties</w:t>
      </w:r>
    </w:p>
    <w:p>
      <w:pPr>
        <w:spacing w:after="0" w:line="158"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On June 7, 2019, the Company entered into a distribution agreement with Bluezone Products, Inc. (“Bluezone”) for distribution rights to the Bluezone products with certain exclusivity rights. The agreement requires minimum purchases amounting to $480 and $600 for the first and second contract anniversary years. The agreement auto renews for successive one year periods unless earlier terminated. The Company purchased approximately $668 and $132 of Bluezone products during the first and second contract years, respectively. Bluezone is a related party to the Company.</w:t>
      </w:r>
    </w:p>
    <w:p>
      <w:pPr>
        <w:spacing w:after="0" w:line="111"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exclusive distributor status for one of our products, for the period from the contract date until December 31, 2021 for $375, for the year ended December 31, 2022 for $750, and for the year ended December 31, 2023 for $1,125, which amount may increase by 3% for the later years. The Company purchased approximately $38 of that Enozo product during the nine months ended September 30, 2020. Enozo is a related party to the Company.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Committed Purchase Agreement with Related party</w:t>
      </w:r>
    </w:p>
    <w:p>
      <w:pPr>
        <w:spacing w:after="0" w:line="158"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On July 28, 2020, the Company entered into a purchase agreement with 4D Bios (“4D”) to secure purchases of horticultural equipment. The agreement requires minimum purchases of between $577 and $607 of 4D products until December 31, 2020.4D is a related party to the Company. The Company committed purchases amounting to $577 from 4D for the nine months ended September 30, 2020.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18 — Related Parties</w:t>
      </w:r>
    </w:p>
    <w:p>
      <w:pPr>
        <w:spacing w:after="0" w:line="14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Some of the officers and directors of the Company are involved in other business activities and may, in the future, become involved in other business opportunities that become available. They may face a conflict in selecting between the Company and other business interests. The Company formulated a policy for the resolution of such conflicts.</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describes the net purchasing activity with entities identified as related parties to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51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Arial" w:cs="Arial" w:eastAsia="Arial" w:hAnsi="Arial"/>
                <w:sz w:val="16"/>
                <w:szCs w:val="16"/>
                <w:b w:val="1"/>
                <w:bCs w:val="1"/>
                <w:color w:val="auto"/>
              </w:rPr>
              <w:t>September 30,</w:t>
            </w: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Bluezone</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4D Bios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399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Enozo</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Valiant Americas, LLC</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3,078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1"/>
        </w:trPr>
        <w:tc>
          <w:tcPr>
            <w:tcW w:w="8100" w:type="dxa"/>
            <w:vAlign w:val="bottom"/>
            <w:gridSpan w:val="8"/>
          </w:tcPr>
          <w:p>
            <w:pPr>
              <w:jc w:val="right"/>
              <w:ind w:right="132"/>
              <w:spacing w:after="0"/>
              <w:rPr>
                <w:sz w:val="20"/>
                <w:szCs w:val="20"/>
                <w:color w:val="auto"/>
              </w:rPr>
            </w:pPr>
            <w:r>
              <w:rPr>
                <w:rFonts w:ascii="Arial" w:cs="Arial" w:eastAsia="Arial" w:hAnsi="Arial"/>
                <w:sz w:val="18"/>
                <w:szCs w:val="18"/>
                <w:color w:val="auto"/>
                <w:w w:val="94"/>
              </w:rPr>
              <w:t>The following table summarizes net related party payables as of September 30, 2020 and December 31,</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4"/>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92"/>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16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r>
      <w:tr>
        <w:trPr>
          <w:trHeight w:val="243"/>
        </w:trPr>
        <w:tc>
          <w:tcPr>
            <w:tcW w:w="55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Bluezone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4D Bios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6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Enozo</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Valiant Americas, LLC</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19 —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 of Stock Options</w:t>
      </w:r>
    </w:p>
    <w:p>
      <w:pPr>
        <w:spacing w:after="0" w:line="117"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On October 19, 2020, the Company’s Board of Directors approved a grant of 1,540,544 options to purchase shares of common stock to its employees, directors and officers. The options will expire 10 years from the date of grant and have an exercise price per share of $4.86. 25% of the options vest 12 months following issuance and the balance vests in 36 equal monthly installments thereafter.</w:t>
      </w:r>
    </w:p>
    <w:p>
      <w:pPr>
        <w:spacing w:after="0" w:line="79"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On December 21, 2020, the Company’s Board of Directors approved a grant of 70,000 options to purchase shares of common stock to directors. The options will expire 10 years from the date of grant and have an exercise price per share of $4.86.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will vest immediately prior to such event.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A 1-for-1.581804 reverse stock split of the Company’s common stock was effected on January 12, 2021, as disclosed in the registration statement of which these financial statements are a part. All share and per share information has been retroactively adjusted to give effect to the reverse stock split for all periods presented, unless otherwise indicated.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2" w:name="page163"/>
    <w:bookmarkEnd w:id="16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19 — Subsequent Events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 and Convertible Promissory Notes</w:t>
      </w:r>
    </w:p>
    <w:p>
      <w:pPr>
        <w:spacing w:after="0" w:line="117" w:lineRule="exact"/>
        <w:rPr>
          <w:sz w:val="20"/>
          <w:szCs w:val="20"/>
          <w:color w:val="auto"/>
        </w:rPr>
      </w:pPr>
    </w:p>
    <w:p>
      <w:pPr>
        <w:ind w:left="460" w:right="919" w:firstLine="432"/>
        <w:spacing w:after="0" w:line="342" w:lineRule="auto"/>
        <w:rPr>
          <w:sz w:val="20"/>
          <w:szCs w:val="20"/>
          <w:color w:val="auto"/>
        </w:rPr>
      </w:pPr>
      <w:r>
        <w:rPr>
          <w:rFonts w:ascii="Arial" w:cs="Arial" w:eastAsia="Arial" w:hAnsi="Arial"/>
          <w:sz w:val="16"/>
          <w:szCs w:val="16"/>
          <w:color w:val="auto"/>
        </w:rPr>
        <w:t>On January 11, 2021, the Company’s Board of Directors approved the amendment to the conversion formula of the Series A Preferred Stock and Convertible Promissory Notes. After the amendment:</w:t>
      </w:r>
    </w:p>
    <w:p>
      <w:pPr>
        <w:spacing w:after="0" w:line="43" w:lineRule="exact"/>
        <w:rPr>
          <w:sz w:val="20"/>
          <w:szCs w:val="20"/>
          <w:color w:val="auto"/>
        </w:rPr>
      </w:pPr>
    </w:p>
    <w:p>
      <w:pPr>
        <w:ind w:left="1320" w:right="499" w:hanging="434"/>
        <w:spacing w:after="0" w:line="296" w:lineRule="auto"/>
        <w:tabs>
          <w:tab w:leader="none" w:pos="1293"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Series A Preferred Stock is convertible, at any time after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w:t>
      </w:r>
    </w:p>
    <w:p>
      <w:pPr>
        <w:spacing w:after="0" w:line="93" w:lineRule="exact"/>
        <w:rPr>
          <w:rFonts w:ascii="Arial" w:cs="Arial" w:eastAsia="Arial" w:hAnsi="Arial"/>
          <w:sz w:val="16"/>
          <w:szCs w:val="16"/>
          <w:color w:val="auto"/>
        </w:rPr>
      </w:pPr>
    </w:p>
    <w:p>
      <w:pPr>
        <w:ind w:left="1320" w:right="479" w:hanging="434"/>
        <w:spacing w:after="0" w:line="296" w:lineRule="auto"/>
        <w:tabs>
          <w:tab w:leader="none" w:pos="1293" w:val="left"/>
        </w:tabs>
        <w:numPr>
          <w:ilvl w:val="0"/>
          <w:numId w:val="65"/>
        </w:numPr>
        <w:rPr>
          <w:rFonts w:ascii="Arial" w:cs="Arial" w:eastAsia="Arial" w:hAnsi="Arial"/>
          <w:sz w:val="16"/>
          <w:szCs w:val="16"/>
          <w:color w:val="auto"/>
        </w:rPr>
      </w:pPr>
      <w:r>
        <w:rPr>
          <w:rFonts w:ascii="Arial" w:cs="Arial" w:eastAsia="Arial" w:hAnsi="Arial"/>
          <w:sz w:val="16"/>
          <w:szCs w:val="16"/>
          <w:color w:val="auto"/>
        </w:rPr>
        <w:t>Immediately prior to the consummation of a public transaction the outstanding principal amount of the Notes together with all accrued and unpaid interest shall convert,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 (after the reverse split taking effect).</w:t>
      </w:r>
    </w:p>
    <w:p>
      <w:pPr>
        <w:spacing w:after="0" w:line="53"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On January 11, 2021, the Company’s shareholders approved the amendment to the Series A Preferred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100330</wp:posOffset>
            </wp:positionV>
            <wp:extent cx="1937385" cy="5060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3738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TriGrow Systems, Inc.</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We have audited the accompanying consolidated balance sheets of TriGrow Systems, Inc. (the “Company”) as of December 31, 2019 and 2018, the related consolidated statements of operations,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and 2018,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w:t>
      </w:r>
      <w:r>
        <w:rPr>
          <w:rFonts w:ascii="Arial" w:cs="Arial" w:eastAsia="Arial" w:hAnsi="Arial"/>
          <w:sz w:val="18"/>
          <w:szCs w:val="18"/>
          <w:b w:val="1"/>
          <w:bCs w:val="1"/>
          <w:color w:val="auto"/>
        </w:rPr>
        <w:t>s</w:t>
      </w:r>
      <w:r>
        <w:rPr>
          <w:rFonts w:ascii="Arial" w:cs="Arial" w:eastAsia="Arial" w:hAnsi="Arial"/>
          <w:sz w:val="18"/>
          <w:szCs w:val="18"/>
          <w:color w:val="auto"/>
        </w:rPr>
        <w:t xml:space="preserve">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1045845" cy="2057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458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Melville, 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314325</wp:posOffset>
            </wp:positionV>
            <wp:extent cx="5143500" cy="5657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4" w:name="page165"/>
    <w:bookmarkEnd w:id="16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Accounts Receivable, net of allowance of $530 and $373,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Prepaid Inventory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3,868</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Advance from customers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Arial" w:cs="Arial" w:eastAsia="Arial" w:hAnsi="Arial"/>
                <w:sz w:val="18"/>
                <w:szCs w:val="18"/>
                <w:b w:val="1"/>
                <w:bCs w:val="1"/>
                <w:color w:val="auto"/>
                <w:w w:val="93"/>
              </w:rPr>
              <w:t>Common stock: 15,328,617 and 10,555,000 shares, $0.001 par value</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authorized as of December 31, 2019 and 2018; 9,538,746 and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9,500,000 shares issued at December 31, 2019 and 2018,</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respectively</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A Stock: 4,773,317 and 0; and 3,014,993 and 0; shares, $0.001</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par value authorized and issued as of December 31, 2019 and 2018,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TriGrow Systems, Inc.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3,868</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240" w:type="dxa"/>
            <w:vAlign w:val="bottom"/>
            <w:gridSpan w:val="6"/>
          </w:tcPr>
          <w:p>
            <w:pPr>
              <w:ind w:left="900"/>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0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F-46</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65" w:name="page166"/>
    <w:bookmarkEnd w:id="16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p>
      <w:pPr>
        <w:jc w:val="both"/>
        <w:ind w:left="6480"/>
        <w:spacing w:after="0"/>
        <w:tabs>
          <w:tab w:leader="none" w:pos="77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797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goods sold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(loss) profit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60" w:type="dxa"/>
            <w:vAlign w:val="bottom"/>
            <w:tcBorders>
              <w:top w:val="single" w:sz="8" w:color="auto"/>
            </w:tcBorders>
          </w:tcPr>
          <w:p>
            <w:pPr>
              <w:spacing w:after="0"/>
              <w:rPr>
                <w:sz w:val="21"/>
                <w:szCs w:val="21"/>
                <w:color w:val="auto"/>
              </w:rPr>
            </w:pPr>
          </w:p>
        </w:tc>
      </w:tr>
      <w:tr>
        <w:trPr>
          <w:trHeight w:val="296"/>
        </w:trPr>
        <w:tc>
          <w:tcPr>
            <w:tcW w:w="360" w:type="dxa"/>
            <w:vAlign w:val="bottom"/>
          </w:tcPr>
          <w:p>
            <w:pPr>
              <w:spacing w:after="0"/>
              <w:rPr>
                <w:sz w:val="24"/>
                <w:szCs w:val="24"/>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w:t>
            </w:r>
          </w:p>
        </w:tc>
        <w:tc>
          <w:tcPr>
            <w:tcW w:w="16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20"/>
                <w:szCs w:val="20"/>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-187960</wp:posOffset>
            </wp:positionV>
            <wp:extent cx="5143500"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2959"/>
          </w:cols>
          <w:pgMar w:left="1440" w:top="274" w:right="1440" w:bottom="1440" w:gutter="0" w:footer="0" w:header="0"/>
          <w:type w:val="continuous"/>
        </w:sectPr>
      </w:pP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4,732</w:t>
            </w: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2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4,784</w:t>
            </w:r>
          </w:p>
        </w:tc>
        <w:tc>
          <w:tcPr>
            <w:tcW w:w="5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Loss from operations</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(5,007)</w:t>
            </w:r>
          </w:p>
        </w:tc>
        <w:tc>
          <w:tcPr>
            <w:tcW w:w="5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5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OTHER INCOME</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from sale of fixed assets</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5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w:t>
            </w: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84"/>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5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attributable to TriGrow Systems, Inc.</w:t>
            </w:r>
          </w:p>
        </w:tc>
        <w:tc>
          <w:tcPr>
            <w:tcW w:w="20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(4,894)  $</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360" w:type="dxa"/>
            <w:vAlign w:val="bottom"/>
            <w:gridSpan w:val="6"/>
          </w:tcPr>
          <w:p>
            <w:pPr>
              <w:jc w:val="center"/>
              <w:ind w:left="63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center"/>
              <w:ind w:right="1310"/>
              <w:spacing w:after="0"/>
              <w:rPr>
                <w:sz w:val="20"/>
                <w:szCs w:val="20"/>
                <w:color w:val="auto"/>
              </w:rPr>
            </w:pPr>
            <w:r>
              <w:rPr>
                <w:rFonts w:ascii="Arial" w:cs="Arial" w:eastAsia="Arial" w:hAnsi="Arial"/>
                <w:sz w:val="18"/>
                <w:szCs w:val="18"/>
                <w:color w:val="auto"/>
                <w:w w:val="91"/>
              </w:rPr>
              <w:t>F-47</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type w:val="continuous"/>
        </w:sectPr>
      </w:pPr>
    </w:p>
    <w:bookmarkStart w:id="166" w:name="page167"/>
    <w:bookmarkEnd w:id="166"/>
    <w:p>
      <w:pPr>
        <w:spacing w:after="0" w:line="209" w:lineRule="auto"/>
        <w:framePr w:w="660" w:h="160" w:wrap="auto" w:vAnchor="page" w:hAnchor="page" w:x="2040" w:y="8066"/>
        <w:rPr>
          <w:rFonts w:ascii="Arial" w:cs="Arial" w:eastAsia="Arial" w:hAnsi="Arial"/>
          <w:sz w:val="16"/>
          <w:szCs w:val="16"/>
          <w:color w:val="auto"/>
        </w:rPr>
      </w:pPr>
      <w:r>
        <w:rPr>
          <w:rFonts w:ascii="Arial" w:cs="Arial" w:eastAsia="Arial" w:hAnsi="Arial"/>
          <w:sz w:val="16"/>
          <w:szCs w:val="16"/>
          <w:color w:val="auto"/>
        </w:rPr>
        <w:t>Net loss</w:t>
      </w:r>
    </w:p>
    <w:p>
      <w:pPr>
        <w:spacing w:after="0" w:line="245" w:lineRule="auto"/>
        <w:framePr w:w="920" w:h="376" w:wrap="auto" w:vAnchor="page" w:hAnchor="page" w:x="2040" w:y="5933"/>
        <w:rPr>
          <w:rFonts w:ascii="Arial" w:cs="Arial" w:eastAsia="Arial" w:hAnsi="Arial"/>
          <w:sz w:val="16"/>
          <w:szCs w:val="16"/>
          <w:color w:val="auto"/>
        </w:rPr>
      </w:pPr>
      <w:r>
        <w:rPr>
          <w:rFonts w:ascii="Arial" w:cs="Arial" w:eastAsia="Arial" w:hAnsi="Arial"/>
          <w:sz w:val="16"/>
          <w:szCs w:val="16"/>
          <w:color w:val="auto"/>
        </w:rPr>
        <w:t>Convertible notes</w:t>
      </w:r>
    </w:p>
    <w:p>
      <w:pPr>
        <w:spacing w:after="0" w:line="209" w:lineRule="auto"/>
        <w:framePr w:w="660" w:h="160" w:wrap="auto" w:vAnchor="page" w:hAnchor="page" w:x="2040" w:y="4988"/>
        <w:rPr>
          <w:rFonts w:ascii="Arial" w:cs="Arial" w:eastAsia="Arial" w:hAnsi="Arial"/>
          <w:sz w:val="16"/>
          <w:szCs w:val="16"/>
          <w:color w:val="auto"/>
        </w:rPr>
      </w:pPr>
      <w:r>
        <w:rPr>
          <w:rFonts w:ascii="Arial" w:cs="Arial" w:eastAsia="Arial" w:hAnsi="Arial"/>
          <w:sz w:val="16"/>
          <w:szCs w:val="16"/>
          <w:color w:val="auto"/>
        </w:rPr>
        <w:t>Net loss</w:t>
      </w:r>
    </w:p>
    <w:p>
      <w:pPr>
        <w:spacing w:after="0" w:line="228" w:lineRule="auto"/>
        <w:framePr w:w="1080" w:h="592" w:wrap="auto" w:vAnchor="page" w:hAnchor="page" w:x="1860" w:y="2896"/>
        <w:rPr>
          <w:rFonts w:ascii="Arial" w:cs="Arial" w:eastAsia="Arial" w:hAnsi="Arial"/>
          <w:sz w:val="18"/>
          <w:szCs w:val="18"/>
          <w:b w:val="1"/>
          <w:bCs w:val="1"/>
          <w:color w:val="auto"/>
        </w:rPr>
      </w:pPr>
      <w:r>
        <w:rPr>
          <w:rFonts w:ascii="Arial" w:cs="Arial" w:eastAsia="Arial" w:hAnsi="Arial"/>
          <w:sz w:val="18"/>
          <w:szCs w:val="18"/>
          <w:b w:val="1"/>
          <w:bCs w:val="1"/>
          <w:color w:val="auto"/>
        </w:rPr>
        <w:t>Balance, January 1, 2018</w:t>
      </w:r>
    </w:p>
    <w:p>
      <w:pPr>
        <w:spacing w:after="0" w:line="209" w:lineRule="auto"/>
        <w:framePr w:w="1360" w:h="160" w:wrap="auto" w:vAnchor="page" w:hAnchor="page" w:x="1860" w:y="29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jc w:val="center"/>
        <w:ind w:left="460" w:right="1460"/>
        <w:spacing w:after="0" w:line="266" w:lineRule="auto"/>
        <w:rPr>
          <w:sz w:val="20"/>
          <w:szCs w:val="20"/>
          <w:color w:val="auto"/>
        </w:rPr>
      </w:pPr>
      <w:r>
        <w:rPr>
          <w:rFonts w:ascii="Arial" w:cs="Arial" w:eastAsia="Arial" w:hAnsi="Arial"/>
          <w:sz w:val="18"/>
          <w:szCs w:val="18"/>
          <w:b w:val="1"/>
          <w:bCs w:val="1"/>
          <w:color w:val="auto"/>
        </w:rPr>
        <w:t>TRIGROW SYSTEMS, INC. AND SUBSIDIARY CONSOLIDATED STATEMENTS OF STOCKHOLDERS’ EQUITY (In thousands, except share amounts)</w:t>
      </w:r>
    </w:p>
    <w:p>
      <w:pPr>
        <w:spacing w:after="0" w:line="252" w:lineRule="exact"/>
        <w:rPr>
          <w:rFonts w:ascii="Arial" w:cs="Arial" w:eastAsia="Arial" w:hAnsi="Arial"/>
          <w:sz w:val="16"/>
          <w:szCs w:val="16"/>
          <w:b w:val="1"/>
          <w:bCs w:val="1"/>
          <w:u w:val="single" w:color="auto"/>
          <w:color w:val="0000EE"/>
        </w:rPr>
      </w:pPr>
    </w:p>
    <w:tbl>
      <w:tblPr>
        <w:tblLayout w:type="fixed"/>
        <w:tblInd w:w="46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Total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5"/>
          </w:tcPr>
          <w:p>
            <w:pPr>
              <w:ind w:left="20"/>
              <w:spacing w:after="0"/>
              <w:rPr>
                <w:sz w:val="20"/>
                <w:szCs w:val="20"/>
                <w:color w:val="auto"/>
              </w:rPr>
            </w:pPr>
            <w:r>
              <w:rPr>
                <w:rFonts w:ascii="Arial" w:cs="Arial" w:eastAsia="Arial" w:hAnsi="Arial"/>
                <w:sz w:val="16"/>
                <w:szCs w:val="16"/>
                <w:b w:val="1"/>
                <w:bCs w:val="1"/>
                <w:color w:val="auto"/>
                <w:w w:val="88"/>
              </w:rPr>
              <w:t>Stockholders’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4"/>
            <w:vMerge w:val="restart"/>
          </w:tcPr>
          <w:p>
            <w:pPr>
              <w:jc w:val="right"/>
              <w:ind w:right="60"/>
              <w:spacing w:after="0"/>
              <w:rPr>
                <w:sz w:val="20"/>
                <w:szCs w:val="20"/>
                <w:color w:val="auto"/>
              </w:rPr>
            </w:pPr>
            <w:r>
              <w:rPr>
                <w:rFonts w:ascii="Arial" w:cs="Arial" w:eastAsia="Arial" w:hAnsi="Arial"/>
                <w:sz w:val="16"/>
                <w:szCs w:val="16"/>
                <w:b w:val="1"/>
                <w:bCs w:val="1"/>
                <w:color w:val="auto"/>
              </w:rPr>
              <w:t>Preferred A</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Equity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4"/>
            <w:vMerge w:val="restart"/>
          </w:tcPr>
          <w:p>
            <w:pPr>
              <w:jc w:val="center"/>
              <w:ind w:right="20"/>
              <w:spacing w:after="0"/>
              <w:rPr>
                <w:sz w:val="20"/>
                <w:szCs w:val="20"/>
                <w:color w:val="auto"/>
              </w:rPr>
            </w:pPr>
            <w:r>
              <w:rPr>
                <w:rFonts w:ascii="Arial" w:cs="Arial" w:eastAsia="Arial" w:hAnsi="Arial"/>
                <w:sz w:val="16"/>
                <w:szCs w:val="16"/>
                <w:b w:val="1"/>
                <w:bCs w:val="1"/>
                <w:color w:val="auto"/>
                <w:w w:val="94"/>
              </w:rPr>
              <w:t>attributable</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8"/>
              </w:rPr>
              <w:t>Non-</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1400" w:type="dxa"/>
            <w:vAlign w:val="bottom"/>
            <w:gridSpan w:val="6"/>
            <w:vMerge w:val="restart"/>
          </w:tcPr>
          <w:p>
            <w:pPr>
              <w:jc w:val="right"/>
              <w:ind w:right="200"/>
              <w:spacing w:after="0"/>
              <w:rPr>
                <w:sz w:val="20"/>
                <w:szCs w:val="20"/>
                <w:color w:val="auto"/>
              </w:rPr>
            </w:pPr>
            <w:r>
              <w:rPr>
                <w:rFonts w:ascii="Arial" w:cs="Arial" w:eastAsia="Arial" w:hAnsi="Arial"/>
                <w:sz w:val="16"/>
                <w:szCs w:val="16"/>
                <w:b w:val="1"/>
                <w:bCs w:val="1"/>
                <w:color w:val="auto"/>
              </w:rPr>
              <w:t>Common Stock</w:t>
            </w:r>
          </w:p>
        </w:tc>
        <w:tc>
          <w:tcPr>
            <w:tcW w:w="1120" w:type="dxa"/>
            <w:vAlign w:val="bottom"/>
            <w:gridSpan w:val="4"/>
            <w:vMerge w:val="restart"/>
          </w:tcPr>
          <w:p>
            <w:pPr>
              <w:jc w:val="right"/>
              <w:ind w:right="26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20" w:type="dxa"/>
            <w:vAlign w:val="bottom"/>
          </w:tcPr>
          <w:p>
            <w:pPr>
              <w:spacing w:after="0"/>
              <w:rPr>
                <w:sz w:val="10"/>
                <w:szCs w:val="10"/>
                <w:color w:val="auto"/>
              </w:rPr>
            </w:pPr>
          </w:p>
        </w:tc>
        <w:tc>
          <w:tcPr>
            <w:tcW w:w="1400" w:type="dxa"/>
            <w:vAlign w:val="bottom"/>
            <w:gridSpan w:val="6"/>
            <w:vMerge w:val="continue"/>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7"/>
              </w:rPr>
              <w:t>Paid-In</w:t>
            </w:r>
          </w:p>
        </w:tc>
        <w:tc>
          <w:tcPr>
            <w:tcW w:w="1820" w:type="dxa"/>
            <w:vAlign w:val="bottom"/>
            <w:gridSpan w:val="8"/>
            <w:vMerge w:val="restart"/>
          </w:tcPr>
          <w:p>
            <w:pPr>
              <w:spacing w:after="0" w:line="142" w:lineRule="exact"/>
              <w:rPr>
                <w:sz w:val="20"/>
                <w:szCs w:val="20"/>
                <w:color w:val="auto"/>
              </w:rPr>
            </w:pPr>
            <w:r>
              <w:rPr>
                <w:rFonts w:ascii="Arial" w:cs="Arial" w:eastAsia="Arial" w:hAnsi="Arial"/>
                <w:sz w:val="16"/>
                <w:szCs w:val="16"/>
                <w:b w:val="1"/>
                <w:bCs w:val="1"/>
                <w:color w:val="auto"/>
                <w:w w:val="93"/>
              </w:rPr>
              <w:t>Convertible 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4"/>
              </w:rPr>
              <w:t>to Trigrow</w:t>
            </w:r>
          </w:p>
        </w:tc>
        <w:tc>
          <w:tcPr>
            <w:tcW w:w="1760" w:type="dxa"/>
            <w:vAlign w:val="bottom"/>
            <w:gridSpan w:val="9"/>
            <w:vMerge w:val="restart"/>
          </w:tcPr>
          <w:p>
            <w:pPr>
              <w:ind w:left="40"/>
              <w:spacing w:after="0" w:line="142" w:lineRule="exact"/>
              <w:rPr>
                <w:sz w:val="20"/>
                <w:szCs w:val="20"/>
                <w:color w:val="auto"/>
              </w:rPr>
            </w:pPr>
            <w:r>
              <w:rPr>
                <w:rFonts w:ascii="Arial" w:cs="Arial" w:eastAsia="Arial" w:hAnsi="Arial"/>
                <w:sz w:val="16"/>
                <w:szCs w:val="16"/>
                <w:b w:val="1"/>
                <w:bCs w:val="1"/>
                <w:color w:val="auto"/>
                <w:w w:val="88"/>
              </w:rPr>
              <w:t>controlling Stockholders’</w:t>
            </w: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82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76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4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Shares</w:t>
            </w:r>
          </w:p>
        </w:tc>
        <w:tc>
          <w:tcPr>
            <w:tcW w:w="660" w:type="dxa"/>
            <w:vAlign w:val="bottom"/>
            <w:gridSpan w:val="4"/>
          </w:tcPr>
          <w:p>
            <w:pPr>
              <w:ind w:left="40"/>
              <w:spacing w:after="0"/>
              <w:rPr>
                <w:sz w:val="20"/>
                <w:szCs w:val="20"/>
                <w:color w:val="auto"/>
              </w:rPr>
            </w:pPr>
            <w:r>
              <w:rPr>
                <w:rFonts w:ascii="Arial" w:cs="Arial" w:eastAsia="Arial" w:hAnsi="Arial"/>
                <w:sz w:val="16"/>
                <w:szCs w:val="16"/>
                <w:b w:val="1"/>
                <w:bCs w:val="1"/>
                <w:color w:val="auto"/>
                <w:w w:val="99"/>
              </w:rPr>
              <w:t>Amount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Shares</w:t>
            </w:r>
          </w:p>
        </w:tc>
        <w:tc>
          <w:tcPr>
            <w:tcW w:w="62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20"/>
                <w:szCs w:val="20"/>
                <w:color w:val="auto"/>
              </w:rPr>
            </w:pPr>
          </w:p>
        </w:tc>
        <w:tc>
          <w:tcPr>
            <w:tcW w:w="720" w:type="dxa"/>
            <w:vAlign w:val="bottom"/>
            <w:gridSpan w:val="3"/>
          </w:tcPr>
          <w:p>
            <w:pPr>
              <w:ind w:left="60"/>
              <w:spacing w:after="0"/>
              <w:rPr>
                <w:sz w:val="20"/>
                <w:szCs w:val="20"/>
                <w:color w:val="auto"/>
              </w:rPr>
            </w:pPr>
            <w:r>
              <w:rPr>
                <w:rFonts w:ascii="Arial" w:cs="Arial" w:eastAsia="Arial" w:hAnsi="Arial"/>
                <w:sz w:val="16"/>
                <w:szCs w:val="16"/>
                <w:b w:val="1"/>
                <w:bCs w:val="1"/>
                <w:color w:val="auto"/>
              </w:rPr>
              <w:t>Notes</w:t>
            </w:r>
          </w:p>
        </w:tc>
        <w:tc>
          <w:tcPr>
            <w:tcW w:w="140" w:type="dxa"/>
            <w:vAlign w:val="bottom"/>
          </w:tcPr>
          <w:p>
            <w:pPr>
              <w:spacing w:after="0"/>
              <w:rPr>
                <w:sz w:val="20"/>
                <w:szCs w:val="20"/>
                <w:color w:val="auto"/>
              </w:rPr>
            </w:pPr>
          </w:p>
        </w:tc>
        <w:tc>
          <w:tcPr>
            <w:tcW w:w="800" w:type="dxa"/>
            <w:vAlign w:val="bottom"/>
            <w:gridSpan w:val="3"/>
          </w:tcPr>
          <w:p>
            <w:pPr>
              <w:ind w:left="80"/>
              <w:spacing w:after="0"/>
              <w:rPr>
                <w:sz w:val="20"/>
                <w:szCs w:val="20"/>
                <w:color w:val="auto"/>
              </w:rPr>
            </w:pPr>
            <w:r>
              <w:rPr>
                <w:rFonts w:ascii="Arial" w:cs="Arial" w:eastAsia="Arial" w:hAnsi="Arial"/>
                <w:sz w:val="16"/>
                <w:szCs w:val="16"/>
                <w:b w:val="1"/>
                <w:bCs w:val="1"/>
                <w:color w:val="auto"/>
              </w:rPr>
              <w:t>Deficit</w:t>
            </w:r>
          </w:p>
        </w:tc>
        <w:tc>
          <w:tcPr>
            <w:tcW w:w="20" w:type="dxa"/>
            <w:vAlign w:val="bottom"/>
          </w:tcPr>
          <w:p>
            <w:pPr>
              <w:spacing w:after="0"/>
              <w:rPr>
                <w:sz w:val="20"/>
                <w:szCs w:val="20"/>
                <w:color w:val="auto"/>
              </w:rPr>
            </w:pPr>
          </w:p>
        </w:tc>
        <w:tc>
          <w:tcPr>
            <w:tcW w:w="9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7"/>
              </w:rPr>
              <w:t>Systems, Inc.</w:t>
            </w:r>
          </w:p>
        </w:tc>
        <w:tc>
          <w:tcPr>
            <w:tcW w:w="4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5"/>
              </w:rPr>
              <w:t>Interests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46"/>
        </w:trPr>
        <w:tc>
          <w:tcPr>
            <w:tcW w:w="14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8"/>
        </w:trPr>
        <w:tc>
          <w:tcPr>
            <w:tcW w:w="1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9,500,000</w:t>
            </w: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1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20" w:type="dxa"/>
            <w:vAlign w:val="bottom"/>
          </w:tcPr>
          <w:p>
            <w:pPr>
              <w:ind w:left="180"/>
              <w:spacing w:after="0" w:line="201" w:lineRule="exact"/>
              <w:rPr>
                <w:sz w:val="20"/>
                <w:szCs w:val="20"/>
                <w:color w:val="auto"/>
              </w:rPr>
            </w:pPr>
            <w:r>
              <w:rPr>
                <w:rFonts w:ascii="Arial" w:cs="Arial" w:eastAsia="Arial" w:hAnsi="Arial"/>
                <w:sz w:val="18"/>
                <w:szCs w:val="18"/>
                <w:color w:val="auto"/>
              </w:rPr>
              <w:t>Issuance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convertible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notes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Acquisition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TriGrow</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Brands LLC.</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4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9,500,000</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942,199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1,299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A</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2,072,794</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5,404</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420" w:type="dxa"/>
            <w:vAlign w:val="bottom"/>
          </w:tcPr>
          <w:p>
            <w:pPr>
              <w:ind w:left="180"/>
              <w:spacing w:after="0" w:line="201" w:lineRule="exact"/>
              <w:rPr>
                <w:sz w:val="20"/>
                <w:szCs w:val="20"/>
                <w:color w:val="auto"/>
              </w:rPr>
            </w:pPr>
            <w:r>
              <w:rPr>
                <w:rFonts w:ascii="Arial" w:cs="Arial" w:eastAsia="Arial" w:hAnsi="Arial"/>
                <w:sz w:val="18"/>
                <w:szCs w:val="18"/>
                <w:color w:val="auto"/>
              </w:rPr>
              <w:t>Exercise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stock options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38,746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Stock based</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2"/>
              </w:rPr>
              <w:t>compensation</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(4,894)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(4,894)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4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9,538,746</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3,014,993</w:t>
            </w: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6,768</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(5,948)</w:t>
            </w:r>
          </w:p>
        </w:tc>
        <w:tc>
          <w:tcPr>
            <w:tcW w:w="40" w:type="dxa"/>
            <w:vAlign w:val="bottom"/>
            <w:shd w:val="clear" w:color="auto" w:fill="CCEEFF"/>
          </w:tcPr>
          <w:p>
            <w:pPr>
              <w:spacing w:after="0"/>
              <w:rPr>
                <w:sz w:val="22"/>
                <w:szCs w:val="22"/>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w:t>
            </w: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rFonts w:ascii="Arial" w:cs="Arial" w:eastAsia="Arial" w:hAnsi="Arial"/>
          <w:sz w:val="16"/>
          <w:szCs w:val="16"/>
          <w:b w:val="1"/>
          <w:bCs w:val="1"/>
          <w:u w:val="single" w:color="auto"/>
          <w:color w:val="0000EE"/>
        </w:rPr>
      </w:pPr>
    </w:p>
    <w:p>
      <w:pPr>
        <w:jc w:val="center"/>
        <w:ind w:right="10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rFonts w:ascii="Arial" w:cs="Arial" w:eastAsia="Arial" w:hAnsi="Arial"/>
          <w:sz w:val="16"/>
          <w:szCs w:val="16"/>
          <w:b w:val="1"/>
          <w:bCs w:val="1"/>
          <w:u w:val="single" w:color="auto"/>
          <w:color w:val="0000EE"/>
        </w:rPr>
      </w:pPr>
    </w:p>
    <w:p>
      <w:pPr>
        <w:ind w:left="4340"/>
        <w:spacing w:after="0"/>
        <w:rPr>
          <w:sz w:val="20"/>
          <w:szCs w:val="20"/>
          <w:color w:val="auto"/>
        </w:rPr>
      </w:pPr>
      <w:r>
        <w:rPr>
          <w:rFonts w:ascii="Arial" w:cs="Arial" w:eastAsia="Arial" w:hAnsi="Arial"/>
          <w:sz w:val="18"/>
          <w:szCs w:val="18"/>
          <w:color w:val="auto"/>
        </w:rPr>
        <w:t>F-48</w:t>
      </w:r>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10000"/>
          </w:cols>
          <w:pgMar w:left="1440" w:top="702" w:right="459" w:bottom="1440" w:gutter="0" w:footer="0" w:header="0"/>
        </w:sectPr>
      </w:pPr>
    </w:p>
    <w:bookmarkStart w:id="167" w:name="page168"/>
    <w:bookmarkEnd w:id="16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 attributable to TriGrow Systems,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21"/>
                <w:szCs w:val="21"/>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Adjustments to reconcile net loss attributable to TriGrow Systems, Inc.to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Gain from sale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Loss attributed to non-controlling interest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2,176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600" w:type="dxa"/>
            <w:vAlign w:val="bottom"/>
          </w:tcPr>
          <w:p>
            <w:pPr>
              <w:ind w:left="5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Proceeds from issuance of Series A Preferred Stock</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5,406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 of Year</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 End of Year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NON-CASH ITEMS: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00" w:type="dxa"/>
            <w:vAlign w:val="bottom"/>
          </w:tcPr>
          <w:p>
            <w:pPr>
              <w:ind w:left="180"/>
              <w:spacing w:after="0"/>
              <w:rPr>
                <w:sz w:val="20"/>
                <w:szCs w:val="20"/>
                <w:color w:val="auto"/>
              </w:rPr>
            </w:pPr>
            <w:r>
              <w:rPr>
                <w:rFonts w:ascii="Arial" w:cs="Arial" w:eastAsia="Arial" w:hAnsi="Arial"/>
                <w:sz w:val="18"/>
                <w:szCs w:val="18"/>
                <w:color w:val="auto"/>
              </w:rPr>
              <w:t>Conversion of Convertible notes to Common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4"/>
                <w:szCs w:val="24"/>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Intangible assets resulting from TriGrow Brands, LLC Acquisition</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Sale of fixed assets for a receivable</w:t>
            </w: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Nature of Business</w:t>
      </w:r>
    </w:p>
    <w:p>
      <w:pPr>
        <w:spacing w:after="0" w:line="16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TriGrow Systems, Inc. (“TriGrow” or the “Company”) is an integrator and distributor of premium indoor grow solutions for the indoor controlled agriculture marketplace. The Company was formed in the State of Nevada on March 1, 2017.</w:t>
      </w:r>
    </w:p>
    <w:p>
      <w:pPr>
        <w:spacing w:after="0" w:line="116"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On November 14, 2018, the Company established TriGrow Brands, LLC (now Agrify Brands, LLC) (“Brands”), a majority-owned subsidiary that will license and support an established portfolio of consumer brands that utilize the Company’s growing technology. The Company received 75% of the total outstanding units of Brands in return for its capital contribution of $500. The rest of the units were issued to a non-controlling entity for the use of its intellectual property pursuant to a license agreement signed between Brands and the non-controlling entity. Such license agreement was deemed to have a fair market value of $167.</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Principles of Consolidation</w:t>
      </w:r>
    </w:p>
    <w:p>
      <w:pPr>
        <w:spacing w:after="0" w:line="14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and include the accounts of the Company and its majority owned subsidiary, TriGrow Brands LLC (now Agrify Brands, LLC). All significant intercompany accounts and transactions have been eliminated in the preparation of the consolidated financial statements. The ownership interest of non-controlling participant in subsidiary that is not wholly-owned is included as a separate component of equity. The non-controlling participant’s share of the net loss is included as “Loss attributable to non-controlling interest” on the Consolidated Statements of Operations.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Non-controlling interests</w:t>
      </w:r>
    </w:p>
    <w:p>
      <w:pPr>
        <w:spacing w:after="0" w:line="162"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In December 2007, the FASB issued ASC 810-10-65, “Non-controlling Interests in Consolidated Financial Statements, an amendment of Accounting Research Bulletin No. 51” (“SFAS No. 160”). A non-controlling (minority) interest in subsidiaries is an ownership interest in the entity that should be reported as equity in the consolidated financial statements. It also requires consolidated net income to include the amounts attributable to both the parent and non-controlling interest, with disclosure on the face of the consolidated income statement of the amounts attributed to the parent and to the non-controlling interest. In accordance with ASC 810-10-45-21, those losses attributable to the parent and the non-controlling interest in subsidiaries may exceed their interests in the subsidiary’s equity. The excess and any further losses attributable to the parent and the non-controlling interest shall be attributed to those interests even if that attribution results in a deficit non-controlling interest balance.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619" w:firstLine="432"/>
        <w:spacing w:after="0" w:line="289"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Subsidiary’s, fiscal years end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w:t>
      </w:r>
    </w:p>
    <w:p>
      <w:pPr>
        <w:spacing w:after="0" w:line="162"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Cash consist principally of cash and deposits with maturities of three months or less as December 31, 2019 and 2018.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Financial instruments that potentially subject the Company to concentration of credit risk primarily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consist of cash, and accounts receivable. The Company places its cash with financial institutions in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United States. The cash balances are insured by the FDIC up to $250 per depositor with unlimited insurance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funds in noninterest-bearing transaction accounts through December 31, 2019. At times, the amounts in these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may exceed the federally insured limits. Revenue is primarily from product sales and royalty revenue.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had certain customers whose revenue individually represented 10% or more of the Company’s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revenue, or whose accounts receivable balances individually represented 10% or more of the Company’s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accounts receivable, as follows:</w:t>
      </w:r>
    </w:p>
    <w:p>
      <w:pPr>
        <w:spacing w:after="0" w:line="130"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For the years ended December 31, 2019 and 2018, two customers accounted for 80.2% and one customer accounted for 85.7% of revenue, respectively. At December 31, 2019 and 2018, one customer accounted for 91.1% and three customers accounted for 88.6% of accounts receivable, respectively.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Accounts Receivable</w:t>
      </w:r>
    </w:p>
    <w:p>
      <w:pPr>
        <w:spacing w:after="0" w:line="162"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were $1,066 and $652, respectively. Allowance for doubtful accounts at December 31, 2019 and 2018 were $530 and $373, respectively.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162"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r>
      <w:tr>
        <w:trPr>
          <w:trHeight w:val="210"/>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r>
      <w:tr>
        <w:trPr>
          <w:trHeight w:val="46"/>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Furniture and fixture</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w:t>
            </w:r>
          </w:p>
        </w:tc>
      </w:tr>
    </w:tbl>
    <w:p>
      <w:pPr>
        <w:spacing w:after="0" w:line="202"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property and equipment not yet placed into service are capitalized as construction-in-progress and depreciated once placed into service.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Long-Lived Assets</w:t>
      </w:r>
    </w:p>
    <w:p>
      <w:pPr>
        <w:spacing w:after="0" w:line="14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 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2019 or 2018.</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Intangible Assets</w:t>
      </w:r>
    </w:p>
    <w:p>
      <w:pPr>
        <w:spacing w:after="0" w:line="162" w:lineRule="exact"/>
        <w:rPr>
          <w:sz w:val="20"/>
          <w:szCs w:val="20"/>
          <w:color w:val="auto"/>
        </w:rPr>
      </w:pPr>
    </w:p>
    <w:p>
      <w:pPr>
        <w:ind w:left="460" w:right="879" w:firstLine="432"/>
        <w:spacing w:after="0" w:line="342" w:lineRule="auto"/>
        <w:rPr>
          <w:sz w:val="20"/>
          <w:szCs w:val="20"/>
          <w:color w:val="auto"/>
        </w:rPr>
      </w:pPr>
      <w:r>
        <w:rPr>
          <w:rFonts w:ascii="Arial" w:cs="Arial" w:eastAsia="Arial" w:hAnsi="Arial"/>
          <w:sz w:val="16"/>
          <w:szCs w:val="16"/>
          <w:color w:val="auto"/>
        </w:rPr>
        <w:t>Intangible assets are related to the establishment of Brands and capital contribution made by a non-controlling entity in the form of license agreement and from investment in the Company’s website domain.</w:t>
      </w:r>
    </w:p>
    <w:p>
      <w:pPr>
        <w:spacing w:after="0" w:line="43" w:lineRule="exact"/>
        <w:rPr>
          <w:sz w:val="20"/>
          <w:szCs w:val="20"/>
          <w:color w:val="auto"/>
        </w:rPr>
      </w:pPr>
    </w:p>
    <w:p>
      <w:pPr>
        <w:ind w:left="460" w:right="819" w:firstLine="432"/>
        <w:spacing w:after="0" w:line="291" w:lineRule="auto"/>
        <w:rPr>
          <w:sz w:val="20"/>
          <w:szCs w:val="20"/>
          <w:color w:val="auto"/>
        </w:rPr>
      </w:pPr>
      <w:r>
        <w:rPr>
          <w:rFonts w:ascii="Arial" w:cs="Arial" w:eastAsia="Arial" w:hAnsi="Arial"/>
          <w:sz w:val="16"/>
          <w:szCs w:val="16"/>
          <w:color w:val="auto"/>
        </w:rPr>
        <w:t>As of December 31, 2019, and 2018, the value of the license agreement was $167 and the Company’s domain was $3. Investments in the Company’s website are amortized over their estimated useful lives of</w:t>
      </w:r>
    </w:p>
    <w:p>
      <w:pPr>
        <w:ind w:left="460" w:right="739"/>
        <w:spacing w:after="0" w:line="260" w:lineRule="auto"/>
        <w:rPr>
          <w:sz w:val="20"/>
          <w:szCs w:val="20"/>
          <w:color w:val="auto"/>
        </w:rPr>
      </w:pPr>
      <w:r>
        <w:rPr>
          <w:rFonts w:ascii="Arial" w:cs="Arial" w:eastAsia="Arial" w:hAnsi="Arial"/>
          <w:sz w:val="18"/>
          <w:szCs w:val="18"/>
          <w:color w:val="auto"/>
        </w:rPr>
        <w:t>3 years. As of December 31, 2019, and 2018, amortizable intangible assets were $3 and $3, and accumulated amortization was $2 and $1, respectively.</w:t>
      </w:r>
    </w:p>
    <w:p>
      <w:pPr>
        <w:spacing w:after="0" w:line="11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There was no impairment recorded during the years ended December 31, 2019, or 2018.</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In accordance with Accounting Standards Update No. 2014-09 (Topic 606) “Revenue from Contracts with Customers”,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97"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79"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Equipment revenue includes resell of products designed and engineered by the Company such as vertical farming units and integrated grow racks. The transaction price is generally in the form of a fixed fee at contract inception. We do not offer a right of return for sales of equipment.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20"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06"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97"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1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and 2018, the Company has no product warranty accrual given the Company’s de minimis historical financial warranty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59"/>
        <w:spacing w:after="0" w:line="269" w:lineRule="auto"/>
        <w:rPr>
          <w:sz w:val="20"/>
          <w:szCs w:val="20"/>
          <w:color w:val="auto"/>
        </w:rPr>
      </w:pPr>
      <w:r>
        <w:rPr>
          <w:rFonts w:ascii="Arial" w:cs="Arial" w:eastAsia="Arial" w:hAnsi="Arial"/>
          <w:sz w:val="17"/>
          <w:szCs w:val="17"/>
          <w:color w:val="auto"/>
        </w:rPr>
        <w:t>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2017 through 2019 remain open for IRS audit. The Company has received no notice of audit from the IRS for any of the open tax years.</w:t>
      </w:r>
    </w:p>
    <w:p>
      <w:pPr>
        <w:spacing w:after="0" w:line="114"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was permitted. The guidance permits companies to either apply the requirements retrospectively to all prior periods presented, or apply the requirements in the year of adoption, through a cumulative adjustment.</w:t>
      </w:r>
    </w:p>
    <w:p>
      <w:pPr>
        <w:spacing w:after="0" w:line="101"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The Company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w:t>
      </w:r>
    </w:p>
    <w:p>
      <w:pPr>
        <w:spacing w:after="0" w:line="119"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 xml:space="preserve">In August 2014, the Financial Accounting Standards Board (“FASB”) issued ASU No. 2014-15, </w:t>
      </w:r>
      <w:r>
        <w:rPr>
          <w:rFonts w:ascii="Arial" w:cs="Arial" w:eastAsia="Arial" w:hAnsi="Arial"/>
          <w:sz w:val="18"/>
          <w:szCs w:val="18"/>
          <w:i w:val="1"/>
          <w:iCs w:val="1"/>
          <w:color w:val="auto"/>
        </w:rPr>
        <w:t xml:space="preserve">Disclosure of Uncertainties about an Entity’s Ability to Continue as a Going Concern </w:t>
      </w:r>
      <w:r>
        <w:rPr>
          <w:rFonts w:ascii="Arial" w:cs="Arial" w:eastAsia="Arial" w:hAnsi="Arial"/>
          <w:sz w:val="18"/>
          <w:szCs w:val="18"/>
          <w:color w:val="auto"/>
        </w:rPr>
        <w:t>(“ASU 2014-15”).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update explicitly require a company’s management to assess an entity’s ability to continue as a going concern and to provide related footnote disclosures in certain circumstances. For both public and nonpublic entities,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3" w:name="page174"/>
    <w:bookmarkEnd w:id="17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Recently Adopted Accounting Pronouncements </w:t>
      </w:r>
      <w:r>
        <w:rPr>
          <w:rFonts w:ascii="Arial" w:cs="Arial" w:eastAsia="Arial" w:hAnsi="Arial"/>
          <w:sz w:val="18"/>
          <w:szCs w:val="18"/>
          <w:color w:val="auto"/>
        </w:rPr>
        <w:t>(cont.)</w:t>
      </w:r>
    </w:p>
    <w:p>
      <w:pPr>
        <w:spacing w:after="0" w:line="189" w:lineRule="exact"/>
        <w:rPr>
          <w:sz w:val="20"/>
          <w:szCs w:val="20"/>
          <w:color w:val="auto"/>
        </w:rPr>
      </w:pPr>
    </w:p>
    <w:p>
      <w:pPr>
        <w:ind w:left="460" w:right="579"/>
        <w:spacing w:after="0" w:line="259" w:lineRule="auto"/>
        <w:rPr>
          <w:sz w:val="20"/>
          <w:szCs w:val="20"/>
          <w:color w:val="auto"/>
        </w:rPr>
      </w:pPr>
      <w:r>
        <w:rPr>
          <w:rFonts w:ascii="Arial" w:cs="Arial" w:eastAsia="Arial" w:hAnsi="Arial"/>
          <w:sz w:val="18"/>
          <w:szCs w:val="18"/>
          <w:color w:val="auto"/>
        </w:rPr>
        <w:t>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19"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Deferred Taxes </w:t>
      </w:r>
      <w:r>
        <w:rPr>
          <w:rFonts w:ascii="Arial" w:cs="Arial" w:eastAsia="Arial" w:hAnsi="Arial"/>
          <w:sz w:val="18"/>
          <w:szCs w:val="18"/>
          <w:color w:val="auto"/>
        </w:rPr>
        <w:t>(“ASU 2015-17”). ASU 2015-17 requires deferred tax liabilities and assets to</w:t>
      </w:r>
      <w:r>
        <w:rPr>
          <w:rFonts w:ascii="Arial" w:cs="Arial" w:eastAsia="Arial" w:hAnsi="Arial"/>
          <w:sz w:val="18"/>
          <w:szCs w:val="18"/>
          <w:i w:val="1"/>
          <w:iCs w:val="1"/>
          <w:color w:val="auto"/>
        </w:rPr>
        <w:t xml:space="preserve"> </w:t>
      </w:r>
      <w:r>
        <w:rPr>
          <w:rFonts w:ascii="Arial" w:cs="Arial" w:eastAsia="Arial" w:hAnsi="Arial"/>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1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w:t>
      </w:r>
      <w:r>
        <w:rPr>
          <w:rFonts w:ascii="Arial" w:cs="Arial" w:eastAsia="Arial" w:hAnsi="Arial"/>
          <w:sz w:val="18"/>
          <w:szCs w:val="18"/>
          <w:color w:val="auto"/>
        </w:rPr>
        <w:t>(“ASU 2016-18”), which requires that the statement of cash flows explain the change during the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62"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private entities, ASU 2016-02 is effective for annual reporting periods beginning after December 15, 2021,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Arial" w:cs="Arial" w:eastAsia="Arial" w:hAnsi="Arial"/>
          <w:sz w:val="16"/>
          <w:szCs w:val="16"/>
          <w:i w:val="1"/>
          <w:iCs w:val="1"/>
          <w:color w:val="auto"/>
        </w:rPr>
        <w:t>ASU No. 2018-11, Leases (Topic 842)</w:t>
      </w:r>
      <w:r>
        <w:rPr>
          <w:rFonts w:ascii="Arial" w:cs="Arial" w:eastAsia="Arial" w:hAnsi="Arial"/>
          <w:sz w:val="16"/>
          <w:szCs w:val="16"/>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106"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 Changes to the Disclosure Requirements for Fair Value Measurement </w:t>
      </w:r>
      <w:r>
        <w:rPr>
          <w:rFonts w:ascii="Arial" w:cs="Arial" w:eastAsia="Arial" w:hAnsi="Arial"/>
          <w:sz w:val="16"/>
          <w:szCs w:val="16"/>
          <w:color w:val="auto"/>
        </w:rPr>
        <w:t>(“ASU 2018-13”),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4" w:name="page175"/>
    <w:bookmarkEnd w:id="17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Prepaid Expenses and Other Receivables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87"/>
              <w:spacing w:after="0"/>
              <w:rPr>
                <w:sz w:val="20"/>
                <w:szCs w:val="20"/>
                <w:color w:val="auto"/>
              </w:rPr>
            </w:pPr>
            <w:r>
              <w:rPr>
                <w:rFonts w:ascii="Arial" w:cs="Arial" w:eastAsia="Arial" w:hAnsi="Arial"/>
                <w:sz w:val="16"/>
                <w:szCs w:val="16"/>
                <w:b w:val="1"/>
                <w:bCs w:val="1"/>
                <w:color w:val="auto"/>
                <w:w w:val="90"/>
              </w:rPr>
              <w:t>December 31,</w:t>
            </w:r>
          </w:p>
        </w:tc>
        <w:tc>
          <w:tcPr>
            <w:tcW w:w="32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87"/>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receivables</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98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Prepaid Inventory</w:t>
      </w:r>
    </w:p>
    <w:p>
      <w:pPr>
        <w:spacing w:after="0" w:line="14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of December 31, 2019 and 2018, prepaid inventory were $2,864 and $2,812, respectively. The Company’s standard payment terms with suppliers require to make payments in advance of delivery of the Company’s products. The prepaid inventory are short-term, non-bearing interest that are applied to the purchase of products once it is delivered by the third party supplier.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Property and Equipment, Net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consisted of the following:</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251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Vehicles</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278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290</w:t>
            </w:r>
          </w:p>
        </w:tc>
        <w:tc>
          <w:tcPr>
            <w:tcW w:w="160" w:type="dxa"/>
            <w:vAlign w:val="bottom"/>
          </w:tcPr>
          <w:p>
            <w:pPr>
              <w:spacing w:after="0"/>
              <w:rPr>
                <w:sz w:val="19"/>
                <w:szCs w:val="19"/>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(91)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w:t>
            </w: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187</w:t>
            </w:r>
          </w:p>
        </w:tc>
        <w:tc>
          <w:tcPr>
            <w:tcW w:w="92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259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Depreciation expense for 2019 and 2018 was $60 and $25, respectively.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Intangible Assets, net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intangible assets as of December 31, 2019 and 2018 was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License</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Domain</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46"/>
        </w:trPr>
        <w:tc>
          <w:tcPr>
            <w:tcW w:w="43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4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1"/>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4"/>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1159" w:firstLine="432"/>
        <w:spacing w:after="0" w:line="277" w:lineRule="auto"/>
        <w:rPr>
          <w:sz w:val="20"/>
          <w:szCs w:val="20"/>
          <w:color w:val="auto"/>
        </w:rPr>
      </w:pPr>
      <w:r>
        <w:rPr>
          <w:rFonts w:ascii="Arial" w:cs="Arial" w:eastAsia="Arial" w:hAnsi="Arial"/>
          <w:sz w:val="18"/>
          <w:szCs w:val="18"/>
          <w:color w:val="auto"/>
        </w:rPr>
        <w:t>Amortization expenses amounted to $1 and $1 for the years ended December 31, 2019 and 2018,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5" w:name="page176"/>
    <w:bookmarkEnd w:id="17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Accrued Expenses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Accrued expenses consisted of the following:</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major components of accrued expenses are summarized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gridSpan w:val="4"/>
          </w:tcPr>
          <w:p>
            <w:pPr>
              <w:jc w:val="right"/>
              <w:ind w:right="327"/>
              <w:spacing w:after="0"/>
              <w:rPr>
                <w:sz w:val="20"/>
                <w:szCs w:val="20"/>
                <w:color w:val="auto"/>
              </w:rPr>
            </w:pPr>
            <w:r>
              <w:rPr>
                <w:rFonts w:ascii="Arial" w:cs="Arial" w:eastAsia="Arial" w:hAnsi="Arial"/>
                <w:sz w:val="16"/>
                <w:szCs w:val="16"/>
                <w:b w:val="1"/>
                <w:bCs w:val="1"/>
                <w:color w:val="auto"/>
                <w:w w:val="90"/>
              </w:rPr>
              <w:t>December 31,</w:t>
            </w:r>
          </w:p>
        </w:tc>
        <w:tc>
          <w:tcPr>
            <w:tcW w:w="38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ind w:right="27"/>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deposit</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76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0"/>
        </w:trPr>
        <w:tc>
          <w:tcPr>
            <w:tcW w:w="5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tax</w:t>
            </w:r>
          </w:p>
        </w:tc>
        <w:tc>
          <w:tcPr>
            <w:tcW w:w="7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accrued expense</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920" w:type="dxa"/>
            <w:vAlign w:val="bottom"/>
            <w:gridSpan w:val="2"/>
            <w:shd w:val="clear" w:color="auto" w:fill="CCEEFF"/>
          </w:tcPr>
          <w:p>
            <w:pPr>
              <w:jc w:val="right"/>
              <w:ind w:right="72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Advance from Customers</w:t>
      </w:r>
    </w:p>
    <w:p>
      <w:pPr>
        <w:spacing w:after="0" w:line="16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As of December 31, 2019 and 2018, advance from customers were $2,360 and $3,400, respectively. The Company’s standard payment terms require customers to make payments in advance of delivery of the Company’s products. Advance from customers are short-term, non-bearing interest that are applied to the sales price of the products once it is delivered.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Capital 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w:t>
      </w:r>
    </w:p>
    <w:p>
      <w:pPr>
        <w:spacing w:after="0" w:line="162" w:lineRule="exact"/>
        <w:rPr>
          <w:sz w:val="20"/>
          <w:szCs w:val="20"/>
          <w:color w:val="auto"/>
        </w:rPr>
      </w:pPr>
    </w:p>
    <w:p>
      <w:pPr>
        <w:ind w:left="460" w:right="879" w:firstLine="432"/>
        <w:spacing w:after="0" w:line="342" w:lineRule="auto"/>
        <w:rPr>
          <w:sz w:val="20"/>
          <w:szCs w:val="20"/>
          <w:color w:val="auto"/>
        </w:rPr>
      </w:pPr>
      <w:r>
        <w:rPr>
          <w:rFonts w:ascii="Arial" w:cs="Arial" w:eastAsia="Arial" w:hAnsi="Arial"/>
          <w:sz w:val="16"/>
          <w:szCs w:val="16"/>
          <w:color w:val="auto"/>
        </w:rPr>
        <w:t>On November 16, 2018, the Company increased its authorized number of shares of common stock to 10,555,000 shares and to simultaneously declared a 1,000 for 1 stock split of its common shares.</w:t>
      </w:r>
    </w:p>
    <w:p>
      <w:pPr>
        <w:spacing w:after="0" w:line="4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On April 30, 2019, the Company entered into several agreements to issue 3,014,993 Series A Preferred Stock $0.001 par value at a purchase price of $2.61 per share. Simultaneously, the Company increased the authorized number of shares of common stock to 15,328,617 and authorized number of Series A Preferred Stock to 4,773,617. Holders of Series A Preferred Stock are entitled to receive dividend, if declared by the Company, prior to holders of Common Stock and in the amount equal to the product of (A) the dividend payable on each share of such class or series determined, if applicable, as if all shares of such class or series had been converted into Common Stock and (B) the number of shares of Common Stock issuable upon conversion of a share of Series A Preferred Stock, in each case calculated on the record date for determination of holders entitled to receive such dividend. In the event of any voluntary or involuntary liquidation, dissolution or winding up of the company, the holders of shares of Series A Preferred Stock then outstanding shall be entitled to be paid before any payment shall be made to the holders of Common Stock by reason of their ownership thereof, an amount per share equal to the greater of (i) the Series A original issue price, plus any dividend declare but unpaid thereon, or (ii) such amount per share as would have been payable had all shares of Series A Preferred Stock been converted into Common Stock.</w:t>
      </w:r>
    </w:p>
    <w:p>
      <w:pPr>
        <w:spacing w:after="0" w:line="103"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As of December 31, 2019 and 2018, the Company’s certificate of incorporation, as amended and restated, authorized the Company to issue 15,328,617 and 10,555,000 share of common stock $0.001 par value and 4,773,617 and 0 of Preferred A shares, $0.001 par value, respectively. As of December 31, 2019 and 2018, the Company had 9,538,746 and 9,500,000 shares of common stock and 3,014,993 and 0 of Preferred A shares, issued and outstanding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6" w:name="page177"/>
    <w:bookmarkEnd w:id="17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 Capital Structure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Convertible Notes</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Series 1 KISS</w:t>
      </w:r>
    </w:p>
    <w:p>
      <w:pPr>
        <w:spacing w:after="0" w:line="158"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On May 11, 2018, the Company issued Series 1 KISS notes for $500 (“KISS 1”). The KISS 1 has maturity date of 18 months from the date of issuance and shall:</w:t>
      </w:r>
    </w:p>
    <w:p>
      <w:pPr>
        <w:spacing w:after="0" w:line="103" w:lineRule="exact"/>
        <w:rPr>
          <w:sz w:val="20"/>
          <w:szCs w:val="20"/>
          <w:color w:val="auto"/>
        </w:rPr>
      </w:pPr>
    </w:p>
    <w:p>
      <w:pPr>
        <w:ind w:left="1280" w:hanging="394"/>
        <w:spacing w:after="0"/>
        <w:tabs>
          <w:tab w:leader="none" w:pos="12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Be automatically converted to 500,000 Preferred Stock issued in the next equity financing; or</w:t>
      </w:r>
    </w:p>
    <w:p>
      <w:pPr>
        <w:spacing w:after="0" w:line="142" w:lineRule="exact"/>
        <w:rPr>
          <w:rFonts w:ascii="Arial" w:cs="Arial" w:eastAsia="Arial" w:hAnsi="Arial"/>
          <w:sz w:val="17"/>
          <w:szCs w:val="17"/>
          <w:color w:val="auto"/>
        </w:rPr>
      </w:pPr>
    </w:p>
    <w:p>
      <w:pPr>
        <w:ind w:left="1320" w:right="479" w:hanging="434"/>
        <w:spacing w:after="0" w:line="279" w:lineRule="auto"/>
        <w:tabs>
          <w:tab w:leader="none" w:pos="1283" w:val="left"/>
        </w:tabs>
        <w:numPr>
          <w:ilvl w:val="0"/>
          <w:numId w:val="66"/>
        </w:numPr>
        <w:rPr>
          <w:rFonts w:ascii="Arial" w:cs="Arial" w:eastAsia="Arial" w:hAnsi="Arial"/>
          <w:sz w:val="17"/>
          <w:szCs w:val="17"/>
          <w:color w:val="auto"/>
        </w:rPr>
      </w:pPr>
      <w:r>
        <w:rPr>
          <w:rFonts w:ascii="Arial" w:cs="Arial" w:eastAsia="Arial" w:hAnsi="Arial"/>
          <w:sz w:val="17"/>
          <w:szCs w:val="17"/>
          <w:color w:val="auto"/>
        </w:rPr>
        <w:t>At the election of KISS 1’s holder, be converted to 500,000 Common Stock or be paid $1,000 (two times the purchase price of KISS 1),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76" w:lineRule="exact"/>
        <w:rPr>
          <w:rFonts w:ascii="Arial" w:cs="Arial" w:eastAsia="Arial" w:hAnsi="Arial"/>
          <w:sz w:val="17"/>
          <w:szCs w:val="17"/>
          <w:color w:val="auto"/>
        </w:rPr>
      </w:pPr>
    </w:p>
    <w:p>
      <w:pPr>
        <w:ind w:left="1320" w:right="539" w:hanging="434"/>
        <w:spacing w:after="0" w:line="263" w:lineRule="auto"/>
        <w:tabs>
          <w:tab w:leader="none" w:pos="1283"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Unless earlier converted to equity or repaid, be converted at the election of KISS1’s holder to 500,000 shares of a newly created series of the Company’s Series Seed Preferred Stock, at any time on or after the maturity of KISS 1.</w:t>
      </w:r>
    </w:p>
    <w:p>
      <w:pPr>
        <w:spacing w:after="0" w:line="116"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Series 1 KISS do not bear any interest. On April 30, 2019, the KISS 1 note was converted to 500,000 Preferred A Stock as part of the Company’s Preferred A financing round.</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Series 1.A KISS</w:t>
      </w:r>
    </w:p>
    <w:p>
      <w:pPr>
        <w:spacing w:after="0" w:line="144" w:lineRule="exact"/>
        <w:rPr>
          <w:sz w:val="20"/>
          <w:szCs w:val="20"/>
          <w:color w:val="auto"/>
        </w:rPr>
      </w:pPr>
    </w:p>
    <w:p>
      <w:pPr>
        <w:ind w:left="460" w:right="539" w:firstLine="432"/>
        <w:spacing w:after="0" w:line="342" w:lineRule="auto"/>
        <w:rPr>
          <w:sz w:val="20"/>
          <w:szCs w:val="20"/>
          <w:color w:val="auto"/>
        </w:rPr>
      </w:pPr>
      <w:r>
        <w:rPr>
          <w:rFonts w:ascii="Arial" w:cs="Arial" w:eastAsia="Arial" w:hAnsi="Arial"/>
          <w:sz w:val="16"/>
          <w:szCs w:val="16"/>
          <w:color w:val="auto"/>
        </w:rPr>
        <w:t>During August 3, 2018 and September 14, 2018, the Company issued Series 1.A KISS notes for a total of $800 (“KISS 1.A”). The KISS 1.A has maturity date of 18 months from the date of issuance and shall:</w:t>
      </w:r>
    </w:p>
    <w:p>
      <w:pPr>
        <w:spacing w:after="0" w:line="56" w:lineRule="exact"/>
        <w:rPr>
          <w:sz w:val="20"/>
          <w:szCs w:val="20"/>
          <w:color w:val="auto"/>
        </w:rPr>
      </w:pPr>
    </w:p>
    <w:p>
      <w:pPr>
        <w:ind w:left="1280" w:hanging="394"/>
        <w:spacing w:after="0"/>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Be automatically converted to Preferred Stock issued in the next equity financing; or</w:t>
      </w:r>
    </w:p>
    <w:p>
      <w:pPr>
        <w:spacing w:after="0" w:line="130" w:lineRule="exact"/>
        <w:rPr>
          <w:rFonts w:ascii="Arial" w:cs="Arial" w:eastAsia="Arial" w:hAnsi="Arial"/>
          <w:sz w:val="18"/>
          <w:szCs w:val="18"/>
          <w:color w:val="auto"/>
        </w:rPr>
      </w:pPr>
    </w:p>
    <w:p>
      <w:pPr>
        <w:ind w:left="1320" w:right="559" w:hanging="434"/>
        <w:spacing w:after="0" w:line="279" w:lineRule="auto"/>
        <w:tabs>
          <w:tab w:leader="none" w:pos="1283" w:val="left"/>
        </w:tabs>
        <w:numPr>
          <w:ilvl w:val="0"/>
          <w:numId w:val="67"/>
        </w:numPr>
        <w:rPr>
          <w:rFonts w:ascii="Arial" w:cs="Arial" w:eastAsia="Arial" w:hAnsi="Arial"/>
          <w:sz w:val="17"/>
          <w:szCs w:val="17"/>
          <w:color w:val="auto"/>
        </w:rPr>
      </w:pPr>
      <w:r>
        <w:rPr>
          <w:rFonts w:ascii="Arial" w:cs="Arial" w:eastAsia="Arial" w:hAnsi="Arial"/>
          <w:sz w:val="17"/>
          <w:szCs w:val="17"/>
          <w:color w:val="auto"/>
        </w:rPr>
        <w:t>At the election of KISS 1.A’s holders, be converted to Common Stock or be paid $1,600 (two times the purchase price of KISS 1.A),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90" w:lineRule="exact"/>
        <w:rPr>
          <w:rFonts w:ascii="Arial" w:cs="Arial" w:eastAsia="Arial" w:hAnsi="Arial"/>
          <w:sz w:val="17"/>
          <w:szCs w:val="17"/>
          <w:color w:val="auto"/>
        </w:rPr>
      </w:pPr>
    </w:p>
    <w:p>
      <w:pPr>
        <w:ind w:left="1320" w:right="799" w:hanging="434"/>
        <w:spacing w:after="0" w:line="277" w:lineRule="auto"/>
        <w:tabs>
          <w:tab w:leader="none" w:pos="1283"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Unless earlier converted to equity or repaid, be converted at the election of KISS1.A’s holders to shares, at any time on or after the maturity of KISS 1.</w:t>
      </w:r>
    </w:p>
    <w:p>
      <w:pPr>
        <w:spacing w:after="0" w:line="89"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conversion rate of KISS 1.A notes shall be calculated as the lower of (A) the product of (1) ninety percent (90%) and (2) the price paid per share for Preferred Stock by the investors in the next equity financing or (B) the quotient resulting from dividing (1) the valuation cap of $20,000 by (2) the fully-diluted capitalization immediately prior to the closing of the next equity financing.</w:t>
      </w:r>
    </w:p>
    <w:p>
      <w:pPr>
        <w:spacing w:after="0" w:line="119"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Series 1.A KISS do not bear any interest and were converted to 442,199 Preferred A Stock on April 30, 2019 as part of the Company’s Preferred A financing round.</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 Plan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November 2018, TriGrow adopted its 2018 Stock Plan allowing the issuance of 1,055,000 shares.</w:t>
      </w:r>
    </w:p>
    <w:p>
      <w:pPr>
        <w:spacing w:after="0" w:line="18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$74 and $0 for the years ended December 31, 2019 and 2018, respectively, and there was $0 of total unrecognized compensation cost related to unvested options granted under the Company’s options plans as of December 31, 2019. All outstanding stock options were cancelled on December 31, 2019.</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7" w:name="page178"/>
    <w:bookmarkEnd w:id="17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following table summarizes the Company’s assumptions used in the valuation of options for the year ended December 31, 2019:</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40"/>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Expected life (years)</w:t>
            </w:r>
          </w:p>
        </w:tc>
        <w:tc>
          <w:tcPr>
            <w:tcW w:w="352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40"/>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1"/>
        </w:trPr>
        <w:tc>
          <w:tcPr>
            <w:tcW w:w="4580" w:type="dxa"/>
            <w:vAlign w:val="bottom"/>
            <w:shd w:val="clear" w:color="auto" w:fill="CCEEFF"/>
          </w:tcPr>
          <w:p>
            <w:pPr>
              <w:spacing w:after="0"/>
              <w:rPr>
                <w:sz w:val="3"/>
                <w:szCs w:val="3"/>
                <w:color w:val="auto"/>
              </w:rPr>
            </w:pPr>
          </w:p>
        </w:tc>
        <w:tc>
          <w:tcPr>
            <w:tcW w:w="35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0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13"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presents option activity under the Company’s stock option plans as of December 31, 2019 and changes during years than ended: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70"/>
              <w:spacing w:after="0"/>
              <w:rPr>
                <w:sz w:val="20"/>
                <w:szCs w:val="20"/>
                <w:color w:val="auto"/>
              </w:rPr>
            </w:pPr>
            <w:r>
              <w:rPr>
                <w:rFonts w:ascii="Arial" w:cs="Arial" w:eastAsia="Arial" w:hAnsi="Arial"/>
                <w:sz w:val="16"/>
                <w:szCs w:val="16"/>
                <w:b w:val="1"/>
                <w:bCs w:val="1"/>
                <w:color w:val="auto"/>
              </w:rPr>
              <w:t>Weighted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30"/>
              <w:spacing w:after="0"/>
              <w:rPr>
                <w:sz w:val="20"/>
                <w:szCs w:val="20"/>
                <w:color w:val="auto"/>
              </w:rPr>
            </w:pPr>
            <w:r>
              <w:rPr>
                <w:rFonts w:ascii="Arial" w:cs="Arial" w:eastAsia="Arial" w:hAnsi="Arial"/>
                <w:sz w:val="16"/>
                <w:szCs w:val="16"/>
                <w:b w:val="1"/>
                <w:bCs w:val="1"/>
                <w:color w:val="auto"/>
              </w:rPr>
              <w:t>average</w:t>
            </w:r>
          </w:p>
        </w:tc>
        <w:tc>
          <w:tcPr>
            <w:tcW w:w="116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10"/>
              <w:spacing w:after="0"/>
              <w:rPr>
                <w:sz w:val="20"/>
                <w:szCs w:val="20"/>
                <w:color w:val="auto"/>
              </w:rPr>
            </w:pPr>
            <w:r>
              <w:rPr>
                <w:rFonts w:ascii="Arial" w:cs="Arial" w:eastAsia="Arial" w:hAnsi="Arial"/>
                <w:sz w:val="16"/>
                <w:szCs w:val="16"/>
                <w:b w:val="1"/>
                <w:bCs w:val="1"/>
                <w:color w:val="auto"/>
                <w:w w:val="86"/>
              </w:rPr>
              <w:t>exercise price</w:t>
            </w:r>
          </w:p>
        </w:tc>
        <w:tc>
          <w:tcPr>
            <w:tcW w:w="1160" w:type="dxa"/>
            <w:vAlign w:val="bottom"/>
          </w:tcPr>
          <w:p>
            <w:pPr>
              <w:jc w:val="center"/>
              <w:ind w:right="35"/>
              <w:spacing w:after="0"/>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979,279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38,746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Cancelled or expired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940,533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w w:val="94"/>
              </w:rPr>
              <w:t>Options vested and exercisable as of December 31, 2019</w:t>
            </w:r>
          </w:p>
        </w:tc>
        <w:tc>
          <w:tcPr>
            <w:tcW w:w="1180" w:type="dxa"/>
            <w:vAlign w:val="bottom"/>
            <w:gridSpan w:val="2"/>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60" w:type="dxa"/>
            <w:vAlign w:val="bottom"/>
            <w:tcBorders>
              <w:bottom w:val="single" w:sz="8" w:color="CCEEFF"/>
            </w:tcBorders>
            <w:vMerge w:val="continue"/>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gridSpan w:val="2"/>
            <w:vMerge w:val="continue"/>
          </w:tcPr>
          <w:p>
            <w:pPr>
              <w:spacing w:after="0"/>
              <w:rPr>
                <w:sz w:val="22"/>
                <w:szCs w:val="22"/>
                <w:color w:val="auto"/>
              </w:rPr>
            </w:pPr>
          </w:p>
        </w:tc>
        <w:tc>
          <w:tcPr>
            <w:tcW w:w="1240" w:type="dxa"/>
            <w:vAlign w:val="bottom"/>
            <w:tcBorders>
              <w:bottom w:val="single" w:sz="8" w:color="CCEEFF"/>
            </w:tcBorders>
            <w:gridSpan w:val="3"/>
            <w:vMerge w:val="continue"/>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fair value of options granted in 2019</w:t>
            </w: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aggregate intrinsic value at December 31, 2019 was $196 as the Company’s stock price of $0.201 on grant date was higher than the exercise price of the stock options.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8" w:name="page179"/>
    <w:bookmarkEnd w:id="17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Income Taxes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December 22, 2017, the Tax Cuts and Jobs Act (the “Act”) was signed into law. The Act decreased the U.S. corporate federal income tax rate from a maximum of 35% to a flat 21% effective January 1, 2018. The Act also includes a number of other provisions including, among others, the elimination of net operating loss carrybacks and limitations on the use of future losses, the repeal of the Alternative Minimum Tax regime and the repeal of the domestic production activities deduction. These provisions are not expected to have a material effect on the Corporation. Given the significant complexity of the Act and anticipated additional implementation guidance from the Internal Revenue Service, further implications of the Act may be identified in future periods.</w:t>
      </w:r>
    </w:p>
    <w:p>
      <w:pPr>
        <w:spacing w:after="0" w:line="124"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As of December 31, 2018, the Company has incurred aggregate net operating losses of approximately $2,452. There was no Federal income tax expense for the years ended December 31, 2019 and 2018 due to the Company’s net losses. The Company has not yet filed its 2019 Federal and State tax returns. The net operating losses carry forward for United States income taxes, which may be available to reduce future years’ taxable income. Management believes that the realization of the benefits from these losses appears not more than likely due to the Company’s limited operating history and continuing losses for United States income tax purposes. Accordingly, the Company has provided a 100% valuation allowance on the deferred tax asset to reduce the asset to zero. Management will review this valuation allowance periodically and make adjustments as necessary.</w:t>
      </w:r>
    </w:p>
    <w:p>
      <w:pPr>
        <w:spacing w:after="0" w:line="98"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following table summarizes the significant differences between the U.S. Federal statutory tax rate and the Company’s effective tax rate for financial statement purposes for the years ended December 31, 2019 and 2018:</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800" w:type="dxa"/>
            <w:vAlign w:val="bottom"/>
            <w:gridSpan w:val="4"/>
          </w:tcPr>
          <w:p>
            <w:pPr>
              <w:ind w:left="840"/>
              <w:spacing w:after="0"/>
              <w:rPr>
                <w:sz w:val="20"/>
                <w:szCs w:val="20"/>
                <w:color w:val="auto"/>
              </w:rPr>
            </w:pPr>
            <w:r>
              <w:rPr>
                <w:rFonts w:ascii="Arial" w:cs="Arial" w:eastAsia="Arial" w:hAnsi="Arial"/>
                <w:sz w:val="16"/>
                <w:szCs w:val="16"/>
                <w:b w:val="1"/>
                <w:bCs w:val="1"/>
                <w:color w:val="auto"/>
                <w:w w:val="90"/>
              </w:rPr>
              <w:t>December 31,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7"/>
        </w:trPr>
        <w:tc>
          <w:tcPr>
            <w:tcW w:w="54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5460" w:type="dxa"/>
            <w:vAlign w:val="bottom"/>
          </w:tcPr>
          <w:p>
            <w:pPr>
              <w:spacing w:after="0"/>
              <w:rPr>
                <w:sz w:val="20"/>
                <w:szCs w:val="20"/>
                <w:color w:val="auto"/>
              </w:rPr>
            </w:pPr>
          </w:p>
        </w:tc>
        <w:tc>
          <w:tcPr>
            <w:tcW w:w="1000" w:type="dxa"/>
            <w:vAlign w:val="bottom"/>
          </w:tcPr>
          <w:p>
            <w:pPr>
              <w:jc w:val="right"/>
              <w:ind w:right="133"/>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ind w:right="192"/>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54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4"/>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21.00%</w:t>
            </w: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State taxes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0.66%</w:t>
            </w:r>
          </w:p>
        </w:tc>
      </w:tr>
      <w:tr>
        <w:trPr>
          <w:trHeight w:val="40"/>
        </w:trPr>
        <w:tc>
          <w:tcPr>
            <w:tcW w:w="5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(21.66)%</w:t>
            </w:r>
          </w:p>
        </w:tc>
      </w:tr>
      <w:tr>
        <w:trPr>
          <w:trHeight w:val="244"/>
        </w:trPr>
        <w:tc>
          <w:tcPr>
            <w:tcW w:w="546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The tax effects of temporary differences that give rise to deferred tax assets and liabilities as of December 31, 2019 and 2018 are summarized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7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deferred tax asset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Company provided a valuation allowance equal to the deferred income tax asset for the year ended December 31, 2019 because it was not known whether future taxable income will be sufficient to utilize the loss carryforward. The increase in the allowance was $1,060 in fiscal 2019. As of December 31, 2019, the Company has not performed an IRC Section 382 study to determine the amount, if any, of its net operating losses that may be limited as a result of the ownership change percentages during 2019 and prior years. The Company does not have any uncertain tax positions or events leading to uncertainty in a tax position. The Company’s 2017 through 2019 Corporate Income Tax Returns are subject to Internal Revenue Service examination.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9" w:name="page180"/>
    <w:bookmarkEnd w:id="17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40" w:right="1640"/>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Employee Benefit Plan</w:t>
      </w:r>
    </w:p>
    <w:p>
      <w:pPr>
        <w:spacing w:after="0" w:line="14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the Company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Commitments and Contingencies Legal Proceedings</w:t>
      </w:r>
    </w:p>
    <w:p>
      <w:pPr>
        <w:spacing w:after="0" w:line="162" w:lineRule="exact"/>
        <w:rPr>
          <w:sz w:val="20"/>
          <w:szCs w:val="20"/>
          <w:color w:val="auto"/>
        </w:rPr>
      </w:pPr>
    </w:p>
    <w:p>
      <w:pPr>
        <w:jc w:val="both"/>
        <w:ind w:left="460" w:right="619" w:firstLine="432"/>
        <w:spacing w:after="0" w:line="257"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 Subsequent Events</w:t>
      </w:r>
    </w:p>
    <w:p>
      <w:pPr>
        <w:spacing w:after="0" w:line="162"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June 5, 2020, the date which the consolidated financial statements were available to be issued, require potential adjustment to or disclosure in the consolidated financial statements. With the exception of the matters discussed below, there were no material subsequent events that required recognition or disclosure in these consolidated financial statements.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Acquisition of TriGrow Systems, Inc.</w:t>
      </w:r>
    </w:p>
    <w:p>
      <w:pPr>
        <w:spacing w:after="0" w:line="144"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On January 22, 2020 the Company was acquired by Agrify Corporation, Inc. (“Agrify”), and became a wholly-owned subsidiary of the Agrify. The Company was a distributor of Agrify’s automated, micro-climate, precision controlled vertical farming units solution for indoor grows. In consideration of the Company’s shares, Agrify issued to the Company’s shareholders 942,028 shares of common stocks $0.001 par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0" w:name="page181"/>
    <w:bookmarkEnd w:id="180"/>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303530</wp:posOffset>
            </wp:positionV>
            <wp:extent cx="5143500"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346710</wp:posOffset>
            </wp:positionV>
            <wp:extent cx="514350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b w:val="1"/>
          <w:bCs w:val="1"/>
          <w:color w:val="auto"/>
        </w:rPr>
        <w:t>Through and including , 2021 (the 25</w:t>
      </w:r>
      <w:r>
        <w:rPr>
          <w:rFonts w:ascii="Arial" w:cs="Arial" w:eastAsia="Arial" w:hAnsi="Arial"/>
          <w:sz w:val="19"/>
          <w:szCs w:val="19"/>
          <w:b w:val="1"/>
          <w:bCs w:val="1"/>
          <w:color w:val="auto"/>
          <w:vertAlign w:val="superscript"/>
        </w:rPr>
        <w:t>th</w:t>
      </w:r>
      <w:r>
        <w:rPr>
          <w:rFonts w:ascii="Arial" w:cs="Arial" w:eastAsia="Arial" w:hAnsi="Arial"/>
          <w:sz w:val="17"/>
          <w:szCs w:val="17"/>
          <w:b w:val="1"/>
          <w:bCs w:val="1"/>
          <w:color w:val="auto"/>
        </w:rPr>
        <w:t xml:space="preserve"> day after the date of this prospectus), all dealers effecting transactions in these securities, whether or not participating in this offering, may be required to deliver a prospectus. This requirement is in addition to a dealers’ obligation to deliver a prospectus when acting as an underwriter and with respect to an unsold allotment or membership.</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2,777,778 Shares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426085</wp:posOffset>
            </wp:positionV>
            <wp:extent cx="3051810" cy="8572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05181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8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164" w:lineRule="exact"/>
        <w:rPr>
          <w:sz w:val="20"/>
          <w:szCs w:val="20"/>
          <w:color w:val="auto"/>
        </w:rPr>
      </w:pPr>
    </w:p>
    <w:p>
      <w:pPr>
        <w:ind w:left="1380"/>
        <w:spacing w:after="0"/>
        <w:tabs>
          <w:tab w:leader="none" w:pos="5320" w:val="left"/>
        </w:tabs>
        <w:rPr>
          <w:sz w:val="20"/>
          <w:szCs w:val="20"/>
          <w:color w:val="auto"/>
        </w:rPr>
      </w:pPr>
      <w:r>
        <w:rPr>
          <w:rFonts w:ascii="Arial" w:cs="Arial" w:eastAsia="Arial" w:hAnsi="Arial"/>
          <w:sz w:val="25"/>
          <w:szCs w:val="25"/>
          <w:b w:val="1"/>
          <w:bCs w:val="1"/>
          <w:color w:val="auto"/>
        </w:rPr>
        <w:t>Maxim Group LLC</w:t>
      </w:r>
      <w:r>
        <w:rPr>
          <w:sz w:val="20"/>
          <w:szCs w:val="20"/>
          <w:color w:val="auto"/>
        </w:rPr>
        <w:tab/>
      </w:r>
      <w:r>
        <w:rPr>
          <w:rFonts w:ascii="Arial" w:cs="Arial" w:eastAsia="Arial" w:hAnsi="Arial"/>
          <w:sz w:val="23"/>
          <w:szCs w:val="23"/>
          <w:b w:val="1"/>
          <w:bCs w:val="1"/>
          <w:color w:val="auto"/>
        </w:rPr>
        <w:t>Roth Capital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560" w:hanging="722"/>
        <w:spacing w:after="0"/>
        <w:tabs>
          <w:tab w:leader="none" w:pos="45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542290</wp:posOffset>
            </wp:positionV>
            <wp:extent cx="514350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585470</wp:posOffset>
            </wp:positionV>
            <wp:extent cx="514350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859790</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1" w:name="page182"/>
    <w:bookmarkEnd w:id="18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62"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following table sets forth the various expenses, all of which will be borne by the registrant, in connection with the sale and distribution of the securities being registered, other than the underwriting discounts and commissions. All amounts shown are estimates except for the SEC registration fee and the FINRA filing fee.</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3,293.46</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FINRA fees</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5,028.13</w:t>
            </w:r>
          </w:p>
        </w:tc>
      </w:tr>
      <w:tr>
        <w:trPr>
          <w:trHeight w:val="40"/>
        </w:trPr>
        <w:tc>
          <w:tcPr>
            <w:tcW w:w="46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listing fees</w:t>
            </w:r>
          </w:p>
        </w:tc>
        <w:tc>
          <w:tcPr>
            <w:tcW w:w="2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40"/>
        </w:trPr>
        <w:tc>
          <w:tcPr>
            <w:tcW w:w="46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380,000</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660,000</w:t>
            </w:r>
          </w:p>
        </w:tc>
      </w:tr>
      <w:tr>
        <w:trPr>
          <w:trHeight w:val="41"/>
        </w:trPr>
        <w:tc>
          <w:tcPr>
            <w:tcW w:w="46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101,678.41</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1,250,000</w:t>
            </w:r>
          </w:p>
        </w:tc>
      </w:tr>
    </w:tbl>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We are a Nevada corporation and generally governed by the Nevada Private Corporations Code, Title 78 of the Nevada Revised Statutes, or NRS.</w:t>
      </w:r>
    </w:p>
    <w:p>
      <w:pPr>
        <w:spacing w:after="0" w:line="76"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82"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70" w:lineRule="exact"/>
        <w:rPr>
          <w:sz w:val="20"/>
          <w:szCs w:val="20"/>
          <w:color w:val="auto"/>
        </w:rPr>
      </w:pPr>
    </w:p>
    <w:p>
      <w:pPr>
        <w:ind w:left="460" w:right="779" w:firstLine="432"/>
        <w:spacing w:after="0" w:line="257" w:lineRule="auto"/>
        <w:rPr>
          <w:sz w:val="20"/>
          <w:szCs w:val="20"/>
          <w:color w:val="auto"/>
        </w:rPr>
      </w:pPr>
      <w:r>
        <w:rPr>
          <w:rFonts w:ascii="Arial" w:cs="Arial" w:eastAsia="Arial" w:hAnsi="Arial"/>
          <w:sz w:val="18"/>
          <w:szCs w:val="18"/>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93" w:lineRule="exact"/>
        <w:rPr>
          <w:sz w:val="20"/>
          <w:szCs w:val="20"/>
          <w:color w:val="auto"/>
        </w:rPr>
      </w:pPr>
    </w:p>
    <w:p>
      <w:pPr>
        <w:ind w:left="460" w:right="619" w:firstLine="432"/>
        <w:spacing w:after="0" w:line="291" w:lineRule="auto"/>
        <w:rPr>
          <w:sz w:val="20"/>
          <w:szCs w:val="20"/>
          <w:color w:val="auto"/>
        </w:rPr>
      </w:pPr>
      <w:r>
        <w:rPr>
          <w:rFonts w:ascii="Arial" w:cs="Arial" w:eastAsia="Arial" w:hAnsi="Arial"/>
          <w:sz w:val="16"/>
          <w:szCs w:val="16"/>
          <w:color w:val="auto"/>
        </w:rPr>
        <w:t>Discretionary indemnification pursuant to Section 78.7502 may be made as authorized upon determination that the indemnification is proper under the circumstances. Such determination may be made by</w:t>
      </w:r>
    </w:p>
    <w:p>
      <w:pPr>
        <w:jc w:val="both"/>
        <w:ind w:left="460" w:right="499" w:hanging="6"/>
        <w:spacing w:after="0" w:line="253" w:lineRule="auto"/>
        <w:tabs>
          <w:tab w:leader="none" w:pos="6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9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8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2" w:name="page183"/>
    <w:bookmarkEnd w:id="18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460" w:right="1019"/>
        <w:spacing w:after="0" w:line="257" w:lineRule="auto"/>
        <w:rPr>
          <w:sz w:val="20"/>
          <w:szCs w:val="20"/>
          <w:color w:val="auto"/>
        </w:rPr>
      </w:pPr>
      <w:r>
        <w:rPr>
          <w:rFonts w:ascii="Arial" w:cs="Arial" w:eastAsia="Arial" w:hAnsi="Arial"/>
          <w:sz w:val="18"/>
          <w:szCs w:val="18"/>
          <w:color w:val="auto"/>
        </w:rPr>
        <w:t>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93"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87"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8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At the present time, there is no pending litigation or proceeding involving a director, officer, employee, or other agent of ours in which indemnification would be required or permitted. We are not aware of any threatened litigation or proceeding that may result in a claim for such indemnification.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The information below lists all of the securities sold by us during the past three years which were not registered under the Securities Act:</w:t>
      </w:r>
    </w:p>
    <w:p>
      <w:pPr>
        <w:spacing w:after="0" w:line="6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In June 2019, the Company issued 1,289,667 shares of its common stock to 4D NXT Capital, LLC in consideration for services rendered to the Company, which shares were subsequently distributed from 4D NXT Capital, LLC to its members or related parties of its members.</w:t>
      </w:r>
    </w:p>
    <w:p>
      <w:pPr>
        <w:spacing w:after="0" w:line="76"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In January 2020, the Company issued an aggregate of 595,552 shares of its common stock to the TriGrow shareholders in connection with the merger with TriGrow.</w:t>
      </w:r>
    </w:p>
    <w:p>
      <w:pPr>
        <w:spacing w:after="0" w:line="62"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The Company issued an aggregate of 100,000 shares of the Company’s Series A Convertible Preferred Stock (“Series A Preferred Shares”) for an aggregate purchase price of $10,000,000, which shares shall convert into common stock upon the closing of this offering, on the following dates:</w:t>
      </w:r>
    </w:p>
    <w:p>
      <w:pPr>
        <w:spacing w:after="0" w:line="98" w:lineRule="exact"/>
        <w:rPr>
          <w:sz w:val="20"/>
          <w:szCs w:val="20"/>
          <w:color w:val="auto"/>
        </w:rPr>
      </w:pPr>
    </w:p>
    <w:p>
      <w:pPr>
        <w:ind w:left="1300" w:hanging="414"/>
        <w:spacing w:after="0"/>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January 10, 2020: 40,000 Series A Preferred Shares were issued by the Company to three investors.</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January 13, 2020: 5,000 Series A Preferred Shares were issued by the Company to one investor.</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January 21, 2020: 10,000 Series A Preferred Shares were issued by the Company to one investor.</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March 17, 2020: 5,000 Series A Preferred Shares were issued by the Company to one investor.</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May 7, 2020: 40,000 Series A Preferred Shares were issued by the Company to one investor.</w:t>
      </w:r>
    </w:p>
    <w:p>
      <w:pPr>
        <w:spacing w:after="0" w:line="129"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In December 2019, the Company issued stock options to its officers, directors and employees to purchase an aggregate of 493,102 shares of its common stock. In May 2020, the Company cancelled all the options that were granted in December 2019 in consideration of services provided to the Company.</w:t>
      </w:r>
    </w:p>
    <w:p>
      <w:pPr>
        <w:spacing w:after="0" w:line="57"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In May 2020, the Company issued stock options to purchase an aggregate of 1,645,501 shares of its common stock to its officers, directors and employees in consideration for services provided, or to be provided, to the Company.</w:t>
      </w:r>
    </w:p>
    <w:p>
      <w:pPr>
        <w:spacing w:after="0" w:line="76" w:lineRule="exact"/>
        <w:rPr>
          <w:sz w:val="20"/>
          <w:szCs w:val="20"/>
          <w:color w:val="auto"/>
        </w:rPr>
      </w:pPr>
    </w:p>
    <w:p>
      <w:pPr>
        <w:ind w:left="460" w:right="459" w:firstLine="432"/>
        <w:spacing w:after="0" w:line="263" w:lineRule="auto"/>
        <w:rPr>
          <w:sz w:val="20"/>
          <w:szCs w:val="20"/>
          <w:color w:val="auto"/>
        </w:rPr>
      </w:pPr>
      <w:r>
        <w:rPr>
          <w:rFonts w:ascii="Arial" w:cs="Arial" w:eastAsia="Arial" w:hAnsi="Arial"/>
          <w:sz w:val="18"/>
          <w:szCs w:val="18"/>
          <w:color w:val="auto"/>
        </w:rPr>
        <w:t>In July 2020, the Company issued stock options to purchase an aggregate of 211,113 shares of its common stock to its officers, directors and employees in consideration for services provided, or to be provided, to the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3" w:name="page184"/>
    <w:bookmarkEnd w:id="18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In August 2020, the Company issued stock options to purchase an aggregate of 15,362 shares of its common stock to its officers, directors and employees in consideration for services provided, or to be provided, to the Company.</w:t>
      </w:r>
    </w:p>
    <w:p>
      <w:pPr>
        <w:spacing w:after="0" w:line="76"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In October 2020, the Company issued stock options to purchase an aggregate of 1,540,544 shares of its common stock to its officers, directors and employees in consideration for services provided, or to be provided, to the Company.</w:t>
      </w:r>
    </w:p>
    <w:p>
      <w:pPr>
        <w:spacing w:after="0" w:line="76" w:lineRule="exact"/>
        <w:rPr>
          <w:sz w:val="20"/>
          <w:szCs w:val="20"/>
          <w:color w:val="auto"/>
        </w:rPr>
      </w:pPr>
    </w:p>
    <w:p>
      <w:pPr>
        <w:ind w:left="460" w:right="779" w:firstLine="432"/>
        <w:spacing w:after="0" w:line="342" w:lineRule="auto"/>
        <w:rPr>
          <w:sz w:val="20"/>
          <w:szCs w:val="20"/>
          <w:color w:val="auto"/>
        </w:rPr>
      </w:pPr>
      <w:r>
        <w:rPr>
          <w:rFonts w:ascii="Arial" w:cs="Arial" w:eastAsia="Arial" w:hAnsi="Arial"/>
          <w:sz w:val="16"/>
          <w:szCs w:val="16"/>
          <w:color w:val="auto"/>
        </w:rPr>
        <w:t>In December 2020, the Company issued stock options to purchase an aggregate of 70,000 shares of its common stock to its directors in consideration for services provided, or to be provided, to the Company.</w:t>
      </w:r>
    </w:p>
    <w:p>
      <w:pPr>
        <w:spacing w:after="0" w:line="16"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The Company issued convertible promissory notes in the aggregate principal amount of $13,100,000 and associated five year warrants to purchase an aggregate of 828,173 shares of common stock with an exercise price of $0.02 per share, on the following dates: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91"/>
              <w:spacing w:after="0"/>
              <w:rPr>
                <w:sz w:val="20"/>
                <w:szCs w:val="20"/>
                <w:color w:val="auto"/>
              </w:rPr>
            </w:pPr>
            <w:r>
              <w:rPr>
                <w:rFonts w:ascii="Arial" w:cs="Arial" w:eastAsia="Arial" w:hAnsi="Arial"/>
                <w:sz w:val="16"/>
                <w:szCs w:val="16"/>
                <w:b w:val="1"/>
                <w:bCs w:val="1"/>
                <w:color w:val="auto"/>
                <w:w w:val="94"/>
              </w:rPr>
              <w:t>Principal</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11"/>
              <w:spacing w:after="0"/>
              <w:rPr>
                <w:sz w:val="20"/>
                <w:szCs w:val="20"/>
                <w:color w:val="auto"/>
              </w:rPr>
            </w:pPr>
            <w:r>
              <w:rPr>
                <w:rFonts w:ascii="Arial" w:cs="Arial" w:eastAsia="Arial" w:hAnsi="Arial"/>
                <w:sz w:val="16"/>
                <w:szCs w:val="16"/>
                <w:b w:val="1"/>
                <w:bCs w:val="1"/>
                <w:color w:val="auto"/>
                <w:w w:val="92"/>
              </w:rPr>
              <w:t>Amount of</w:t>
            </w: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Closing Date</w:t>
            </w:r>
          </w:p>
        </w:tc>
        <w:tc>
          <w:tcPr>
            <w:tcW w:w="140" w:type="dxa"/>
            <w:vAlign w:val="bottom"/>
          </w:tcPr>
          <w:p>
            <w:pPr>
              <w:spacing w:after="0"/>
              <w:rPr>
                <w:sz w:val="18"/>
                <w:szCs w:val="18"/>
                <w:color w:val="auto"/>
              </w:rPr>
            </w:pPr>
          </w:p>
        </w:tc>
        <w:tc>
          <w:tcPr>
            <w:tcW w:w="1100" w:type="dxa"/>
            <w:vAlign w:val="bottom"/>
          </w:tcPr>
          <w:p>
            <w:pPr>
              <w:jc w:val="center"/>
              <w:ind w:right="71"/>
              <w:spacing w:after="0"/>
              <w:rPr>
                <w:sz w:val="20"/>
                <w:szCs w:val="20"/>
                <w:color w:val="auto"/>
              </w:rPr>
            </w:pPr>
            <w:r>
              <w:rPr>
                <w:rFonts w:ascii="Arial" w:cs="Arial" w:eastAsia="Arial" w:hAnsi="Arial"/>
                <w:sz w:val="16"/>
                <w:szCs w:val="16"/>
                <w:b w:val="1"/>
                <w:bCs w:val="1"/>
                <w:color w:val="auto"/>
                <w:w w:val="86"/>
              </w:rPr>
              <w:t>Notes Issued</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8/19/2020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9/16/2020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10/20/2020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9/23/2020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2,800,000</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11/13/2020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11/27/2020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11/18/2020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11/30/2020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12/8/2020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12/1/2020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12/1/2020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12/1/2020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12/7/2020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12/28/2020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12/14/2020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12/31/2020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For each of the transactions referred to above, we relied upon an exemption from registration afforded by Section 4(a)(2) of the Securities Act and Rule 506 of Regulation D promulgated thereunder, which exempt transactions by an issuer not involving any public offering.</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800" w:type="dxa"/>
            <w:vAlign w:val="bottom"/>
          </w:tcPr>
          <w:p>
            <w:pPr>
              <w:spacing w:after="0"/>
              <w:rPr>
                <w:sz w:val="20"/>
                <w:szCs w:val="20"/>
                <w:color w:val="auto"/>
              </w:rPr>
            </w:pPr>
            <w:r>
              <w:rPr>
                <w:rFonts w:ascii="Arial" w:cs="Arial" w:eastAsia="Arial" w:hAnsi="Arial"/>
                <w:sz w:val="16"/>
                <w:szCs w:val="16"/>
                <w:b w:val="1"/>
                <w:bCs w:val="1"/>
                <w:color w:val="auto"/>
                <w:w w:val="93"/>
              </w:rPr>
              <w:t>Exhibit No.</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80" w:type="dxa"/>
            <w:vAlign w:val="bottom"/>
            <w:gridSpan w:val="4"/>
          </w:tcPr>
          <w:p>
            <w:pPr>
              <w:ind w:left="156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3"/>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r>
      <w:tr>
        <w:trPr>
          <w:trHeight w:val="175"/>
        </w:trPr>
        <w:tc>
          <w:tcPr>
            <w:tcW w:w="800" w:type="dxa"/>
            <w:vAlign w:val="bottom"/>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7200" w:type="dxa"/>
            <w:vAlign w:val="bottom"/>
            <w:gridSpan w:val="7"/>
          </w:tcPr>
          <w:p>
            <w:pPr>
              <w:spacing w:after="0" w:line="176" w:lineRule="exact"/>
              <w:rPr>
                <w:rFonts w:ascii="Arial" w:cs="Arial" w:eastAsia="Arial" w:hAnsi="Arial"/>
                <w:sz w:val="18"/>
                <w:szCs w:val="18"/>
                <w:color w:val="0000EE"/>
                <w:w w:val="98"/>
              </w:rPr>
            </w:pPr>
            <w:hyperlink r:id="rId277">
              <w:r>
                <w:rPr>
                  <w:rFonts w:ascii="Arial" w:cs="Arial" w:eastAsia="Arial" w:hAnsi="Arial"/>
                  <w:sz w:val="18"/>
                  <w:szCs w:val="18"/>
                  <w:color w:val="0000EE"/>
                  <w:w w:val="98"/>
                </w:rPr>
                <w:t>Agreement and Plan of Merger dated January 22, 2020 between the Company and TriGrow</w:t>
              </w:r>
            </w:hyperlink>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277">
              <w:r>
                <w:rPr>
                  <w:rFonts w:ascii="Arial" w:cs="Arial" w:eastAsia="Arial" w:hAnsi="Arial"/>
                  <w:sz w:val="18"/>
                  <w:szCs w:val="18"/>
                  <w:color w:val="0000EE"/>
                </w:rPr>
                <w:t>Systems, Inc.**</w:t>
              </w:r>
            </w:hyperlink>
          </w:p>
        </w:tc>
        <w:tc>
          <w:tcPr>
            <w:tcW w:w="660" w:type="dxa"/>
            <w:vAlign w:val="bottom"/>
            <w:gridSpan w:val="3"/>
          </w:tcPr>
          <w:p>
            <w:pPr>
              <w:spacing w:after="0"/>
              <w:rPr>
                <w:sz w:val="17"/>
                <w:szCs w:val="17"/>
                <w:color w:val="auto"/>
              </w:rPr>
            </w:pPr>
          </w:p>
        </w:tc>
      </w:tr>
      <w:tr>
        <w:trPr>
          <w:trHeight w:val="61"/>
        </w:trPr>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4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720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215E9E"/>
              </w:rPr>
            </w:pPr>
            <w:hyperlink w:anchor="page187">
              <w:r>
                <w:rPr>
                  <w:rFonts w:ascii="Arial" w:cs="Arial" w:eastAsia="Arial" w:hAnsi="Arial"/>
                  <w:sz w:val="18"/>
                  <w:szCs w:val="18"/>
                  <w:u w:val="single" w:color="auto"/>
                  <w:color w:val="215E9E"/>
                </w:rPr>
                <w:t>Articles of Incorporation of the Registrant, as amended</w:t>
              </w:r>
            </w:hyperlink>
          </w:p>
        </w:tc>
      </w:tr>
      <w:tr>
        <w:trPr>
          <w:trHeight w:val="176"/>
        </w:trPr>
        <w:tc>
          <w:tcPr>
            <w:tcW w:w="800" w:type="dxa"/>
            <w:vAlign w:val="bottom"/>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6800" w:type="dxa"/>
            <w:vAlign w:val="bottom"/>
            <w:tcBorders>
              <w:bottom w:val="single" w:sz="8" w:color="0000EE"/>
            </w:tcBorders>
            <w:gridSpan w:val="5"/>
          </w:tcPr>
          <w:p>
            <w:pPr>
              <w:spacing w:after="0" w:line="176" w:lineRule="exact"/>
              <w:rPr>
                <w:rFonts w:ascii="Arial" w:cs="Arial" w:eastAsia="Arial" w:hAnsi="Arial"/>
                <w:sz w:val="18"/>
                <w:szCs w:val="18"/>
                <w:color w:val="0000EE"/>
                <w:w w:val="90"/>
              </w:rPr>
            </w:pPr>
            <w:hyperlink w:anchor="page196">
              <w:r>
                <w:rPr>
                  <w:rFonts w:ascii="Arial" w:cs="Arial" w:eastAsia="Arial" w:hAnsi="Arial"/>
                  <w:sz w:val="18"/>
                  <w:szCs w:val="18"/>
                  <w:color w:val="0000EE"/>
                  <w:w w:val="90"/>
                </w:rPr>
                <w:t>Third Amended and Restated Certificate of Designations of the Series A Convertible Preferred</w:t>
              </w:r>
            </w:hyperlink>
          </w:p>
        </w:tc>
        <w:tc>
          <w:tcPr>
            <w:tcW w:w="400" w:type="dxa"/>
            <w:vAlign w:val="bottom"/>
            <w:gridSpan w:val="2"/>
          </w:tcPr>
          <w:p>
            <w:pPr>
              <w:spacing w:after="0"/>
              <w:rPr>
                <w:sz w:val="15"/>
                <w:szCs w:val="15"/>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gridSpan w:val="7"/>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Stock of the Registrant</w:t>
              </w:r>
            </w:hyperlink>
          </w:p>
        </w:tc>
      </w:tr>
      <w:tr>
        <w:trPr>
          <w:trHeight w:val="61"/>
        </w:trPr>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4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72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Amended and Restated Bylaws of the Registrant*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7200" w:type="dxa"/>
            <w:vAlign w:val="bottom"/>
            <w:gridSpan w:val="7"/>
          </w:tcPr>
          <w:p>
            <w:pPr>
              <w:spacing w:after="0"/>
              <w:rPr>
                <w:sz w:val="20"/>
                <w:szCs w:val="20"/>
                <w:color w:val="auto"/>
              </w:rPr>
            </w:pPr>
            <w:r>
              <w:rPr>
                <w:rFonts w:ascii="Arial" w:cs="Arial" w:eastAsia="Arial" w:hAnsi="Arial"/>
                <w:sz w:val="18"/>
                <w:szCs w:val="18"/>
                <w:color w:val="auto"/>
              </w:rPr>
              <w:t>Form of Common Stock Certificate*</w:t>
            </w:r>
          </w:p>
        </w:tc>
      </w:tr>
      <w:tr>
        <w:trPr>
          <w:trHeight w:val="53"/>
        </w:trPr>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72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Form of Underwriter Warrant*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7200" w:type="dxa"/>
            <w:vAlign w:val="bottom"/>
            <w:gridSpan w:val="7"/>
          </w:tcPr>
          <w:p>
            <w:pPr>
              <w:spacing w:after="0"/>
              <w:rPr>
                <w:rFonts w:ascii="Arial" w:cs="Arial" w:eastAsia="Arial" w:hAnsi="Arial"/>
                <w:sz w:val="18"/>
                <w:szCs w:val="18"/>
                <w:u w:val="single" w:color="auto"/>
                <w:color w:val="0000EE"/>
              </w:rPr>
            </w:pPr>
            <w:hyperlink r:id="rId278">
              <w:r>
                <w:rPr>
                  <w:rFonts w:ascii="Arial" w:cs="Arial" w:eastAsia="Arial" w:hAnsi="Arial"/>
                  <w:sz w:val="18"/>
                  <w:szCs w:val="18"/>
                  <w:u w:val="single" w:color="auto"/>
                  <w:color w:val="0000EE"/>
                </w:rPr>
                <w:t>Form of Warrant issued to Noteholders**</w:t>
              </w:r>
            </w:hyperlink>
          </w:p>
        </w:tc>
      </w:tr>
      <w:tr>
        <w:trPr>
          <w:trHeight w:val="53"/>
        </w:trPr>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72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Opinion of Loeb &amp; Loeb LLP regarding legality*</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7200" w:type="dxa"/>
            <w:vAlign w:val="bottom"/>
            <w:gridSpan w:val="7"/>
          </w:tcPr>
          <w:p>
            <w:pPr>
              <w:spacing w:after="0"/>
              <w:rPr>
                <w:rFonts w:ascii="Arial" w:cs="Arial" w:eastAsia="Arial" w:hAnsi="Arial"/>
                <w:sz w:val="18"/>
                <w:szCs w:val="18"/>
                <w:u w:val="single" w:color="auto"/>
                <w:color w:val="0000EE"/>
              </w:rPr>
            </w:pPr>
            <w:hyperlink r:id="rId279">
              <w:r>
                <w:rPr>
                  <w:rFonts w:ascii="Arial" w:cs="Arial" w:eastAsia="Arial" w:hAnsi="Arial"/>
                  <w:sz w:val="18"/>
                  <w:szCs w:val="18"/>
                  <w:u w:val="single" w:color="auto"/>
                  <w:color w:val="0000EE"/>
                </w:rPr>
                <w:t>Operating Agreement of Agrify-Valiant, LLC dated December 8, 2019**</w:t>
              </w:r>
            </w:hyperlink>
          </w:p>
        </w:tc>
      </w:tr>
      <w:tr>
        <w:trPr>
          <w:trHeight w:val="53"/>
        </w:trPr>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720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w w:val="91"/>
              </w:rPr>
            </w:pPr>
            <w:hyperlink r:id="rId280">
              <w:r>
                <w:rPr>
                  <w:rFonts w:ascii="Arial" w:cs="Arial" w:eastAsia="Arial" w:hAnsi="Arial"/>
                  <w:sz w:val="18"/>
                  <w:szCs w:val="18"/>
                  <w:u w:val="single" w:color="auto"/>
                  <w:color w:val="0000EE"/>
                  <w:w w:val="91"/>
                </w:rPr>
                <w:t>Distribution Agreement dated June 7, 2019 between the Company and Bluezone Products, Inc.±**</w:t>
              </w:r>
            </w:hyperlink>
          </w:p>
        </w:tc>
      </w:tr>
      <w:tr>
        <w:trPr>
          <w:trHeight w:val="176"/>
        </w:trPr>
        <w:tc>
          <w:tcPr>
            <w:tcW w:w="80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5"/>
                <w:szCs w:val="15"/>
                <w:color w:val="auto"/>
              </w:rPr>
            </w:pPr>
          </w:p>
        </w:tc>
        <w:tc>
          <w:tcPr>
            <w:tcW w:w="7200" w:type="dxa"/>
            <w:vAlign w:val="bottom"/>
            <w:gridSpan w:val="7"/>
          </w:tcPr>
          <w:p>
            <w:pPr>
              <w:spacing w:after="0" w:line="176" w:lineRule="exact"/>
              <w:rPr>
                <w:rFonts w:ascii="Arial" w:cs="Arial" w:eastAsia="Arial" w:hAnsi="Arial"/>
                <w:sz w:val="18"/>
                <w:szCs w:val="18"/>
                <w:color w:val="0000EE"/>
                <w:w w:val="92"/>
              </w:rPr>
            </w:pPr>
            <w:hyperlink r:id="rId281">
              <w:r>
                <w:rPr>
                  <w:rFonts w:ascii="Arial" w:cs="Arial" w:eastAsia="Arial" w:hAnsi="Arial"/>
                  <w:sz w:val="18"/>
                  <w:szCs w:val="18"/>
                  <w:color w:val="0000EE"/>
                  <w:w w:val="92"/>
                </w:rPr>
                <w:t>Distribution Agreement dated March 9, 2020 between the Company and Enozo Technologies Inc.</w:t>
              </w:r>
            </w:hyperlink>
          </w:p>
        </w:tc>
      </w:tr>
      <w:tr>
        <w:trPr>
          <w:trHeight w:val="20"/>
        </w:trPr>
        <w:tc>
          <w:tcPr>
            <w:tcW w:w="8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60" w:type="dxa"/>
            <w:vAlign w:val="bottom"/>
            <w:gridSpan w:val="2"/>
          </w:tcPr>
          <w:p>
            <w:pPr>
              <w:ind w:left="80"/>
              <w:spacing w:after="0" w:line="196" w:lineRule="exact"/>
              <w:rPr>
                <w:rFonts w:ascii="Arial" w:cs="Arial" w:eastAsia="Arial" w:hAnsi="Arial"/>
                <w:sz w:val="18"/>
                <w:szCs w:val="18"/>
                <w:color w:val="0000EE"/>
              </w:rPr>
            </w:pPr>
            <w:hyperlink r:id="rId281">
              <w:r>
                <w:rPr>
                  <w:rFonts w:ascii="Arial" w:cs="Arial" w:eastAsia="Arial" w:hAnsi="Arial"/>
                  <w:sz w:val="18"/>
                  <w:szCs w:val="18"/>
                  <w:color w:val="0000EE"/>
                </w:rPr>
                <w:t>±**</w:t>
              </w:r>
            </w:hyperlink>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4" w:name="page185"/>
    <w:bookmarkEnd w:id="18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460"/>
        <w:spacing w:after="0"/>
        <w:tabs>
          <w:tab w:leader="none" w:pos="452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72" w:lineRule="exact"/>
        <w:rPr>
          <w:sz w:val="20"/>
          <w:szCs w:val="20"/>
          <w:color w:val="auto"/>
        </w:rPr>
      </w:pP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283">
        <w:r>
          <w:rPr>
            <w:rFonts w:ascii="Arial" w:cs="Arial" w:eastAsia="Arial" w:hAnsi="Arial"/>
            <w:sz w:val="16"/>
            <w:szCs w:val="16"/>
            <w:u w:val="single" w:color="auto"/>
            <w:color w:val="0000EE"/>
          </w:rPr>
          <w:t>Purchase Agreement dated July 28, 2020 between the Company and 4D Bios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3" w:lineRule="exact"/>
        <w:rPr>
          <w:sz w:val="20"/>
          <w:szCs w:val="20"/>
          <w:color w:val="auto"/>
        </w:rPr>
      </w:pP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w:anchor="page209">
        <w:r>
          <w:rPr>
            <w:rFonts w:ascii="Arial" w:cs="Arial" w:eastAsia="Arial" w:hAnsi="Arial"/>
            <w:sz w:val="16"/>
            <w:szCs w:val="16"/>
            <w:u w:val="single" w:color="auto"/>
            <w:color w:val="0000EE"/>
          </w:rPr>
          <w:t>Form of Employment Agreement of Raymond Chang</w:t>
        </w:r>
      </w:hyperlink>
    </w:p>
    <w:p>
      <w:pPr>
        <w:spacing w:after="0" w:line="77" w:lineRule="exact"/>
        <w:rPr>
          <w:sz w:val="20"/>
          <w:szCs w:val="20"/>
          <w:color w:val="auto"/>
        </w:rPr>
      </w:pP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285">
        <w:r>
          <w:rPr>
            <w:rFonts w:ascii="Arial" w:cs="Arial" w:eastAsia="Arial" w:hAnsi="Arial"/>
            <w:sz w:val="16"/>
            <w:szCs w:val="16"/>
            <w:u w:val="single" w:color="auto"/>
            <w:color w:val="0000EE"/>
          </w:rPr>
          <w:t>Employment Agreement of Former Chief Technology Officer, Matthew Liotta**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287">
        <w:r>
          <w:rPr>
            <w:rFonts w:ascii="Arial" w:cs="Arial" w:eastAsia="Arial" w:hAnsi="Arial"/>
            <w:sz w:val="16"/>
            <w:szCs w:val="16"/>
            <w:u w:val="single" w:color="auto"/>
            <w:color w:val="0000EE"/>
          </w:rPr>
          <w:t>Separation Agreement dated August 5, 2020 between the Company and Matthew Liotta**</w:t>
        </w:r>
      </w:hyperlink>
    </w:p>
    <w:p>
      <w:pPr>
        <w:spacing w:after="0" w:line="77" w:lineRule="exact"/>
        <w:rPr>
          <w:sz w:val="20"/>
          <w:szCs w:val="20"/>
          <w:color w:val="auto"/>
        </w:rPr>
      </w:pP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r:id="rId288">
        <w:r>
          <w:rPr>
            <w:rFonts w:ascii="Arial" w:cs="Arial" w:eastAsia="Arial" w:hAnsi="Arial"/>
            <w:sz w:val="16"/>
            <w:szCs w:val="16"/>
            <w:u w:val="single" w:color="auto"/>
            <w:color w:val="0000EE"/>
          </w:rPr>
          <w:t>Profits Interest Agreement dated January 21, 2020 between the Company and CCI Finance,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340" w:right="1219" w:hanging="876"/>
        <w:spacing w:after="0" w:line="273"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290">
        <w:r>
          <w:rPr>
            <w:rFonts w:ascii="Arial" w:cs="Arial" w:eastAsia="Arial" w:hAnsi="Arial"/>
            <w:sz w:val="18"/>
            <w:szCs w:val="18"/>
            <w:u w:val="single" w:color="auto"/>
            <w:color w:val="0000EE"/>
          </w:rPr>
          <w:t>Form of Registration Rights Agreement between the Company and the Series A Preferred</w:t>
        </w:r>
      </w:hyperlink>
      <w:r>
        <w:rPr>
          <w:rFonts w:ascii="Arial" w:cs="Arial" w:eastAsia="Arial" w:hAnsi="Arial"/>
          <w:sz w:val="18"/>
          <w:szCs w:val="18"/>
          <w:u w:val="single" w:color="auto"/>
          <w:color w:val="0000EE"/>
        </w:rPr>
        <w:t xml:space="preserve"> </w:t>
      </w:r>
      <w:hyperlink r:id="rId290">
        <w:r>
          <w:rPr>
            <w:rFonts w:ascii="Arial" w:cs="Arial" w:eastAsia="Arial" w:hAnsi="Arial"/>
            <w:sz w:val="18"/>
            <w:szCs w:val="18"/>
            <w:u w:val="single" w:color="auto"/>
            <w:color w:val="0000EE"/>
          </w:rPr>
          <w:t>stockholders**</w:t>
        </w:r>
      </w:hyperlink>
    </w:p>
    <w:p>
      <w:pPr>
        <w:spacing w:after="0" w:line="2" w:lineRule="exact"/>
        <w:rPr>
          <w:sz w:val="20"/>
          <w:szCs w:val="20"/>
          <w:color w:val="auto"/>
        </w:rPr>
      </w:pPr>
    </w:p>
    <w:p>
      <w:pPr>
        <w:ind w:left="1340" w:right="1039" w:hanging="876"/>
        <w:spacing w:after="0" w:line="273"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w:anchor="page232">
        <w:r>
          <w:rPr>
            <w:rFonts w:ascii="Arial" w:cs="Arial" w:eastAsia="Arial" w:hAnsi="Arial"/>
            <w:sz w:val="18"/>
            <w:szCs w:val="18"/>
            <w:u w:val="single" w:color="auto"/>
            <w:color w:val="0000EE"/>
          </w:rPr>
          <w:t>Form of Series A Subscription Agreement between the Company and the Series A Preferred</w:t>
        </w:r>
      </w:hyperlink>
      <w:r>
        <w:rPr>
          <w:rFonts w:ascii="Arial" w:cs="Arial" w:eastAsia="Arial" w:hAnsi="Arial"/>
          <w:sz w:val="18"/>
          <w:szCs w:val="18"/>
          <w:u w:val="single" w:color="auto"/>
          <w:color w:val="0000EE"/>
        </w:rPr>
        <w:t xml:space="preserve"> </w:t>
      </w:r>
      <w:hyperlink w:anchor="page232">
        <w:r>
          <w:rPr>
            <w:rFonts w:ascii="Arial" w:cs="Arial" w:eastAsia="Arial" w:hAnsi="Arial"/>
            <w:sz w:val="18"/>
            <w:szCs w:val="18"/>
            <w:u w:val="single" w:color="auto"/>
            <w:color w:val="0000EE"/>
          </w:rPr>
          <w:t>stockholders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3003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292">
        <w:r>
          <w:rPr>
            <w:rFonts w:ascii="Arial" w:cs="Arial" w:eastAsia="Arial" w:hAnsi="Arial"/>
            <w:sz w:val="16"/>
            <w:szCs w:val="16"/>
            <w:u w:val="single" w:color="auto"/>
            <w:color w:val="0000EE"/>
          </w:rPr>
          <w:t>2020 Omnibus Equity Incentive Plan**</w:t>
        </w:r>
      </w:hyperlink>
    </w:p>
    <w:p>
      <w:pPr>
        <w:spacing w:after="0" w:line="77" w:lineRule="exact"/>
        <w:rPr>
          <w:sz w:val="20"/>
          <w:szCs w:val="20"/>
          <w:color w:val="auto"/>
        </w:rPr>
      </w:pP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293">
        <w:r>
          <w:rPr>
            <w:rFonts w:ascii="Arial" w:cs="Arial" w:eastAsia="Arial" w:hAnsi="Arial"/>
            <w:sz w:val="16"/>
            <w:szCs w:val="16"/>
            <w:u w:val="single" w:color="auto"/>
            <w:color w:val="0000EE"/>
          </w:rPr>
          <w:t>Form of Note and Warrant Purchase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w:anchor="page240">
        <w:r>
          <w:rPr>
            <w:rFonts w:ascii="Arial" w:cs="Arial" w:eastAsia="Arial" w:hAnsi="Arial"/>
            <w:sz w:val="16"/>
            <w:szCs w:val="16"/>
            <w:u w:val="single" w:color="auto"/>
            <w:color w:val="0000EE"/>
          </w:rPr>
          <w:t>Form of Convertible Promissory Note</w:t>
        </w:r>
      </w:hyperlink>
    </w:p>
    <w:p>
      <w:pPr>
        <w:spacing w:after="0" w:line="77" w:lineRule="exact"/>
        <w:rPr>
          <w:sz w:val="20"/>
          <w:szCs w:val="20"/>
          <w:color w:val="auto"/>
        </w:rPr>
      </w:pPr>
    </w:p>
    <w:p>
      <w:pPr>
        <w:ind w:left="1340" w:right="879" w:hanging="876"/>
        <w:spacing w:after="0" w:line="290" w:lineRule="auto"/>
        <w:tabs>
          <w:tab w:leader="none" w:pos="1320" w:val="left"/>
        </w:tabs>
        <w:rPr>
          <w:rFonts w:ascii="Arial" w:cs="Arial" w:eastAsia="Arial" w:hAnsi="Arial"/>
          <w:sz w:val="17"/>
          <w:szCs w:val="17"/>
          <w:u w:val="single" w:color="auto"/>
          <w:color w:val="0000EE"/>
        </w:rPr>
      </w:pPr>
      <w:r>
        <w:rPr>
          <w:rFonts w:ascii="Arial" w:cs="Arial" w:eastAsia="Arial" w:hAnsi="Arial"/>
          <w:sz w:val="18"/>
          <w:szCs w:val="18"/>
          <w:color w:val="auto"/>
        </w:rPr>
        <w:t>10.14</w:t>
      </w:r>
      <w:r>
        <w:rPr>
          <w:sz w:val="20"/>
          <w:szCs w:val="20"/>
          <w:color w:val="auto"/>
        </w:rPr>
        <w:tab/>
      </w:r>
      <w:hyperlink r:id="rId295">
        <w:r>
          <w:rPr>
            <w:rFonts w:ascii="Arial" w:cs="Arial" w:eastAsia="Arial" w:hAnsi="Arial"/>
            <w:sz w:val="17"/>
            <w:szCs w:val="17"/>
            <w:u w:val="single" w:color="auto"/>
            <w:color w:val="0000EE"/>
          </w:rPr>
          <w:t>Intellectual Property Assignment and Transfer Agreement by and among the Company, Agrify</w:t>
        </w:r>
      </w:hyperlink>
      <w:r>
        <w:rPr>
          <w:rFonts w:ascii="Arial" w:cs="Arial" w:eastAsia="Arial" w:hAnsi="Arial"/>
          <w:sz w:val="17"/>
          <w:szCs w:val="17"/>
          <w:u w:val="single" w:color="auto"/>
          <w:color w:val="0000EE"/>
        </w:rPr>
        <w:t xml:space="preserve"> </w:t>
      </w:r>
      <w:hyperlink r:id="rId295">
        <w:r>
          <w:rPr>
            <w:rFonts w:ascii="Arial" w:cs="Arial" w:eastAsia="Arial" w:hAnsi="Arial"/>
            <w:sz w:val="17"/>
            <w:szCs w:val="17"/>
            <w:u w:val="single" w:color="auto"/>
            <w:color w:val="0000EE"/>
          </w:rPr>
          <w:t>Brands, LLC and The Holden Company effective as of January 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-290195</wp:posOffset>
            </wp:positionV>
            <wp:extent cx="5143500" cy="3003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w:anchor="page247">
        <w:r>
          <w:rPr>
            <w:rFonts w:ascii="Arial" w:cs="Arial" w:eastAsia="Arial" w:hAnsi="Arial"/>
            <w:sz w:val="16"/>
            <w:szCs w:val="16"/>
            <w:u w:val="single" w:color="auto"/>
            <w:color w:val="0000EE"/>
          </w:rPr>
          <w:t>Supply Agreement by and among the Company and Mack Molding Co. dated December 7, 2020±</w:t>
        </w:r>
      </w:hyperlink>
    </w:p>
    <w:p>
      <w:pPr>
        <w:spacing w:after="0" w:line="77" w:lineRule="exact"/>
        <w:rPr>
          <w:sz w:val="20"/>
          <w:szCs w:val="20"/>
          <w:color w:val="auto"/>
        </w:rPr>
      </w:pPr>
    </w:p>
    <w:p>
      <w:pPr>
        <w:ind w:left="1340" w:right="819" w:hanging="876"/>
        <w:spacing w:after="0" w:line="273"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297">
        <w:r>
          <w:rPr>
            <w:rFonts w:ascii="Arial" w:cs="Arial" w:eastAsia="Arial" w:hAnsi="Arial"/>
            <w:sz w:val="18"/>
            <w:szCs w:val="18"/>
            <w:u w:val="single" w:color="auto"/>
            <w:color w:val="0000EE"/>
          </w:rPr>
          <w:t>Amended and Restated Operating Agreement of Agrify Brands, LLC effective as of August 12,</w:t>
        </w:r>
      </w:hyperlink>
      <w:r>
        <w:rPr>
          <w:rFonts w:ascii="Arial" w:cs="Arial" w:eastAsia="Arial" w:hAnsi="Arial"/>
          <w:sz w:val="18"/>
          <w:szCs w:val="18"/>
          <w:u w:val="single" w:color="auto"/>
          <w:color w:val="0000EE"/>
        </w:rPr>
        <w:t xml:space="preserve"> </w:t>
      </w:r>
      <w:hyperlink r:id="rId297">
        <w:r>
          <w:rPr>
            <w:rFonts w:ascii="Arial" w:cs="Arial" w:eastAsia="Arial" w:hAnsi="Arial"/>
            <w:sz w:val="18"/>
            <w:szCs w:val="18"/>
            <w:u w:val="single" w:color="auto"/>
            <w:color w:val="0000EE"/>
          </w:rPr>
          <w:t>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3003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14.1</w:t>
      </w:r>
      <w:r>
        <w:rPr>
          <w:sz w:val="20"/>
          <w:szCs w:val="20"/>
          <w:color w:val="auto"/>
        </w:rPr>
        <w:tab/>
      </w:r>
      <w:hyperlink r:id="rId299">
        <w:r>
          <w:rPr>
            <w:rFonts w:ascii="Arial" w:cs="Arial" w:eastAsia="Arial" w:hAnsi="Arial"/>
            <w:sz w:val="16"/>
            <w:szCs w:val="16"/>
            <w:u w:val="single" w:color="auto"/>
            <w:color w:val="0000EE"/>
          </w:rPr>
          <w:t>Code of Ethics of Agrify Corporation Applicable To Directors, Officers And Employees**</w:t>
        </w:r>
      </w:hyperlink>
    </w:p>
    <w:p>
      <w:pPr>
        <w:spacing w:after="0" w:line="77" w:lineRule="exact"/>
        <w:rPr>
          <w:sz w:val="20"/>
          <w:szCs w:val="20"/>
          <w:color w:val="auto"/>
        </w:rPr>
      </w:pPr>
    </w:p>
    <w:p>
      <w:pPr>
        <w:ind w:left="460"/>
        <w:spacing w:after="0"/>
        <w:tabs>
          <w:tab w:leader="none" w:pos="1320" w:val="left"/>
        </w:tabs>
        <w:rPr>
          <w:rFonts w:ascii="Arial" w:cs="Arial" w:eastAsia="Arial" w:hAnsi="Arial"/>
          <w:sz w:val="16"/>
          <w:szCs w:val="16"/>
          <w:u w:val="single" w:color="auto"/>
          <w:color w:val="215E9E"/>
        </w:rPr>
      </w:pPr>
      <w:r>
        <w:rPr>
          <w:rFonts w:ascii="Arial" w:cs="Arial" w:eastAsia="Arial" w:hAnsi="Arial"/>
          <w:sz w:val="18"/>
          <w:szCs w:val="18"/>
          <w:color w:val="auto"/>
        </w:rPr>
        <w:t>21.1</w:t>
      </w:r>
      <w:r>
        <w:rPr>
          <w:sz w:val="20"/>
          <w:szCs w:val="20"/>
          <w:color w:val="auto"/>
        </w:rPr>
        <w:tab/>
      </w:r>
      <w:hyperlink w:anchor="page263">
        <w:r>
          <w:rPr>
            <w:rFonts w:ascii="Arial" w:cs="Arial" w:eastAsia="Arial" w:hAnsi="Arial"/>
            <w:sz w:val="16"/>
            <w:szCs w:val="16"/>
            <w:u w:val="single" w:color="auto"/>
            <w:color w:val="215E9E"/>
          </w:rPr>
          <w:t>Subsidiaries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264">
        <w:r>
          <w:rPr>
            <w:rFonts w:ascii="Arial" w:cs="Arial" w:eastAsia="Arial" w:hAnsi="Arial"/>
            <w:sz w:val="16"/>
            <w:szCs w:val="16"/>
            <w:u w:val="single" w:color="auto"/>
            <w:color w:val="0000EE"/>
          </w:rPr>
          <w:t>Consent of Marcum LLP, independent registered public accounting firm</w:t>
        </w:r>
      </w:hyperlink>
    </w:p>
    <w:p>
      <w:pPr>
        <w:spacing w:after="0" w:line="7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Loeb &amp; Loeb LLP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186">
        <w:r>
          <w:rPr>
            <w:rFonts w:ascii="Arial" w:cs="Arial" w:eastAsia="Arial" w:hAnsi="Arial"/>
            <w:sz w:val="16"/>
            <w:szCs w:val="16"/>
            <w:u w:val="single" w:color="auto"/>
            <w:color w:val="0000EE"/>
          </w:rPr>
          <w:t>Power of Attorney (included on signature page)</w:t>
        </w:r>
      </w:hyperlink>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60" w:right="6419" w:hanging="6"/>
        <w:spacing w:after="0" w:line="284" w:lineRule="auto"/>
        <w:tabs>
          <w:tab w:leader="none" w:pos="862" w:val="left"/>
        </w:tabs>
        <w:numPr>
          <w:ilvl w:val="0"/>
          <w:numId w:val="71"/>
        </w:numPr>
        <w:rPr>
          <w:rFonts w:ascii="Arial" w:cs="Arial" w:eastAsia="Arial" w:hAnsi="Arial"/>
          <w:sz w:val="15"/>
          <w:szCs w:val="15"/>
          <w:color w:val="auto"/>
        </w:rPr>
      </w:pPr>
      <w:r>
        <w:rPr>
          <w:rFonts w:ascii="Arial" w:cs="Arial" w:eastAsia="Arial" w:hAnsi="Arial"/>
          <w:sz w:val="15"/>
          <w:szCs w:val="15"/>
          <w:color w:val="auto"/>
        </w:rPr>
        <w:t>To be filed by amendment. ** Previously filed.</w:t>
      </w:r>
    </w:p>
    <w:p>
      <w:pPr>
        <w:ind w:left="460"/>
        <w:spacing w:after="0"/>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4"/>
          <w:szCs w:val="14"/>
          <w:color w:val="auto"/>
        </w:rPr>
        <w:t>Certain information has been omitted from this exhibit in reliance upon Item 601(b)(10) of Regulation S-K.</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16"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registrant hereby undertakes that:</w:t>
      </w:r>
    </w:p>
    <w:p>
      <w:pPr>
        <w:spacing w:after="0" w:line="144" w:lineRule="exact"/>
        <w:rPr>
          <w:sz w:val="20"/>
          <w:szCs w:val="20"/>
          <w:color w:val="auto"/>
        </w:rPr>
      </w:pPr>
    </w:p>
    <w:p>
      <w:pPr>
        <w:ind w:left="1320" w:right="619" w:hanging="434"/>
        <w:spacing w:after="0" w:line="257" w:lineRule="auto"/>
        <w:tabs>
          <w:tab w:leader="none" w:pos="12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0" w:lineRule="exact"/>
        <w:rPr>
          <w:rFonts w:ascii="Arial" w:cs="Arial" w:eastAsia="Arial" w:hAnsi="Arial"/>
          <w:sz w:val="18"/>
          <w:szCs w:val="18"/>
          <w:color w:val="auto"/>
        </w:rPr>
      </w:pPr>
    </w:p>
    <w:p>
      <w:pPr>
        <w:ind w:left="1320" w:right="699" w:hanging="434"/>
        <w:spacing w:after="0" w:line="259" w:lineRule="auto"/>
        <w:tabs>
          <w:tab w:leader="none" w:pos="12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5" w:name="page186"/>
    <w:bookmarkEnd w:id="18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or amendment thereto to be signed on its behalf by the undersigned, thereunto duly authorized, in Burlington, Massachusetts, on January 13, 2021.</w:t>
      </w:r>
    </w:p>
    <w:p>
      <w:pPr>
        <w:spacing w:after="0" w:line="15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AGRIFY CORPORATION</w:t>
      </w:r>
    </w:p>
    <w:p>
      <w:pPr>
        <w:spacing w:after="0" w:line="81" w:lineRule="exact"/>
        <w:rPr>
          <w:sz w:val="20"/>
          <w:szCs w:val="20"/>
          <w:color w:val="auto"/>
        </w:rPr>
      </w:pPr>
    </w:p>
    <w:p>
      <w:pPr>
        <w:ind w:left="4160"/>
        <w:spacing w:after="0"/>
        <w:tabs>
          <w:tab w:leader="none" w:pos="4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Chang</w:t>
      </w:r>
    </w:p>
    <w:p>
      <w:pPr>
        <w:spacing w:after="0" w:line="7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-121920</wp:posOffset>
            </wp:positionV>
            <wp:extent cx="24174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4160"/>
        <w:spacing w:after="0"/>
        <w:tabs>
          <w:tab w:leader="none" w:pos="4720" w:val="left"/>
        </w:tabs>
        <w:rPr>
          <w:sz w:val="20"/>
          <w:szCs w:val="20"/>
          <w:color w:val="auto"/>
        </w:rPr>
      </w:pPr>
      <w:r>
        <w:rPr>
          <w:rFonts w:ascii="Arial" w:cs="Arial" w:eastAsia="Arial" w:hAnsi="Arial"/>
          <w:sz w:val="17"/>
          <w:szCs w:val="17"/>
          <w:color w:val="auto"/>
        </w:rPr>
        <w:t>Title:</w:t>
        <w:tab/>
        <w:t>Chief Executive Officer (principal executive officer)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KNOWN ALL MEN BY THESE PRESENTS, that each person whose signature appears below constitutes and appoints Raymond Chang and Niv Krikov his true and lawful attorney-in-fact, with full power of substitution and resubstitution for him and in his name, place and stead, in any and all capacities to sign any and all amendments (including post-effective amendments) to this registration statement (and to any registration statement filed pursuant to Rule 462 under the Securities Act of 1933, as amended),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11"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80" w:type="dxa"/>
            <w:vAlign w:val="bottom"/>
          </w:tcPr>
          <w:p>
            <w:pPr>
              <w:spacing w:after="0"/>
              <w:rPr>
                <w:sz w:val="20"/>
                <w:szCs w:val="20"/>
                <w:color w:val="auto"/>
              </w:rPr>
            </w:pPr>
            <w:r>
              <w:rPr>
                <w:rFonts w:ascii="Arial" w:cs="Arial" w:eastAsia="Arial" w:hAnsi="Arial"/>
                <w:sz w:val="16"/>
                <w:szCs w:val="16"/>
                <w:b w:val="1"/>
                <w:bCs w:val="1"/>
                <w:color w:val="auto"/>
              </w:rPr>
              <w:t>Signature</w:t>
            </w:r>
          </w:p>
        </w:tc>
        <w:tc>
          <w:tcPr>
            <w:tcW w:w="120" w:type="dxa"/>
            <w:vAlign w:val="bottom"/>
          </w:tcPr>
          <w:p>
            <w:pPr>
              <w:spacing w:after="0"/>
              <w:rPr>
                <w:sz w:val="18"/>
                <w:szCs w:val="18"/>
                <w:color w:val="auto"/>
              </w:rPr>
            </w:pPr>
          </w:p>
        </w:tc>
        <w:tc>
          <w:tcPr>
            <w:tcW w:w="3840" w:type="dxa"/>
            <w:vAlign w:val="bottom"/>
            <w:gridSpan w:val="2"/>
          </w:tcPr>
          <w:p>
            <w:pPr>
              <w:ind w:left="1700"/>
              <w:spacing w:after="0"/>
              <w:rPr>
                <w:sz w:val="20"/>
                <w:szCs w:val="20"/>
                <w:color w:val="auto"/>
              </w:rPr>
            </w:pPr>
            <w:r>
              <w:rPr>
                <w:rFonts w:ascii="Arial" w:cs="Arial" w:eastAsia="Arial" w:hAnsi="Arial"/>
                <w:sz w:val="16"/>
                <w:szCs w:val="16"/>
                <w:b w:val="1"/>
                <w:bCs w:val="1"/>
                <w:color w:val="auto"/>
              </w:rPr>
              <w:t>Title</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6"/>
        </w:trPr>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280" w:type="dxa"/>
            <w:vAlign w:val="bottom"/>
          </w:tcPr>
          <w:p>
            <w:pPr>
              <w:spacing w:after="0"/>
              <w:rPr>
                <w:sz w:val="20"/>
                <w:szCs w:val="20"/>
                <w:color w:val="auto"/>
              </w:rPr>
            </w:pPr>
            <w:r>
              <w:rPr>
                <w:rFonts w:ascii="Arial" w:cs="Arial" w:eastAsia="Arial" w:hAnsi="Arial"/>
                <w:sz w:val="18"/>
                <w:szCs w:val="18"/>
                <w:color w:val="auto"/>
              </w:rPr>
              <w:t>/s/ Raymond Chang</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January 13, 2021</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(principal executive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Raymond Chang</w:t>
            </w:r>
          </w:p>
        </w:tc>
        <w:tc>
          <w:tcPr>
            <w:tcW w:w="120" w:type="dxa"/>
            <w:vAlign w:val="bottom"/>
            <w:vMerge w:val="continue"/>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280" w:type="dxa"/>
            <w:vAlign w:val="bottom"/>
          </w:tcPr>
          <w:p>
            <w:pPr>
              <w:spacing w:after="0"/>
              <w:rPr>
                <w:sz w:val="20"/>
                <w:szCs w:val="20"/>
                <w:color w:val="auto"/>
              </w:rPr>
            </w:pPr>
            <w:r>
              <w:rPr>
                <w:rFonts w:ascii="Arial" w:cs="Arial" w:eastAsia="Arial" w:hAnsi="Arial"/>
                <w:sz w:val="18"/>
                <w:szCs w:val="18"/>
                <w:color w:val="auto"/>
              </w:rPr>
              <w:t>/s/ Niv Krikov</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January 13, 2021</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(principal financial and accounting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Niv Krikov</w:t>
            </w:r>
          </w:p>
        </w:tc>
        <w:tc>
          <w:tcPr>
            <w:tcW w:w="120" w:type="dxa"/>
            <w:vAlign w:val="bottom"/>
            <w:vMerge w:val="continue"/>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280" w:type="dxa"/>
            <w:vAlign w:val="bottom"/>
          </w:tcPr>
          <w:p>
            <w:pPr>
              <w:spacing w:after="0"/>
              <w:rPr>
                <w:sz w:val="20"/>
                <w:szCs w:val="20"/>
                <w:color w:val="auto"/>
              </w:rPr>
            </w:pPr>
            <w:r>
              <w:rPr>
                <w:rFonts w:ascii="Arial" w:cs="Arial" w:eastAsia="Arial" w:hAnsi="Arial"/>
                <w:sz w:val="18"/>
                <w:szCs w:val="18"/>
                <w:color w:val="auto"/>
              </w:rPr>
              <w:t>* /s/ Thomas Massie</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January 13, 2021</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Thomas Massie</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280" w:type="dxa"/>
            <w:vAlign w:val="bottom"/>
          </w:tcPr>
          <w:p>
            <w:pPr>
              <w:spacing w:after="0"/>
              <w:rPr>
                <w:sz w:val="20"/>
                <w:szCs w:val="20"/>
                <w:color w:val="auto"/>
              </w:rPr>
            </w:pPr>
            <w:r>
              <w:rPr>
                <w:rFonts w:ascii="Arial" w:cs="Arial" w:eastAsia="Arial" w:hAnsi="Arial"/>
                <w:sz w:val="18"/>
                <w:szCs w:val="18"/>
                <w:color w:val="auto"/>
              </w:rPr>
              <w:t>* /s/ Guichao Hua</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January 13, 2021</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Guichao Hua</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280" w:type="dxa"/>
            <w:vAlign w:val="bottom"/>
          </w:tcPr>
          <w:p>
            <w:pPr>
              <w:spacing w:after="0"/>
              <w:rPr>
                <w:sz w:val="20"/>
                <w:szCs w:val="20"/>
                <w:color w:val="auto"/>
              </w:rPr>
            </w:pPr>
            <w:r>
              <w:rPr>
                <w:rFonts w:ascii="Arial" w:cs="Arial" w:eastAsia="Arial" w:hAnsi="Arial"/>
                <w:sz w:val="18"/>
                <w:szCs w:val="18"/>
                <w:color w:val="auto"/>
              </w:rPr>
              <w:t>* /s/ Krishnan Varier</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January 13, 2021</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Krishnan Varier</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280" w:type="dxa"/>
            <w:vAlign w:val="bottom"/>
          </w:tcPr>
          <w:p>
            <w:pPr>
              <w:spacing w:after="0"/>
              <w:rPr>
                <w:sz w:val="20"/>
                <w:szCs w:val="20"/>
                <w:color w:val="auto"/>
              </w:rPr>
            </w:pPr>
            <w:r>
              <w:rPr>
                <w:rFonts w:ascii="Arial" w:cs="Arial" w:eastAsia="Arial" w:hAnsi="Arial"/>
                <w:sz w:val="18"/>
                <w:szCs w:val="18"/>
                <w:color w:val="auto"/>
              </w:rPr>
              <w:t>* /s/ Timothy Oakes</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January 13, 2021</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Timothy Oakes</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280" w:type="dxa"/>
            <w:vAlign w:val="bottom"/>
          </w:tcPr>
          <w:p>
            <w:pPr>
              <w:spacing w:after="0"/>
              <w:rPr>
                <w:sz w:val="20"/>
                <w:szCs w:val="20"/>
                <w:color w:val="auto"/>
              </w:rPr>
            </w:pPr>
            <w:r>
              <w:rPr>
                <w:rFonts w:ascii="Arial" w:cs="Arial" w:eastAsia="Arial" w:hAnsi="Arial"/>
                <w:sz w:val="18"/>
                <w:szCs w:val="18"/>
                <w:color w:val="auto"/>
              </w:rPr>
              <w:t>* /s/ Timothy Mahoney</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January 13, 2021</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Timothy Mahoney</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280" w:type="dxa"/>
            <w:vAlign w:val="bottom"/>
          </w:tcPr>
          <w:p>
            <w:pPr>
              <w:spacing w:after="0"/>
              <w:rPr>
                <w:sz w:val="20"/>
                <w:szCs w:val="20"/>
                <w:color w:val="auto"/>
              </w:rPr>
            </w:pPr>
            <w:r>
              <w:rPr>
                <w:rFonts w:ascii="Arial" w:cs="Arial" w:eastAsia="Arial" w:hAnsi="Arial"/>
                <w:sz w:val="18"/>
                <w:szCs w:val="18"/>
                <w:color w:val="auto"/>
              </w:rPr>
              <w:t>/s/ Matthew Kressy</w:t>
            </w: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January 13, 2021</w:t>
            </w:r>
          </w:p>
        </w:tc>
        <w:tc>
          <w:tcPr>
            <w:tcW w:w="0" w:type="dxa"/>
            <w:vAlign w:val="bottom"/>
          </w:tcPr>
          <w:p>
            <w:pPr>
              <w:spacing w:after="0"/>
              <w:rPr>
                <w:sz w:val="1"/>
                <w:szCs w:val="1"/>
                <w:color w:val="auto"/>
              </w:rPr>
            </w:pPr>
          </w:p>
        </w:tc>
      </w:tr>
      <w:tr>
        <w:trPr>
          <w:trHeight w:val="41"/>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Matthew Kressy</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280" w:type="dxa"/>
            <w:vAlign w:val="bottom"/>
          </w:tcPr>
          <w:p>
            <w:pPr>
              <w:spacing w:after="0"/>
              <w:rPr>
                <w:sz w:val="20"/>
                <w:szCs w:val="20"/>
                <w:color w:val="auto"/>
              </w:rPr>
            </w:pPr>
            <w:r>
              <w:rPr>
                <w:rFonts w:ascii="Arial" w:cs="Arial" w:eastAsia="Arial" w:hAnsi="Arial"/>
                <w:sz w:val="18"/>
                <w:szCs w:val="18"/>
                <w:color w:val="auto"/>
              </w:rPr>
              <w:t>* /s/ Niv Krikov</w:t>
            </w: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Attorney-in-fact</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rPr>
              <w:t>II-5</w:t>
            </w: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86" w:name="page187"/>
    <w:bookmarkEnd w:id="186"/>
    <w:p>
      <w:pPr>
        <w:ind w:left="9120"/>
        <w:spacing w:after="0"/>
        <w:rPr>
          <w:sz w:val="20"/>
          <w:szCs w:val="20"/>
          <w:color w:val="auto"/>
        </w:rPr>
      </w:pPr>
      <w:r>
        <w:rPr>
          <w:rFonts w:ascii="Arial" w:cs="Arial" w:eastAsia="Arial" w:hAnsi="Arial"/>
          <w:sz w:val="19"/>
          <w:szCs w:val="19"/>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187960</wp:posOffset>
            </wp:positionV>
            <wp:extent cx="7132320" cy="92754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7132320" cy="92754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92754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5">
                      <a:extLst>
                        <a:ext uri="{28A0092B-C50C-407E-A947-70E740481C1C}"/>
                      </a:extLst>
                    </a:blip>
                    <a:srcRect/>
                    <a:stretch>
                      <a:fillRect/>
                    </a:stretch>
                  </pic:blipFill>
                  <pic:spPr bwMode="auto">
                    <a:xfrm>
                      <a:off x="0" y="0"/>
                      <a:ext cx="7132320" cy="9275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92754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7132320" cy="9275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92754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7132320" cy="9275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92754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8">
                      <a:extLst>
                        <a:ext uri="{28A0092B-C50C-407E-A947-70E740481C1C}"/>
                      </a:extLst>
                    </a:blip>
                    <a:srcRect/>
                    <a:stretch>
                      <a:fillRect/>
                    </a:stretch>
                  </pic:blipFill>
                  <pic:spPr bwMode="auto">
                    <a:xfrm>
                      <a:off x="0" y="0"/>
                      <a:ext cx="7132320" cy="9275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9292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7132320" cy="9292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0">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4640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1">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052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2">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ind w:left="9280"/>
        <w:spacing w:after="0"/>
        <w:rPr>
          <w:sz w:val="20"/>
          <w:szCs w:val="20"/>
          <w:color w:val="auto"/>
        </w:rPr>
      </w:pPr>
      <w:r>
        <w:rPr>
          <w:rFonts w:ascii="Arial" w:cs="Arial" w:eastAsia="Arial" w:hAnsi="Arial"/>
          <w:sz w:val="16"/>
          <w:szCs w:val="16"/>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91211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3">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b w:val="1"/>
          <w:bCs w:val="1"/>
          <w:color w:val="auto"/>
        </w:rPr>
        <w:t>THIRD AMENDED AND RESTATED CERTIFICATE OF DESIGNATION, PREFERENCES AND RIGHTS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SERIES A CONVERTIBLE 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AGRIFY CORPORATION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78.1955 of the Nevada Revised Statutes of the State of Nevada:</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undersigned, the Chairman of the Board of Directors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of Agrify Corporation., a corporation organized and existing under the Nevada Revised Statutes of the State of Nevada in accordance with the provisions of Section 78 thereof (hereinafter called the “</w:t>
      </w:r>
      <w:r>
        <w:rPr>
          <w:rFonts w:ascii="Arial" w:cs="Arial" w:eastAsia="Arial" w:hAnsi="Arial"/>
          <w:sz w:val="16"/>
          <w:szCs w:val="16"/>
          <w:u w:val="single" w:color="auto"/>
          <w:color w:val="auto"/>
        </w:rPr>
        <w:t>Company</w:t>
      </w:r>
      <w:r>
        <w:rPr>
          <w:rFonts w:ascii="Arial" w:cs="Arial" w:eastAsia="Arial" w:hAnsi="Arial"/>
          <w:sz w:val="16"/>
          <w:szCs w:val="16"/>
          <w:color w:val="auto"/>
        </w:rPr>
        <w:t>”), DOES HEREBY CERTIFY that the following resolutions were duly adopted by the Board of Directors of the Company on November 5, 2020:</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Company’s Articles of Incorporation authorizes 3,000,000 shares of preferred stock, $0.001 par value per share, issuable from time to time in one or more series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and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Company’s Articles of Incorporation authorizes the Board of Directors to provide by resolution for the issuance of shares of preferred stock in one or more series, and to fix for each such series such preferences, rights and power as may be permitted by the Nevada Revised Statutes; and</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WHEREAS, the Company previously filed with the Nevada Secretary of State a Certificate of Designation of Preferences, Rights and Limitations of Series A Convertible Preferred Stock on January 9, 2020 (the “</w:t>
      </w:r>
      <w:r>
        <w:rPr>
          <w:rFonts w:ascii="Arial" w:cs="Arial" w:eastAsia="Arial" w:hAnsi="Arial"/>
          <w:sz w:val="16"/>
          <w:szCs w:val="16"/>
          <w:u w:val="single" w:color="auto"/>
          <w:color w:val="auto"/>
        </w:rPr>
        <w:t>Certificate of Designation</w:t>
      </w:r>
      <w:r>
        <w:rPr>
          <w:rFonts w:ascii="Arial" w:cs="Arial" w:eastAsia="Arial" w:hAnsi="Arial"/>
          <w:sz w:val="16"/>
          <w:szCs w:val="16"/>
          <w:color w:val="auto"/>
        </w:rPr>
        <w:t>”), which was amended and restated in its entirety by the Amended and Restated Certificate of Designation of Preferences, Rights and Limitations of Series A Convertible Preferred Stock previously filed with the Nevada Secretary of State on March 19, 2020 (the “</w:t>
      </w:r>
      <w:r>
        <w:rPr>
          <w:rFonts w:ascii="Arial" w:cs="Arial" w:eastAsia="Arial" w:hAnsi="Arial"/>
          <w:sz w:val="16"/>
          <w:szCs w:val="16"/>
          <w:u w:val="single" w:color="auto"/>
          <w:color w:val="auto"/>
        </w:rPr>
        <w:t>Amended and Restated Certificate of Designation</w:t>
      </w:r>
      <w:r>
        <w:rPr>
          <w:rFonts w:ascii="Arial" w:cs="Arial" w:eastAsia="Arial" w:hAnsi="Arial"/>
          <w:sz w:val="16"/>
          <w:szCs w:val="16"/>
          <w:color w:val="auto"/>
        </w:rPr>
        <w:t>”), which was further amended and restated in its entirety by the Second Amended and Restated Certificate of Designation of Preferences, Rights and Limitations of Series A Convertible Preferred Stock previously filed with the Nevada Secretary of State on November 9, 2020 (the “</w:t>
      </w:r>
      <w:r>
        <w:rPr>
          <w:rFonts w:ascii="Arial" w:cs="Arial" w:eastAsia="Arial" w:hAnsi="Arial"/>
          <w:sz w:val="16"/>
          <w:szCs w:val="16"/>
          <w:u w:val="single" w:color="auto"/>
          <w:color w:val="auto"/>
        </w:rPr>
        <w:t>Second Amended and Restated Certificate of Designation</w:t>
      </w:r>
      <w:r>
        <w:rPr>
          <w:rFonts w:ascii="Arial" w:cs="Arial" w:eastAsia="Arial" w:hAnsi="Arial"/>
          <w:sz w:val="16"/>
          <w:szCs w:val="16"/>
          <w:color w:val="auto"/>
        </w:rPr>
        <w:t>”); and</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it is the desire of the Board of Directors to further amend the terms of the Series A Preferred Stock (subject to the requisite approval of the holders of the Company’s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both"/>
        <w:ind w:firstLine="648"/>
        <w:spacing w:after="0" w:line="296" w:lineRule="auto"/>
        <w:rPr>
          <w:sz w:val="20"/>
          <w:szCs w:val="20"/>
          <w:color w:val="auto"/>
        </w:rPr>
      </w:pPr>
      <w:r>
        <w:rPr>
          <w:rFonts w:ascii="Arial" w:cs="Arial" w:eastAsia="Arial" w:hAnsi="Arial"/>
          <w:sz w:val="16"/>
          <w:szCs w:val="16"/>
          <w:color w:val="auto"/>
        </w:rPr>
        <w:t>NOW THEREFORE, BE IT RESOLVED, that, pursuant to the authority vested in the Board of Directors in accordance with the provisions of its Articles of Incorporation, the Second Amended and Restated Certificate of Designation be further amended and restated in its entirety pursuant to this Third Amended and Restated Certificate of Designation, and the terms of the Series A Convertible Preferred Stock of the Company be and hereby are amended and restated in their entirety, and that the designation and amount thereof and the powers, preferences and relative, optional and other special rights of the shares of such series, and the qualifications, limitations or restrictions thereof as so amended and restated are as follows: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Designation and Amount.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designation of such series of Preferred Stock shall be “Series A Convertible Preferred Stock,” $0.001 par value per share (“</w:t>
      </w:r>
      <w:r>
        <w:rPr>
          <w:rFonts w:ascii="Arial" w:cs="Arial" w:eastAsia="Arial" w:hAnsi="Arial"/>
          <w:sz w:val="18"/>
          <w:szCs w:val="18"/>
          <w:u w:val="single" w:color="auto"/>
          <w:color w:val="auto"/>
        </w:rPr>
        <w:t>Series A 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The maximum number of shares of Series A Preferred Stock shall be 105,000.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Ranking</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shares of Series A Preferred Stock shall be senior to any shares of the common stock of the Company, par value $0.001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and each other class or series of capital stock of the Company hereafter created (together with the Common Stock, the “</w:t>
      </w:r>
      <w:r>
        <w:rPr>
          <w:rFonts w:ascii="Arial" w:cs="Arial" w:eastAsia="Arial" w:hAnsi="Arial"/>
          <w:sz w:val="17"/>
          <w:szCs w:val="17"/>
          <w:u w:val="single" w:color="auto"/>
          <w:color w:val="auto"/>
        </w:rPr>
        <w:t>Junior Stock</w:t>
      </w:r>
      <w:r>
        <w:rPr>
          <w:rFonts w:ascii="Arial" w:cs="Arial" w:eastAsia="Arial" w:hAnsi="Arial"/>
          <w:sz w:val="17"/>
          <w:szCs w:val="17"/>
          <w:color w:val="auto"/>
        </w:rPr>
        <w:t>”), in each case as to the payment of dividends and the distribution upon a liquidation, winding-up and dissolution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9" w:lineRule="auto"/>
        <w:tabs>
          <w:tab w:leader="none" w:pos="951" w:val="left"/>
        </w:tabs>
        <w:numPr>
          <w:ilvl w:val="0"/>
          <w:numId w:val="73"/>
        </w:numPr>
        <w:rPr>
          <w:rFonts w:ascii="Arial" w:cs="Arial" w:eastAsia="Arial" w:hAnsi="Arial"/>
          <w:sz w:val="18"/>
          <w:szCs w:val="18"/>
          <w:color w:val="auto"/>
        </w:rPr>
      </w:pPr>
      <w:r>
        <w:rPr>
          <w:rFonts w:ascii="Arial" w:cs="Arial" w:eastAsia="Arial" w:hAnsi="Arial"/>
          <w:sz w:val="18"/>
          <w:szCs w:val="18"/>
          <w:color w:val="auto"/>
        </w:rPr>
        <w:t>Holders of shares of Series A Preferred Stock shall be entitled to receive, in preference to any dividend paid on or declared and set aside for any Junior Stock, dividends at a per share price equal to the Series A Original Issue Price at an annual rate equal to 7% (the “</w:t>
      </w:r>
      <w:r>
        <w:rPr>
          <w:rFonts w:ascii="Arial" w:cs="Arial" w:eastAsia="Arial" w:hAnsi="Arial"/>
          <w:sz w:val="18"/>
          <w:szCs w:val="18"/>
          <w:u w:val="single" w:color="auto"/>
          <w:color w:val="auto"/>
        </w:rPr>
        <w:t>Preferred Dividend Rate</w:t>
      </w:r>
      <w:r>
        <w:rPr>
          <w:rFonts w:ascii="Arial" w:cs="Arial" w:eastAsia="Arial" w:hAnsi="Arial"/>
          <w:sz w:val="18"/>
          <w:szCs w:val="18"/>
          <w:color w:val="auto"/>
        </w:rPr>
        <w:t>”), compounded annually. Such dividends shall be declared and paid out of Earnings Per Share legally available to pay such dividends, any unpaid dividends shall cumulate and be payable upon conversion in accordance with Section 6 hereof.</w:t>
      </w:r>
    </w:p>
    <w:p>
      <w:pPr>
        <w:spacing w:after="0" w:line="186" w:lineRule="exact"/>
        <w:rPr>
          <w:rFonts w:ascii="Arial" w:cs="Arial" w:eastAsia="Arial" w:hAnsi="Arial"/>
          <w:sz w:val="18"/>
          <w:szCs w:val="18"/>
          <w:color w:val="auto"/>
        </w:rPr>
      </w:pPr>
    </w:p>
    <w:p>
      <w:pPr>
        <w:jc w:val="both"/>
        <w:ind w:firstLine="656"/>
        <w:spacing w:after="0" w:line="293" w:lineRule="auto"/>
        <w:tabs>
          <w:tab w:leader="none" w:pos="935"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the Company declares, pays or sets apart for payment any dividend or makes any Distribution (as defined below) on any shares of Common Stock, then at the time of such dividend or Distribution the Company shall simultaneously pay a dividend or Distribution on each outstanding share of Series A Preferred Stock in an amount equal to the product of (i) the dividend or Distribution payable on each share of Common Stock multiplied by (ii) the number of shares of Common Stock issuable upon conversion of a share of Series A Preferred Stock (without taking into account any limitations or restrictions on the convertibility of the shares of Series A Preferred Stock), calculated on the record date for determination of holders entitled to receive such dividend or Distribution. No dividend or other Distribution shall be declared or paid on any Junior Stock other than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shares of Series A Preferred Stock shall have the following voting rights:</w:t>
      </w:r>
    </w:p>
    <w:p>
      <w:pPr>
        <w:spacing w:after="0" w:line="225" w:lineRule="exact"/>
        <w:rPr>
          <w:sz w:val="20"/>
          <w:szCs w:val="20"/>
          <w:color w:val="auto"/>
        </w:rPr>
      </w:pPr>
    </w:p>
    <w:p>
      <w:pPr>
        <w:jc w:val="both"/>
        <w:ind w:firstLine="656"/>
        <w:spacing w:after="0" w:line="253" w:lineRule="auto"/>
        <w:tabs>
          <w:tab w:leader="none" w:pos="9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holders of outstanding shares of Series A Preferred Stock shall be entitled to notice of all meetings of stockholders in accordance with the Company’s By-laws. On any matter presented to the stockholders of the Company for their action or consideration at any meeting of stockholders of the Company (or by written consent of stockholders in lieu of meeting), each holder of outstanding shares of Series A Preferred Stock shall be entitled to cast the number of votes, rounded down to the nearest whole number, equal to the number of votes that would be attributable to the shares of Common Stock issuable upon conversion of such shares of Series A Preferred Stock, assuming such conversion took place on the record date for determining the stockholders entitled to vote on such matter (without taking into account any limitations or restrictions on the convertibility of the shares of Series A Preferred Stock) and at the Conversion Price (as defined in Section 6(D) below) of Series A Preferred Stock in effect on such record date. Except as provided herein or by law, holders of outstanding shares of Series A Preferred Stock shall vote together with the holders of outstanding shares of Common Stock as a single class.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both"/>
        <w:ind w:firstLine="656"/>
        <w:spacing w:after="0" w:line="263" w:lineRule="auto"/>
        <w:tabs>
          <w:tab w:leader="none" w:pos="951"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as set forth herein, in the Articles of Incorporation or required by law, holders of shares of Series A Preferred Stock shall have no special voting rights and their consent shall not be required (except to the extent they are entitled to vote with holders of Common Stock as set forth herein) for taking any corporate 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Liquidation Preference.</w:t>
      </w:r>
    </w:p>
    <w:p>
      <w:pPr>
        <w:spacing w:after="0" w:line="225" w:lineRule="exact"/>
        <w:rPr>
          <w:sz w:val="20"/>
          <w:szCs w:val="20"/>
          <w:color w:val="auto"/>
        </w:rPr>
      </w:pPr>
    </w:p>
    <w:p>
      <w:pPr>
        <w:jc w:val="both"/>
        <w:ind w:firstLine="656"/>
        <w:spacing w:after="0" w:line="268" w:lineRule="auto"/>
        <w:tabs>
          <w:tab w:leader="none" w:pos="954"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event of the liquidation, dissolution or winding-up of the affairs of the Company, whether voluntary or involuntary (a “</w:t>
      </w:r>
      <w:r>
        <w:rPr>
          <w:rFonts w:ascii="Arial" w:cs="Arial" w:eastAsia="Arial" w:hAnsi="Arial"/>
          <w:sz w:val="17"/>
          <w:szCs w:val="17"/>
          <w:u w:val="single" w:color="auto"/>
          <w:color w:val="auto"/>
        </w:rPr>
        <w:t>Liquidation</w:t>
      </w:r>
      <w:r>
        <w:rPr>
          <w:rFonts w:ascii="Arial" w:cs="Arial" w:eastAsia="Arial" w:hAnsi="Arial"/>
          <w:sz w:val="17"/>
          <w:szCs w:val="17"/>
          <w:color w:val="auto"/>
        </w:rPr>
        <w:t>”), the holders of shares of Series A Preferred Stock then outstanding shall be entitled to receive, out of the assets of the Company available for distribution to its stockholders before any payment shall be made to the holders of shares of Common Stock or any other Junior Stock by reason of their ownership thereof, with respect to each share of Series A Preferred Stock an amount equal to the Series A Original Issue Price (as defined below) plus all accrued and unpaid dividends (the amount payable to the holders of shares of Series A Preferred Stock is hereinafter referred to as the “</w:t>
      </w:r>
      <w:r>
        <w:rPr>
          <w:rFonts w:ascii="Arial" w:cs="Arial" w:eastAsia="Arial" w:hAnsi="Arial"/>
          <w:sz w:val="17"/>
          <w:szCs w:val="17"/>
          <w:u w:val="single" w:color="auto"/>
          <w:color w:val="auto"/>
        </w:rPr>
        <w:t>Series A Liquidation Amount</w:t>
      </w:r>
      <w:r>
        <w:rPr>
          <w:rFonts w:ascii="Arial" w:cs="Arial" w:eastAsia="Arial" w:hAnsi="Arial"/>
          <w:sz w:val="17"/>
          <w:szCs w:val="17"/>
          <w:color w:val="auto"/>
        </w:rPr>
        <w:t xml:space="preserve">”). If upon any such Liquidation, the assets of the Company available for distribution to its stockholders shall be insufficient to pay the holders of shares of Series A Preferred Stock the full liquidation preference (including, with respect to the shares of Series A Preferred Stock, the Series A Liquidation Amount) to which they shall be entitled under this Section 5(A),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All payments for which this Section 5(A) provides shall be in cash, property or a combination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cash shall be paid to holders of shares of Common Stock or any other Junior Stock unless each holder of the outstanding shares of Series A Preferred Stock has been paid in cash the full amount to which such holder shall be entitled under this Section 5(A). After payment of the full Series A Liquidation Amount, such holders of shares of Series A Preferred Stock will not be entitled to any further participation as such in any distribution of the assets of the Company. The “</w:t>
      </w:r>
      <w:r>
        <w:rPr>
          <w:rFonts w:ascii="Arial" w:cs="Arial" w:eastAsia="Arial" w:hAnsi="Arial"/>
          <w:sz w:val="17"/>
          <w:szCs w:val="17"/>
          <w:u w:val="single" w:color="auto"/>
          <w:color w:val="auto"/>
        </w:rPr>
        <w:t>Series A Original Issue Price</w:t>
      </w:r>
      <w:r>
        <w:rPr>
          <w:rFonts w:ascii="Arial" w:cs="Arial" w:eastAsia="Arial" w:hAnsi="Arial"/>
          <w:sz w:val="17"/>
          <w:szCs w:val="17"/>
          <w:color w:val="auto"/>
        </w:rPr>
        <w:t>” shall be $100 per share of Series A Preferred Stock.</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jc w:val="both"/>
        <w:ind w:firstLine="656"/>
        <w:spacing w:after="0" w:line="286" w:lineRule="auto"/>
        <w:tabs>
          <w:tab w:leader="none" w:pos="941"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purposes hereof, any transaction or series of related transactions that constitute (i) the sale, conveyance, exchange, lease or other transfer of all or substantially all of the assets of the Group taken as a whole, (ii) any acquisition of the Company by means of a consolidation, stock exchange, stock sale, merger or other form of corporate reorganization of the Company with any other entity in which the Company’s stockholders prior to the consolidation or merger own less than a majority of the voting securities or economic interests of the surviving entity (or, if the surviving entity is a wholly-owned subsidiary of another corporation following such merger or consolidation, the parent corporation of such surviving entity), (iii) the sale or disposition (including by way of merger, consolidation or otherwise) of one or more subsidiaries of the Company if substantially all of the assets of the Company and its subsidiaries taken as a whole are held by such subsidiary or subsidiaries, except where such sale or disposition is to a wholly-owned subsidiary of the Company or (iv) a transaction or series of related transactions following which the Company’s stockholders prior to such transaction or series of related transactions own less than a majority of the voting securities or economic interests of the Company or surviving entity (or, if the surviving entity is a wholly-owned subsidiary of another corporation following such transaction or series of related transactions, the parent corporation of such surviving entity) (any such event, a “</w:t>
      </w:r>
      <w:r>
        <w:rPr>
          <w:rFonts w:ascii="Arial" w:cs="Arial" w:eastAsia="Arial" w:hAnsi="Arial"/>
          <w:sz w:val="16"/>
          <w:szCs w:val="16"/>
          <w:u w:val="single" w:color="auto"/>
          <w:color w:val="auto"/>
        </w:rPr>
        <w:t>Reorganization Event</w:t>
      </w:r>
      <w:r>
        <w:rPr>
          <w:rFonts w:ascii="Arial" w:cs="Arial" w:eastAsia="Arial" w:hAnsi="Arial"/>
          <w:sz w:val="16"/>
          <w:szCs w:val="16"/>
          <w:color w:val="auto"/>
        </w:rPr>
        <w:t>”) shall be deemed to be a Liquidation unless otherwise determined by the holders of at least a majority of the shares of Series A Preferred Stock then outstanding. Notwithstanding the foregoing, any merger or reorganization exclusively between the Company and a wholly-owned subsidiary of the Company shall not be deemed to be a Reorganization Event.</w:t>
      </w:r>
    </w:p>
    <w:p>
      <w:pPr>
        <w:spacing w:after="0" w:line="173" w:lineRule="exact"/>
        <w:rPr>
          <w:rFonts w:ascii="Arial" w:cs="Arial" w:eastAsia="Arial" w:hAnsi="Arial"/>
          <w:sz w:val="16"/>
          <w:szCs w:val="16"/>
          <w:color w:val="auto"/>
        </w:rPr>
      </w:pPr>
    </w:p>
    <w:p>
      <w:pPr>
        <w:jc w:val="both"/>
        <w:ind w:firstLine="656"/>
        <w:spacing w:after="0" w:line="263" w:lineRule="auto"/>
        <w:tabs>
          <w:tab w:leader="none" w:pos="93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shall not have the power to effect any transaction constituting a Reorganization Event pursuant to Section 5(B) above unless the agreement or plan of merger or consolidation provides that the consideration payable to the stockholders of the Company shall be allocated among the holders of capital stock of the Company in accordance with Section 5(A) above.</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Unless otherwise waived by the holders of at least a majority of the shares of Series A Preferred Stock then outstanding, the Company shall deliver a written notice of any Liquidation, stating a payment date and the place where the distributable amounts shall be payable by mail, postage prepaid, no less than ten (10) days prior to the payment date stated therein, to the holders of record of the shares of Series A Preferred Stock then outstanding at their respective addresses as the same shall appear on the books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Conversion.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of shares of Series A Preferred Stock shall have the following conversion rights (the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4" w:lineRule="auto"/>
        <w:tabs>
          <w:tab w:leader="none" w:pos="956"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Holder’s Right to Convert. </w:t>
      </w:r>
      <w:r>
        <w:rPr>
          <w:rFonts w:ascii="Arial" w:cs="Arial" w:eastAsia="Arial" w:hAnsi="Arial"/>
          <w:sz w:val="18"/>
          <w:szCs w:val="18"/>
          <w:color w:val="auto"/>
        </w:rPr>
        <w:t>At any time after issuance, each holder of any shares of Series A Preferred Stock then outstanding may, at such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option, elect to convert (a “</w:t>
      </w:r>
      <w:r>
        <w:rPr>
          <w:rFonts w:ascii="Arial" w:cs="Arial" w:eastAsia="Arial" w:hAnsi="Arial"/>
          <w:sz w:val="18"/>
          <w:szCs w:val="18"/>
          <w:u w:val="single" w:color="auto"/>
          <w:color w:val="auto"/>
        </w:rPr>
        <w:t>Voluntary Conversion</w:t>
      </w:r>
      <w:r>
        <w:rPr>
          <w:rFonts w:ascii="Arial" w:cs="Arial" w:eastAsia="Arial" w:hAnsi="Arial"/>
          <w:sz w:val="18"/>
          <w:szCs w:val="18"/>
          <w:color w:val="auto"/>
        </w:rPr>
        <w:t xml:space="preserve">”) all or any portion of the shares of Series A Preferred Stock held by such holder into a number of fully paid and nonassessable shares of Common Stock equal to the quotient of (i) the product of (x) the Series A Original Issue Price plus an amount equal to any declared and unpaid dividends on the shares of Series A Preferred Stock being converted prior to the Voluntary Conversion Date (as defined below) plus the accrued but unpaid dividends payable under Section 3(A), multiplied by (y) the number of shares of Series A Preferred Stock being converted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Conversion Price (as defined in Section 6(D) below) then in effect as of the date of the delivery by such holder of its notice of election to convert.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ind w:left="66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color w:val="auto"/>
        </w:rPr>
        <w:t>Mechanics of Voluntary Conversion.</w:t>
      </w:r>
      <w:r>
        <w:rPr>
          <w:rFonts w:ascii="Arial" w:cs="Arial" w:eastAsia="Arial" w:hAnsi="Arial"/>
          <w:sz w:val="17"/>
          <w:szCs w:val="17"/>
          <w:color w:val="auto"/>
        </w:rPr>
        <w:t xml:space="preserve"> The Voluntary Conversion of shares of Series A Preferred Stock shall be conducted in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manner:</w:t>
      </w:r>
    </w:p>
    <w:p>
      <w:pPr>
        <w:spacing w:after="0" w:line="211" w:lineRule="exact"/>
        <w:rPr>
          <w:sz w:val="20"/>
          <w:szCs w:val="20"/>
          <w:color w:val="auto"/>
        </w:rPr>
      </w:pPr>
    </w:p>
    <w:p>
      <w:pPr>
        <w:jc w:val="both"/>
        <w:ind w:firstLine="1304"/>
        <w:spacing w:after="0" w:line="254" w:lineRule="auto"/>
        <w:tabs>
          <w:tab w:leader="none" w:pos="1524" w:val="left"/>
        </w:tabs>
        <w:numPr>
          <w:ilvl w:val="1"/>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Holder’s Delivery Requirements. </w:t>
      </w:r>
      <w:r>
        <w:rPr>
          <w:rFonts w:ascii="Arial" w:cs="Arial" w:eastAsia="Arial" w:hAnsi="Arial"/>
          <w:sz w:val="18"/>
          <w:szCs w:val="18"/>
          <w:color w:val="auto"/>
        </w:rPr>
        <w:t>To convert shares of Series A Preferred Stock into full shares of Common Stock on any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Voluntary Conversion Date</w:t>
      </w:r>
      <w:r>
        <w:rPr>
          <w:rFonts w:ascii="Arial" w:cs="Arial" w:eastAsia="Arial" w:hAnsi="Arial"/>
          <w:sz w:val="18"/>
          <w:szCs w:val="18"/>
          <w:color w:val="auto"/>
        </w:rPr>
        <w:t xml:space="preserve">”), the holder thereof shall (A) transmit by facsimile (or otherwise deliver), for receipt on or prior to 5:00 p.m., New York time on such date, a copy of a fully executed and completed notice of conversion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Conversion Notice</w:t>
      </w:r>
      <w:r>
        <w:rPr>
          <w:rFonts w:ascii="Arial" w:cs="Arial" w:eastAsia="Arial" w:hAnsi="Arial"/>
          <w:sz w:val="18"/>
          <w:szCs w:val="18"/>
          <w:color w:val="auto"/>
        </w:rPr>
        <w:t>”), to the Company, and (B) surrender to a common carrier for delivery to the Company as soon as practicable following such Voluntary Conversion Date but in no event later than three (3) Business Days (as defined below) after such date the original certificates representing the shares of Series A Preferred Stock being converted (or an indemnification undertaking with respect to such certificates in the case of their loss, theft or destruction)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Certificates</w:t>
      </w:r>
      <w:r>
        <w:rPr>
          <w:rFonts w:ascii="Arial" w:cs="Arial" w:eastAsia="Arial" w:hAnsi="Arial"/>
          <w:sz w:val="18"/>
          <w:szCs w:val="18"/>
          <w:color w:val="auto"/>
        </w:rPr>
        <w:t>”) and the originally executed Conversion Notice.</w:t>
      </w:r>
    </w:p>
    <w:p>
      <w:pPr>
        <w:spacing w:after="0" w:line="194" w:lineRule="exact"/>
        <w:rPr>
          <w:rFonts w:ascii="Arial" w:cs="Arial" w:eastAsia="Arial" w:hAnsi="Arial"/>
          <w:sz w:val="18"/>
          <w:szCs w:val="18"/>
          <w:color w:val="auto"/>
        </w:rPr>
      </w:pPr>
    </w:p>
    <w:p>
      <w:pPr>
        <w:jc w:val="both"/>
        <w:ind w:firstLine="1304"/>
        <w:spacing w:after="0" w:line="268" w:lineRule="auto"/>
        <w:tabs>
          <w:tab w:leader="none" w:pos="1561" w:val="left"/>
        </w:tabs>
        <w:numPr>
          <w:ilvl w:val="1"/>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Company’s Response. </w:t>
      </w:r>
      <w:r>
        <w:rPr>
          <w:rFonts w:ascii="Arial" w:cs="Arial" w:eastAsia="Arial" w:hAnsi="Arial"/>
          <w:sz w:val="17"/>
          <w:szCs w:val="17"/>
          <w:color w:val="auto"/>
        </w:rPr>
        <w:t>Upon receipt by the Company of a facsimile copy of a Conversion Notice, the Company shall within three (3)</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Days send, via facsimile, a confirmation of receipt of such Conversion Notice to such holder. Upon receipt by the Company of an originally executed Conversion Notice, the Company or its designated transfer agent (the “</w:t>
      </w:r>
      <w:r>
        <w:rPr>
          <w:rFonts w:ascii="Arial" w:cs="Arial" w:eastAsia="Arial" w:hAnsi="Arial"/>
          <w:sz w:val="17"/>
          <w:szCs w:val="17"/>
          <w:u w:val="single" w:color="auto"/>
          <w:color w:val="auto"/>
        </w:rPr>
        <w:t>Transfer Agent</w:t>
      </w:r>
      <w:r>
        <w:rPr>
          <w:rFonts w:ascii="Arial" w:cs="Arial" w:eastAsia="Arial" w:hAnsi="Arial"/>
          <w:sz w:val="17"/>
          <w:szCs w:val="17"/>
          <w:color w:val="auto"/>
        </w:rPr>
        <w:t>”), as applicable, shall, within three (3) Business Days following the date of receipt by the Company of the originally executed Conversion Notice (so long as the applicable Preferred Stock Certificates and original Conversion Notice are received by the Company on or before the third (3rd) Business Day), issue and deliver to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 account on the holder’s behalf via the Deposit Withdrawal Agent Commission System (“</w:t>
      </w:r>
      <w:r>
        <w:rPr>
          <w:rFonts w:ascii="Arial" w:cs="Arial" w:eastAsia="Arial" w:hAnsi="Arial"/>
          <w:sz w:val="17"/>
          <w:szCs w:val="17"/>
          <w:u w:val="single" w:color="auto"/>
          <w:color w:val="auto"/>
        </w:rPr>
        <w:t>DWAC</w:t>
      </w:r>
      <w:r>
        <w:rPr>
          <w:rFonts w:ascii="Arial" w:cs="Arial" w:eastAsia="Arial" w:hAnsi="Arial"/>
          <w:sz w:val="17"/>
          <w:szCs w:val="17"/>
          <w:color w:val="auto"/>
        </w:rPr>
        <w:t>”) as specified in the Conversion Notice, registered in the name of the holder or its designee, for the number of shares of Common Stock to which the holder shall be entitled. Notwithstanding the foregoing to the contrary, the Company or the Transfer Agent shall only be required to issue and deliver the shares to the DTC on a holder’s behalf via DWAC if such conversion is in connection with a sale and all requirements to effect such DWAC have been met, including, but not limited to, such shares being registered for resale pursuant to an effective registration statement and satisfaction of applicable prospectus delivery requirements, if any. If the Company or the Transfer Agent cannot issue the shares to a holder via DWAC because the aforementioned conditions are not satisfied, the Company shall deliver physical certificates to the holder or its designee. If the number of shares of Series A Preferred Stock represented by the Preferred Stock Certificate(s) submitted for conversion is greater than the number of shares of Series A Preferred Stock being converted, then the Company shall, as soon as practicable, issue and deliver to the holder a new Preferred Stock Certificate representing the number of shares of Series A Preferred Stock not converted.</w:t>
      </w:r>
    </w:p>
    <w:p>
      <w:pPr>
        <w:spacing w:after="0" w:line="181" w:lineRule="exact"/>
        <w:rPr>
          <w:rFonts w:ascii="Arial" w:cs="Arial" w:eastAsia="Arial" w:hAnsi="Arial"/>
          <w:sz w:val="17"/>
          <w:szCs w:val="17"/>
          <w:color w:val="auto"/>
        </w:rPr>
      </w:pPr>
    </w:p>
    <w:p>
      <w:pPr>
        <w:jc w:val="both"/>
        <w:ind w:right="20" w:firstLine="1304"/>
        <w:spacing w:after="0" w:line="263" w:lineRule="auto"/>
        <w:tabs>
          <w:tab w:leader="none" w:pos="1624" w:val="left"/>
        </w:tabs>
        <w:numPr>
          <w:ilvl w:val="1"/>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Record Holder. </w:t>
      </w:r>
      <w:r>
        <w:rPr>
          <w:rFonts w:ascii="Arial" w:cs="Arial" w:eastAsia="Arial" w:hAnsi="Arial"/>
          <w:sz w:val="18"/>
          <w:szCs w:val="18"/>
          <w:color w:val="auto"/>
        </w:rPr>
        <w:t>The person or persons entitled to receive the shares of Common Stock issuable upon a Voluntary Conversion of</w:t>
      </w:r>
      <w:r>
        <w:rPr>
          <w:rFonts w:ascii="Arial" w:cs="Arial" w:eastAsia="Arial" w:hAnsi="Arial"/>
          <w:sz w:val="18"/>
          <w:szCs w:val="18"/>
          <w:i w:val="1"/>
          <w:iCs w:val="1"/>
          <w:color w:val="auto"/>
        </w:rPr>
        <w:t xml:space="preserve"> </w:t>
      </w:r>
      <w:r>
        <w:rPr>
          <w:rFonts w:ascii="Arial" w:cs="Arial" w:eastAsia="Arial" w:hAnsi="Arial"/>
          <w:sz w:val="18"/>
          <w:szCs w:val="18"/>
          <w:color w:val="auto"/>
        </w:rPr>
        <w:t>Series A Preferred Stock shall be treated for all purposes as the record holder or holders of such shares of Common Stock on the Voluntary Conversion Date.</w:t>
      </w:r>
    </w:p>
    <w:p>
      <w:pPr>
        <w:spacing w:after="0" w:line="183" w:lineRule="exact"/>
        <w:rPr>
          <w:rFonts w:ascii="Arial" w:cs="Arial" w:eastAsia="Arial" w:hAnsi="Arial"/>
          <w:sz w:val="18"/>
          <w:szCs w:val="18"/>
          <w:color w:val="auto"/>
        </w:rPr>
      </w:pPr>
    </w:p>
    <w:p>
      <w:pPr>
        <w:ind w:left="940" w:hanging="284"/>
        <w:spacing w:after="0"/>
        <w:tabs>
          <w:tab w:leader="none" w:pos="9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Automatic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24" w:val="left"/>
        </w:tabs>
        <w:numPr>
          <w:ilvl w:val="1"/>
          <w:numId w:val="80"/>
        </w:numPr>
        <w:rPr>
          <w:rFonts w:ascii="Arial" w:cs="Arial" w:eastAsia="Arial" w:hAnsi="Arial"/>
          <w:sz w:val="18"/>
          <w:szCs w:val="18"/>
          <w:color w:val="auto"/>
        </w:rPr>
      </w:pPr>
      <w:r>
        <w:rPr>
          <w:rFonts w:ascii="Arial" w:cs="Arial" w:eastAsia="Arial" w:hAnsi="Arial"/>
          <w:sz w:val="18"/>
          <w:szCs w:val="18"/>
          <w:color w:val="auto"/>
        </w:rPr>
        <w:t>Immediately prior to the consummation of an Automatic Conversion Event (the date on which such Automatic Conversion Event is effected is referred to herein as the “</w:t>
      </w:r>
      <w:r>
        <w:rPr>
          <w:rFonts w:ascii="Arial" w:cs="Arial" w:eastAsia="Arial" w:hAnsi="Arial"/>
          <w:sz w:val="18"/>
          <w:szCs w:val="18"/>
          <w:u w:val="single" w:color="auto"/>
          <w:color w:val="auto"/>
        </w:rPr>
        <w:t>Mandatory Conversion Date</w:t>
      </w:r>
      <w:r>
        <w:rPr>
          <w:rFonts w:ascii="Arial" w:cs="Arial" w:eastAsia="Arial" w:hAnsi="Arial"/>
          <w:sz w:val="18"/>
          <w:szCs w:val="18"/>
          <w:color w:val="auto"/>
        </w:rPr>
        <w:t xml:space="preserve">”), each share of Series A Preferred Stock shall automatically be converted into a number of fully paid and nonassessable shares of Common Stock equal to the quotient of (i) the aggregate of (x) the Series A Original Issue Price plus (y) an amount equal to any declared and unpaid dividends on such share of Series A Preferred Stock prior to the Mandatory Conversion Date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Conversion Price.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t>Any conversion pursuant to this Section 6(C)(i) shall be referred to as an “</w:t>
      </w:r>
      <w:r>
        <w:rPr>
          <w:rFonts w:ascii="Arial" w:cs="Arial" w:eastAsia="Arial" w:hAnsi="Arial"/>
          <w:sz w:val="18"/>
          <w:szCs w:val="18"/>
          <w:u w:val="single" w:color="auto"/>
          <w:color w:val="auto"/>
        </w:rPr>
        <w:t>Automatic Conversion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9" w:lineRule="auto"/>
        <w:tabs>
          <w:tab w:leader="none" w:pos="1584" w:val="left"/>
        </w:tabs>
        <w:numPr>
          <w:ilvl w:val="1"/>
          <w:numId w:val="81"/>
        </w:numPr>
        <w:rPr>
          <w:rFonts w:ascii="Arial" w:cs="Arial" w:eastAsia="Arial" w:hAnsi="Arial"/>
          <w:sz w:val="17"/>
          <w:szCs w:val="17"/>
          <w:color w:val="auto"/>
        </w:rPr>
      </w:pPr>
      <w:r>
        <w:rPr>
          <w:rFonts w:ascii="Arial" w:cs="Arial" w:eastAsia="Arial" w:hAnsi="Arial"/>
          <w:sz w:val="17"/>
          <w:szCs w:val="17"/>
          <w:color w:val="auto"/>
        </w:rPr>
        <w:t xml:space="preserve">On the Mandatory Conversion Date, the shares of Series A Preferred Stock shall be </w:t>
      </w:r>
      <w:r>
        <w:rPr>
          <w:rFonts w:ascii="Arial" w:cs="Arial" w:eastAsia="Arial" w:hAnsi="Arial"/>
          <w:sz w:val="17"/>
          <w:szCs w:val="17"/>
          <w:i w:val="1"/>
          <w:iCs w:val="1"/>
          <w:color w:val="auto"/>
        </w:rPr>
        <w:t>converted</w:t>
      </w:r>
      <w:r>
        <w:rPr>
          <w:rFonts w:ascii="Arial" w:cs="Arial" w:eastAsia="Arial" w:hAnsi="Arial"/>
          <w:sz w:val="17"/>
          <w:szCs w:val="17"/>
          <w:color w:val="auto"/>
        </w:rPr>
        <w:t xml:space="preserve"> automatically without any further action by the holders of such shares and whether or not the certificates representing such shares are surrendered to the Company or its Transfer Agent, and certificates previously representing shares of Series A Preferred Stock shall represent only the shares of Common Stock into which the shares of Series A Preferred Stock previously represented thereby have been converted pursuant hereto;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obligated to issue the shares of Common Stock issuable upon such conversion of any shares of Series A Preferred Stock unless certificates evidencing such shares of Series A Preferred Stock are either delivered to the Company or the holder notifies the Company that such certificates have been lost, stolen, or destroyed, and executes an agreement reasonably satisfactory to the Company to indemnify the Company from any loss incurred by it in connection therewith. Upon the occurrence of the conversion of shares of Series A Preferred Stock pursuant to this Section 6(C), the holders of shares of Series A Preferred Stock shall surrender the certificates representing such shares to the Company and the Company shall cause its Transfer Agent to deliver the shares of Common Stock issuable upon such conversion (in the same manner set forth in Section 6(B)(ii)) to the holder within three (3) Business Days of the holder’s delivery of the applicable Series A Preferred Stock certificates.</w:t>
      </w:r>
    </w:p>
    <w:p>
      <w:pPr>
        <w:spacing w:after="0" w:line="181" w:lineRule="exact"/>
        <w:rPr>
          <w:rFonts w:ascii="Arial" w:cs="Arial" w:eastAsia="Arial" w:hAnsi="Arial"/>
          <w:sz w:val="17"/>
          <w:szCs w:val="17"/>
          <w:color w:val="auto"/>
        </w:rPr>
      </w:pPr>
    </w:p>
    <w:p>
      <w:pPr>
        <w:jc w:val="both"/>
        <w:ind w:firstLine="1304"/>
        <w:spacing w:after="0" w:line="263" w:lineRule="auto"/>
        <w:tabs>
          <w:tab w:leader="none" w:pos="1638"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Record Holder. </w:t>
      </w:r>
      <w:r>
        <w:rPr>
          <w:rFonts w:ascii="Arial" w:cs="Arial" w:eastAsia="Arial" w:hAnsi="Arial"/>
          <w:sz w:val="18"/>
          <w:szCs w:val="18"/>
          <w:color w:val="auto"/>
        </w:rPr>
        <w:t>The person or persons entitled to receive the shares of Common Stock issuable upon a conversion of Series A</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effected by the Automatic Conversion shall be treated for all purposes as the record holder or holders of such shares of Common Stock on the Mandatory Conversion Date.</w:t>
      </w:r>
    </w:p>
    <w:p>
      <w:pPr>
        <w:spacing w:after="0" w:line="183" w:lineRule="exact"/>
        <w:rPr>
          <w:rFonts w:ascii="Arial" w:cs="Arial" w:eastAsia="Arial" w:hAnsi="Arial"/>
          <w:sz w:val="18"/>
          <w:szCs w:val="18"/>
          <w:color w:val="auto"/>
        </w:rPr>
      </w:pPr>
    </w:p>
    <w:p>
      <w:pPr>
        <w:ind w:left="960" w:hanging="304"/>
        <w:spacing w:after="0"/>
        <w:tabs>
          <w:tab w:leader="none" w:pos="96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Conversion Price. </w:t>
      </w:r>
      <w:r>
        <w:rPr>
          <w:rFonts w:ascii="Arial" w:cs="Arial" w:eastAsia="Arial" w:hAnsi="Arial"/>
          <w:sz w:val="17"/>
          <w:szCs w:val="17"/>
          <w:color w:val="auto"/>
        </w:rPr>
        <w:t>The per share “</w:t>
      </w:r>
      <w:r>
        <w:rPr>
          <w:rFonts w:ascii="Arial" w:cs="Arial" w:eastAsia="Arial" w:hAnsi="Arial"/>
          <w:sz w:val="17"/>
          <w:szCs w:val="17"/>
          <w:u w:val="single" w:color="auto"/>
          <w:color w:val="auto"/>
        </w:rPr>
        <w:t>Conversion Price</w:t>
      </w:r>
      <w:r>
        <w:rPr>
          <w:rFonts w:ascii="Arial" w:cs="Arial" w:eastAsia="Arial" w:hAnsi="Arial"/>
          <w:sz w:val="17"/>
          <w:szCs w:val="17"/>
          <w:color w:val="auto"/>
        </w:rPr>
        <w:t>” shall mean $4.88, subject to subsequent adjustment under Section 6(E) hereof.</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Adjustments of Conversion Price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4" w:lineRule="auto"/>
        <w:tabs>
          <w:tab w:leader="none" w:pos="1511"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Adjustments for Stock Splits and Combinations. </w:t>
      </w:r>
      <w:r>
        <w:rPr>
          <w:rFonts w:ascii="Arial" w:cs="Arial" w:eastAsia="Arial" w:hAnsi="Arial"/>
          <w:sz w:val="18"/>
          <w:szCs w:val="18"/>
          <w:color w:val="auto"/>
        </w:rPr>
        <w:t>If the Company shall at any time or from time to time after the Issuance Date, effect a</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of the outstanding shares of Common Stock, the Conversion Price shall be proportionately decreased. For example, a 2:1 stock split shall result in a decrease in the Conversion Price by ½, taking into account all prior adjustments made thereto under this Section 6(E). If the Company shall at any time or from time to time after the Issuance Date, combine the outstanding shares of Common Stock, the Conversion Price shall be proportionately increased. For example, a 1:2 combination shall result in an increase in the Conversion Price by a multiple of 2, taking into account all prior adjustments made thereto under this Section 6(E). Any adjustments under this Section 6(E)(i) shall be effective at the close of business on the date the stock split or combination becomes effective.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firstLine="1304"/>
        <w:spacing w:after="0" w:line="257" w:lineRule="auto"/>
        <w:tabs>
          <w:tab w:leader="none" w:pos="1574"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Adjustments for Dividends and Distributions of Common Stock. </w:t>
      </w:r>
      <w:r>
        <w:rPr>
          <w:rFonts w:ascii="Arial" w:cs="Arial" w:eastAsia="Arial" w:hAnsi="Arial"/>
          <w:sz w:val="18"/>
          <w:szCs w:val="18"/>
          <w:color w:val="auto"/>
        </w:rPr>
        <w:t>If the Company shall at any time or from time to time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Date, make or issue or set a record date for the determination of holders of shares of Common Stock entitled to receive a dividend or other distribution payable in shares of Common Stock, then, and in each event, the Conversion Price shall be decreased as of the time of such issuance or, in the event such record date shall have been fixed, as of the close of business on such record date, by multiplying the Conversion Price then in effect by a fraction:</w:t>
      </w:r>
    </w:p>
    <w:p>
      <w:pPr>
        <w:spacing w:after="0" w:line="188" w:lineRule="exact"/>
        <w:rPr>
          <w:sz w:val="20"/>
          <w:szCs w:val="20"/>
          <w:color w:val="auto"/>
        </w:rPr>
      </w:pPr>
    </w:p>
    <w:p>
      <w:pPr>
        <w:ind w:left="1960" w:right="20" w:hanging="656"/>
        <w:spacing w:after="0" w:line="277" w:lineRule="auto"/>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4" w:lineRule="exact"/>
        <w:rPr>
          <w:sz w:val="20"/>
          <w:szCs w:val="20"/>
          <w:color w:val="auto"/>
        </w:rPr>
      </w:pPr>
    </w:p>
    <w:p>
      <w:pPr>
        <w:jc w:val="both"/>
        <w:ind w:firstLine="1304"/>
        <w:spacing w:after="0" w:line="286" w:lineRule="auto"/>
        <w:tabs>
          <w:tab w:leader="none" w:pos="1624" w:val="left"/>
        </w:tabs>
        <w:numPr>
          <w:ilvl w:val="1"/>
          <w:numId w:val="85"/>
        </w:numPr>
        <w:rPr>
          <w:rFonts w:ascii="Arial" w:cs="Arial" w:eastAsia="Arial" w:hAnsi="Arial"/>
          <w:sz w:val="16"/>
          <w:szCs w:val="16"/>
          <w:color w:val="auto"/>
        </w:rPr>
      </w:pPr>
      <w:r>
        <w:rPr>
          <w:rFonts w:ascii="Arial" w:cs="Arial" w:eastAsia="Arial" w:hAnsi="Arial"/>
          <w:sz w:val="16"/>
          <w:szCs w:val="16"/>
          <w:i w:val="1"/>
          <w:iCs w:val="1"/>
          <w:color w:val="auto"/>
        </w:rPr>
        <w:t xml:space="preserve">Adjustment for Merger or Reorganization, etc. </w:t>
      </w:r>
      <w:r>
        <w:rPr>
          <w:rFonts w:ascii="Arial" w:cs="Arial" w:eastAsia="Arial" w:hAnsi="Arial"/>
          <w:sz w:val="16"/>
          <w:szCs w:val="16"/>
          <w:color w:val="auto"/>
        </w:rPr>
        <w:t>If at any time or from time to time after the Issuance Date there shall occur any</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recapitalization, reclassification, consolidation, merger or other reorganization event (collectively, the “</w:t>
      </w:r>
      <w:r>
        <w:rPr>
          <w:rFonts w:ascii="Arial" w:cs="Arial" w:eastAsia="Arial" w:hAnsi="Arial"/>
          <w:sz w:val="16"/>
          <w:szCs w:val="16"/>
          <w:u w:val="single" w:color="auto"/>
          <w:color w:val="auto"/>
        </w:rPr>
        <w:t>Reorganization Adjustment Event</w:t>
      </w:r>
      <w:r>
        <w:rPr>
          <w:rFonts w:ascii="Arial" w:cs="Arial" w:eastAsia="Arial" w:hAnsi="Arial"/>
          <w:sz w:val="16"/>
          <w:szCs w:val="16"/>
          <w:color w:val="auto"/>
        </w:rPr>
        <w:t>”) involving the Company (other than a Reorganization Event deemed to be a Liquidation pursuant to Section 5(B) or an Automatic Conversion Event) in which shares of Common Stock (but not shares of Series A Preferred Stock) are converted into or exchanged for securities, cash or other property (other than a transaction covered by Section 6(E)(i) or Section 6(E)(ii)), then, following any such Reorganization Adjustment Event, each share of Series A Preferred Stock shall thereafter be convertible (without taking into account any limitations or restrictions on the convertibility of the shares of Series A Preferred Stock), in lieu of the shares of Common Stock, into the kind and amount of securities, cash or other property which a holder of the number of shares of Common Stock of the Company issuable upon conversion of one share of Series A Preferred Stock immediately prior to such Reorganization Adjustment Event would have been entitled to receive pursuant to such transaction; and, in such case, appropriate adjustment (as determined in good faith by the Board of Directors) shall be made in the application of the provisions in this Section 6(E) with respect to the rights and interests thereafter of the holders of shares of Series A Preferred Stock, to the end that the provisions set forth in this Section 6 (including provisions with respect to changes in and other adjustments to the Conversion Price) shall thereafter be applicable, as nearly as reasonably may be, in relation to any securities or other property thereafter deliverable upon the conversion of the shares of Series A Preferred Stock.</w:t>
      </w:r>
    </w:p>
    <w:p>
      <w:pPr>
        <w:spacing w:after="0" w:line="173" w:lineRule="exact"/>
        <w:rPr>
          <w:rFonts w:ascii="Arial" w:cs="Arial" w:eastAsia="Arial" w:hAnsi="Arial"/>
          <w:sz w:val="16"/>
          <w:szCs w:val="16"/>
          <w:color w:val="auto"/>
        </w:rPr>
      </w:pPr>
    </w:p>
    <w:p>
      <w:pPr>
        <w:jc w:val="both"/>
        <w:ind w:firstLine="1304"/>
        <w:spacing w:after="0" w:line="287" w:lineRule="auto"/>
        <w:tabs>
          <w:tab w:leader="none" w:pos="1628" w:val="left"/>
        </w:tabs>
        <w:numPr>
          <w:ilvl w:val="1"/>
          <w:numId w:val="85"/>
        </w:numPr>
        <w:rPr>
          <w:rFonts w:ascii="Arial" w:cs="Arial" w:eastAsia="Arial" w:hAnsi="Arial"/>
          <w:sz w:val="16"/>
          <w:szCs w:val="16"/>
          <w:color w:val="auto"/>
        </w:rPr>
      </w:pPr>
      <w:r>
        <w:rPr>
          <w:rFonts w:ascii="Arial" w:cs="Arial" w:eastAsia="Arial" w:hAnsi="Arial"/>
          <w:sz w:val="16"/>
          <w:szCs w:val="16"/>
          <w:i w:val="1"/>
          <w:iCs w:val="1"/>
          <w:color w:val="auto"/>
        </w:rPr>
        <w:t xml:space="preserve">Adjustment for Decrease in Aggregate Valuation on Mandatory Conversion Date. </w:t>
      </w:r>
      <w:r>
        <w:rPr>
          <w:rFonts w:ascii="Arial" w:cs="Arial" w:eastAsia="Arial" w:hAnsi="Arial"/>
          <w:sz w:val="16"/>
          <w:szCs w:val="16"/>
          <w:color w:val="auto"/>
        </w:rPr>
        <w:t>In the event the aggregate valuation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on the Mandatory Conversion Date as determined in good faith by the Company’s board of directors (the “</w:t>
      </w:r>
      <w:r>
        <w:rPr>
          <w:rFonts w:ascii="Arial" w:cs="Arial" w:eastAsia="Arial" w:hAnsi="Arial"/>
          <w:sz w:val="16"/>
          <w:szCs w:val="16"/>
          <w:u w:val="single" w:color="auto"/>
          <w:color w:val="auto"/>
        </w:rPr>
        <w:t>Aggregate Valuation</w:t>
      </w:r>
      <w:r>
        <w:rPr>
          <w:rFonts w:ascii="Arial" w:cs="Arial" w:eastAsia="Arial" w:hAnsi="Arial"/>
          <w:sz w:val="16"/>
          <w:szCs w:val="16"/>
          <w:color w:val="auto"/>
        </w:rPr>
        <w:t xml:space="preserve">”) is less than $100,000,000, the Conversion Price then in effect shall be adjusted to a price equal to (A) the Aggregate Valuation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$100,000,000, </w:t>
      </w:r>
      <w:r>
        <w:rPr>
          <w:rFonts w:ascii="Arial" w:cs="Arial" w:eastAsia="Arial" w:hAnsi="Arial"/>
          <w:sz w:val="16"/>
          <w:szCs w:val="16"/>
          <w:i w:val="1"/>
          <w:iCs w:val="1"/>
          <w:color w:val="auto"/>
        </w:rPr>
        <w:t>multiplied by</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Conversion Price then in effect.</w:t>
      </w:r>
    </w:p>
    <w:p>
      <w:pPr>
        <w:spacing w:after="0" w:line="210" w:lineRule="exact"/>
        <w:rPr>
          <w:rFonts w:ascii="Arial" w:cs="Arial" w:eastAsia="Arial" w:hAnsi="Arial"/>
          <w:sz w:val="18"/>
          <w:szCs w:val="18"/>
          <w:color w:val="auto"/>
        </w:rPr>
      </w:pPr>
    </w:p>
    <w:p>
      <w:pPr>
        <w:ind w:firstLine="1304"/>
        <w:spacing w:after="0" w:line="277" w:lineRule="auto"/>
        <w:tabs>
          <w:tab w:leader="none" w:pos="1578"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Successive Adjustments; Multiple Adjustments</w:t>
      </w:r>
      <w:r>
        <w:rPr>
          <w:rFonts w:ascii="Arial" w:cs="Arial" w:eastAsia="Arial" w:hAnsi="Arial"/>
          <w:sz w:val="18"/>
          <w:szCs w:val="18"/>
          <w:color w:val="auto"/>
        </w:rPr>
        <w:t>. After an adjustment is made to the Conversion Price under this Section 6</w:t>
      </w:r>
      <w:r>
        <w:rPr>
          <w:rFonts w:ascii="Arial" w:cs="Arial" w:eastAsia="Arial" w:hAnsi="Arial"/>
          <w:sz w:val="18"/>
          <w:szCs w:val="18"/>
          <w:i w:val="1"/>
          <w:iCs w:val="1"/>
          <w:color w:val="auto"/>
        </w:rPr>
        <w:t xml:space="preserve">, </w:t>
      </w:r>
      <w:r>
        <w:rPr>
          <w:rFonts w:ascii="Arial" w:cs="Arial" w:eastAsia="Arial" w:hAnsi="Arial"/>
          <w:sz w:val="18"/>
          <w:szCs w:val="18"/>
          <w:color w:val="auto"/>
        </w:rPr>
        <w:t>any</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event requiring an adjustment under this Section 6 shall cause an adjustment to such Conversion Price, as so adjusted.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656"/>
        <w:spacing w:after="0" w:line="271" w:lineRule="auto"/>
        <w:tabs>
          <w:tab w:leader="none" w:pos="913"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 xml:space="preserve">Certificates as to Adjustments. </w:t>
      </w:r>
      <w:r>
        <w:rPr>
          <w:rFonts w:ascii="Arial" w:cs="Arial" w:eastAsia="Arial" w:hAnsi="Arial"/>
          <w:sz w:val="17"/>
          <w:szCs w:val="17"/>
          <w:color w:val="auto"/>
        </w:rPr>
        <w:t>Upon occurrence of each adjustment or readjustment of the Conversion Price, or number of shares of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issuable upon shares of conversion of Series A Preferred Stock pursuant to this Section 6</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at its expense shall promptly compute such adjustment or readjustment in accordance with the terms hereof and furnish to each holder of such shares of Series A Preferred Stock a certificate setting forth such adjustment and readjustment, showing in detail the facts upon which such adjustment or readjustment is based, assuming conversion of shares of Series A Preferred Stock. The Company shall, upon written request of the holder of any such affected shares of Series A Preferred Stock, at any time, furnish or cause to be furnished to such holder a like certificate setting forth such adjustments and readjustments, the Conversion Price in effect at the time, and the number of shares of Common Stock and the amount, if any, of other securities or property which at the time would be received upon the conversion of a share of such Series A Preferred Stock.</w:t>
      </w:r>
    </w:p>
    <w:p>
      <w:pPr>
        <w:spacing w:after="0" w:line="178" w:lineRule="exact"/>
        <w:rPr>
          <w:rFonts w:ascii="Arial" w:cs="Arial" w:eastAsia="Arial" w:hAnsi="Arial"/>
          <w:sz w:val="17"/>
          <w:szCs w:val="17"/>
          <w:color w:val="auto"/>
        </w:rPr>
      </w:pPr>
    </w:p>
    <w:p>
      <w:pPr>
        <w:jc w:val="both"/>
        <w:ind w:firstLine="656"/>
        <w:spacing w:after="0" w:line="263" w:lineRule="auto"/>
        <w:tabs>
          <w:tab w:leader="none" w:pos="943"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Fractional Shares. </w:t>
      </w:r>
      <w:r>
        <w:rPr>
          <w:rFonts w:ascii="Arial" w:cs="Arial" w:eastAsia="Arial" w:hAnsi="Arial"/>
          <w:sz w:val="18"/>
          <w:szCs w:val="18"/>
          <w:color w:val="auto"/>
        </w:rPr>
        <w:t>No fractional shares of Common Stock shall be issued upon conversion of the shares of Series A Preferred Stock. In lieu of</w:t>
      </w:r>
      <w:r>
        <w:rPr>
          <w:rFonts w:ascii="Arial" w:cs="Arial" w:eastAsia="Arial" w:hAnsi="Arial"/>
          <w:sz w:val="18"/>
          <w:szCs w:val="18"/>
          <w:i w:val="1"/>
          <w:iCs w:val="1"/>
          <w:color w:val="auto"/>
        </w:rPr>
        <w:t xml:space="preserve"> </w:t>
      </w:r>
      <w:r>
        <w:rPr>
          <w:rFonts w:ascii="Arial" w:cs="Arial" w:eastAsia="Arial" w:hAnsi="Arial"/>
          <w:sz w:val="18"/>
          <w:szCs w:val="18"/>
          <w:color w:val="auto"/>
        </w:rPr>
        <w:t>any fractional shares to which the holder would otherwise be entitled, the Company shall pay to such holder cash equal to the fair market value of such fractional share as determined by the Board of Directors.</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56"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Reservation of Common Stock. </w:t>
      </w:r>
      <w:r>
        <w:rPr>
          <w:rFonts w:ascii="Arial" w:cs="Arial" w:eastAsia="Arial" w:hAnsi="Arial"/>
          <w:sz w:val="18"/>
          <w:szCs w:val="18"/>
          <w:color w:val="auto"/>
        </w:rPr>
        <w:t>The Company shall, so long as any shares of Series A Preferred Stock are outstanding, reserve and keep</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out of its authorized and unissued Common Stock, solely for the purpose of effecting the conversion of Series A Preferred Stock according to the terms hereof, such number of shares of Common Stock as shall from time to time be sufficient to effect the conversion of all of Series A Preferred Stock then outstanding.</w:t>
      </w:r>
    </w:p>
    <w:p>
      <w:pPr>
        <w:spacing w:after="0" w:line="186" w:lineRule="exact"/>
        <w:rPr>
          <w:rFonts w:ascii="Arial" w:cs="Arial" w:eastAsia="Arial" w:hAnsi="Arial"/>
          <w:sz w:val="18"/>
          <w:szCs w:val="18"/>
          <w:color w:val="auto"/>
        </w:rPr>
      </w:pPr>
    </w:p>
    <w:p>
      <w:pPr>
        <w:jc w:val="both"/>
        <w:ind w:firstLine="656"/>
        <w:spacing w:after="0" w:line="275" w:lineRule="auto"/>
        <w:tabs>
          <w:tab w:leader="none" w:pos="873"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 xml:space="preserve">Partial Conversion of Series A Preferred Stock. </w:t>
      </w:r>
      <w:r>
        <w:rPr>
          <w:rFonts w:ascii="Arial" w:cs="Arial" w:eastAsia="Arial" w:hAnsi="Arial"/>
          <w:sz w:val="17"/>
          <w:szCs w:val="17"/>
          <w:color w:val="auto"/>
        </w:rPr>
        <w:t>Conversion of shares of Series A Preferred Stock shall be deemed to have been effected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Voluntary Conversion Date or the Mandatory Conversion Date, as applicable, and such date is referred to herein as the “</w:t>
      </w:r>
      <w:r>
        <w:rPr>
          <w:rFonts w:ascii="Arial" w:cs="Arial" w:eastAsia="Arial" w:hAnsi="Arial"/>
          <w:sz w:val="17"/>
          <w:szCs w:val="17"/>
          <w:u w:val="single" w:color="auto"/>
          <w:color w:val="auto"/>
        </w:rPr>
        <w:t>Conversion Date</w:t>
      </w:r>
      <w:r>
        <w:rPr>
          <w:rFonts w:ascii="Arial" w:cs="Arial" w:eastAsia="Arial" w:hAnsi="Arial"/>
          <w:sz w:val="17"/>
          <w:szCs w:val="17"/>
          <w:color w:val="auto"/>
        </w:rPr>
        <w:t>.” Upon conversion of only a portion of the number of shares of Series A Preferred Stock represented by a certificate surrendered for conversion, the Company shall issue and deliver to such holder at the expense of the Company, a new certificate covering the number of shares of Series A Preferred Stock representing the unconverted portion of the shares of Series A Preferred Stock so surrendered.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Retirement of Reacquired Shares.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shares of Series A Preferred Stock purchased, converted or otherwise acquired by the Company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 but may not be reissued as shares of Series A Preferred Stock.</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Lost or Stolen Certificates.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Upon receipt by the Company of evidence reasonably satisfactory to the Company of the loss, theft, destruction or mutilation of any certificates representing the shares of Series A Preferred Stock, and, in the case of loss, theft or destruction, of an indemnification undertaking by the holder of such shares of Series A Preferred Stock to the Company in customary form and, in the case of mutilation, upon surrender and cancellation such certificates, the Company shall execute and deliver new preferred stock certificate(s) of like tenor and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the Company shall not be obligated to re-issue certificates of such shares of Series A Preferred Stock if the holder contemporaneously requests the Company to convert such shares of Series A Preferred Stock into shares of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Injunctive Relief.</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acknowledges that a breach by it of its obligations hereunder will cause irreparable harm to the holders of shares of Series A Preferred Stock and that the remedy at law for any such breach may be inadequate. The Company therefore agrees that, in the event of any such breach or threatened breach, the holders shall be entitled, in addition to all other available remedies, to an injunction restraining any breach, without the necessity of showing economic loss and without any bond or other security being required.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Failure or Indulgence Not Waiver.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failure or delay on the part of a holder of shares of Series A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Transfer of Shares.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holder of shares of Series A Preferred Stock may assign some or all of the shares and the accompanying rights hereunder held by such holder without the consent of the Company; provided that such assignment is in compliance with applicable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Preferred Share Register.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shall maintain at its principal executive offices (or such other office or agency of the Company as it may designate by notice to the holders of shares of Series A Preferred Stock), a register for Series A Preferred Stock, in which the Company shall record the name and address of the persons in whose name Series A Preferred Stock have been issued, as well as the name and address of each transferee. The Company may treat the person in whose name any of Series A Preferred Stock is registered on the register as the owner and holder thereof for all purposes, notwithstanding any notice to the contrary, but in all events recognizing any properly made transfers.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Stockholder Matters.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stockholder action, approval or consent required, desired or otherwise sought by the Company pursuant to the rules and regulations of the applicable stock market, the Nevada Revised Statutes, this Amended and Restated Certificate of Designation or otherwise with respect to the issuance of shares of Series A Preferred Stock or the common stock Series A Preferred Stock may convert into may be effected by written consent of the Company’s stockholders or at a duly called meeting of the Company’s stockholders, all in accordance with the applicable rules and regulations of the applicable stock market and the Nevada Revised Statutes. This provision is intended to comply with the applicable sections of the Nevada Revised Statutes permitting stockholder action, approval and consent affected by written consent in lieu of a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Definitions.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Net Income</w:t>
      </w:r>
      <w:r>
        <w:rPr>
          <w:rFonts w:ascii="Arial" w:cs="Arial" w:eastAsia="Arial" w:hAnsi="Arial"/>
          <w:sz w:val="18"/>
          <w:szCs w:val="18"/>
          <w:color w:val="auto"/>
        </w:rPr>
        <w:t>” means, in respect of any fiscal year or quarter, the consolidated net income of the Company for such fiscal year or quarter (as applicable), in accordance with GAAP based upon the Company’s financial statements for the relevant period.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Automatic Conversion Event</w:t>
      </w:r>
      <w:r>
        <w:rPr>
          <w:rFonts w:ascii="Arial" w:cs="Arial" w:eastAsia="Arial" w:hAnsi="Arial"/>
          <w:sz w:val="17"/>
          <w:szCs w:val="17"/>
          <w:color w:val="auto"/>
        </w:rPr>
        <w:t>” shall mean: (i) the Company or its successor in interest (a) becoming a reporting issuer in the United States under applicable United States securities laws through either the filing of a prospectus or registration statement or a merger, business combination or similar transaction with an existing reporting issuer or the equivalent, and (b) the Common Stock or the common stock of such existing reporting issuer resulting from such a transaction is listed for trading on any tier of the NASDAQ Stock Market, The New York Stock Exchange, the NYSE American or similar nationally recognized stock exchange (a “</w:t>
      </w:r>
      <w:r>
        <w:rPr>
          <w:rFonts w:ascii="Arial" w:cs="Arial" w:eastAsia="Arial" w:hAnsi="Arial"/>
          <w:sz w:val="17"/>
          <w:szCs w:val="17"/>
          <w:u w:val="single" w:color="auto"/>
          <w:color w:val="auto"/>
        </w:rPr>
        <w:t>National Exchange</w:t>
      </w:r>
      <w:r>
        <w:rPr>
          <w:rFonts w:ascii="Arial" w:cs="Arial" w:eastAsia="Arial" w:hAnsi="Arial"/>
          <w:sz w:val="17"/>
          <w:szCs w:val="17"/>
          <w:color w:val="auto"/>
        </w:rPr>
        <w:t>”), or (ii) upon the consummation of an underwritten public offering of the Common Stock of gross proceeds to the Company of at least $20 million and its Common Stock is listed on a National Exchange (an “</w:t>
      </w:r>
      <w:r>
        <w:rPr>
          <w:rFonts w:ascii="Arial" w:cs="Arial" w:eastAsia="Arial" w:hAnsi="Arial"/>
          <w:sz w:val="17"/>
          <w:szCs w:val="17"/>
          <w:u w:val="single" w:color="auto"/>
          <w:color w:val="auto"/>
        </w:rPr>
        <w:t>IPO</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which shall be a United States federal or a day on which banking institutions in the State of New York are authorized or required by law or other governmental action to close.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Securities</w:t>
      </w:r>
      <w:r>
        <w:rPr>
          <w:rFonts w:ascii="Arial" w:cs="Arial" w:eastAsia="Arial" w:hAnsi="Arial"/>
          <w:sz w:val="16"/>
          <w:szCs w:val="16"/>
          <w:color w:val="auto"/>
        </w:rPr>
        <w:t>” shall mean any evidences of indebtedness, shares or other securities convertible into or exchangeable for Common Stock.</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means the transfer of cash or other property without consideration, whether by way of dividend or otherwise or the purchase or redemption of shares of the Company for cash or property.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Earnings Per Share</w:t>
      </w:r>
      <w:r>
        <w:rPr>
          <w:rFonts w:ascii="Arial" w:cs="Arial" w:eastAsia="Arial" w:hAnsi="Arial"/>
          <w:sz w:val="18"/>
          <w:szCs w:val="18"/>
          <w:color w:val="auto"/>
        </w:rPr>
        <w:t>” in respect of any quarter means the quotient of the Actual Net Income of such quarter divided by the total number of shares of Common Stock outstanding as of the last day of such quarter assuming all shares of Series A Preferred Stock and other Equity Securities convertible into or exercisable or exchangeable for Common Stock have been so converted, exercised or exchanged.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Date</w:t>
      </w:r>
      <w:r>
        <w:rPr>
          <w:rFonts w:ascii="Arial" w:cs="Arial" w:eastAsia="Arial" w:hAnsi="Arial"/>
          <w:sz w:val="18"/>
          <w:szCs w:val="18"/>
          <w:color w:val="auto"/>
        </w:rPr>
        <w:t>” means the date of original issuance of shares Series A Preferred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Options</w:t>
      </w:r>
      <w:r>
        <w:rPr>
          <w:rFonts w:ascii="Arial" w:cs="Arial" w:eastAsia="Arial" w:hAnsi="Arial"/>
          <w:sz w:val="18"/>
          <w:szCs w:val="18"/>
          <w:color w:val="auto"/>
        </w:rPr>
        <w:t>” shall mean rights, options or warrants to subscribe for, purchase or otherwise acquire Common Stock or Convertible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ind w:firstLine="648"/>
        <w:spacing w:after="0" w:line="277" w:lineRule="auto"/>
        <w:rPr>
          <w:sz w:val="20"/>
          <w:szCs w:val="20"/>
          <w:color w:val="auto"/>
        </w:rPr>
      </w:pPr>
      <w:r>
        <w:rPr>
          <w:rFonts w:ascii="Arial" w:cs="Arial" w:eastAsia="Arial" w:hAnsi="Arial"/>
          <w:sz w:val="18"/>
          <w:szCs w:val="18"/>
          <w:color w:val="auto"/>
        </w:rPr>
        <w:t>IN WITNESS WHEREOF, the undersigned has executed and subscribed this Third Amended and Restated Certificate and does affirm the foregoing as true under the penalties of perjury this 12th day of January, 2021.</w:t>
      </w:r>
    </w:p>
    <w:p>
      <w:pPr>
        <w:spacing w:after="0" w:line="170"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Niv Krikov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Niv Krikov</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NOTICE</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Reference is made to the Third Amended and Restated Certificate of Designation, Preferences and Rights of the Series A Convertible Preferred Stock of Agrify Corporation (the “</w:t>
      </w:r>
      <w:r>
        <w:rPr>
          <w:rFonts w:ascii="Arial" w:cs="Arial" w:eastAsia="Arial" w:hAnsi="Arial"/>
          <w:sz w:val="16"/>
          <w:szCs w:val="16"/>
          <w:u w:val="single" w:color="auto"/>
          <w:color w:val="auto"/>
        </w:rPr>
        <w:t>Certificate of Designation</w:t>
      </w:r>
      <w:r>
        <w:rPr>
          <w:rFonts w:ascii="Arial" w:cs="Arial" w:eastAsia="Arial" w:hAnsi="Arial"/>
          <w:sz w:val="16"/>
          <w:szCs w:val="16"/>
          <w:color w:val="auto"/>
        </w:rPr>
        <w:t>”). In accordance with and pursuant to the Certificate of Designation, the undersigned hereby elects to convert the number of shares of Series A Convertible Preferred Stock, each with a par value of $0.001 per share (the “</w:t>
      </w:r>
      <w:r>
        <w:rPr>
          <w:rFonts w:ascii="Arial" w:cs="Arial" w:eastAsia="Arial" w:hAnsi="Arial"/>
          <w:sz w:val="16"/>
          <w:szCs w:val="16"/>
          <w:u w:val="single" w:color="auto"/>
          <w:color w:val="auto"/>
        </w:rPr>
        <w:t>Preferred Shares</w:t>
      </w:r>
      <w:r>
        <w:rPr>
          <w:rFonts w:ascii="Arial" w:cs="Arial" w:eastAsia="Arial" w:hAnsi="Arial"/>
          <w:sz w:val="16"/>
          <w:szCs w:val="16"/>
          <w:color w:val="auto"/>
        </w:rPr>
        <w:t>”), of Agrify Corporation,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indicated below into shares of Common Stock, par value $0.001 per share (the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of the Company, by tendering the stock certificate(s) representing the share(s) of Preferred Shares specified below as of the date specified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of Conversion: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Preferred Shares to be converted: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certificate no(s). of Preferred Shares to be converted: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Conversion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to be issued: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issue the Common Stock into which the Preferred Shares are being converted and, if applicable, any check drawn on an account of the Company in the following name and to the following address: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Issue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Authorization:</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EMPLOYMENT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________, between Agrify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Raymond Chang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together with the Company,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desires to employ Executive, and Executive desires to accept such employment, on the terms and conditions set forth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on the basis of the foregoing premises and in consideration of the mutual covenants and agreements contained herein,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211" w:lineRule="exact"/>
        <w:rPr>
          <w:sz w:val="20"/>
          <w:szCs w:val="20"/>
          <w:color w:val="auto"/>
        </w:rPr>
      </w:pPr>
    </w:p>
    <w:p>
      <w:pPr>
        <w:jc w:val="both"/>
        <w:ind w:firstLine="656"/>
        <w:spacing w:after="0" w:line="254" w:lineRule="auto"/>
        <w:tabs>
          <w:tab w:leader="none" w:pos="82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Employment; Title; Duties and Location</w:t>
      </w:r>
      <w:r>
        <w:rPr>
          <w:rFonts w:ascii="Arial" w:cs="Arial" w:eastAsia="Arial" w:hAnsi="Arial"/>
          <w:sz w:val="18"/>
          <w:szCs w:val="18"/>
          <w:color w:val="auto"/>
        </w:rPr>
        <w:t>. The Company hereby agrees to employ Executive, and Executive hereby accepts employment with the Company, on the terms and subject to the conditions set forth herein. During the Employment Period (as defined in Section 2 below), Executive shall serve the Company as Chief Executive Officer and shall report exclusively and directly to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Executive shall perform the duties consistent with Executive’s title and position and such other duties commensurate with such position and title as shall be specified or designated by the Company from time to time. The principal place of performance by Executive of Executive’s duties hereunder shall be the Company’s offices in Burlington, MA, although Executive may be required to reasonably travel outside of such area in connection with the performance of Executive’s duties.</w:t>
      </w:r>
    </w:p>
    <w:p>
      <w:pPr>
        <w:spacing w:after="0" w:line="194" w:lineRule="exact"/>
        <w:rPr>
          <w:rFonts w:ascii="Arial" w:cs="Arial" w:eastAsia="Arial" w:hAnsi="Arial"/>
          <w:sz w:val="18"/>
          <w:szCs w:val="18"/>
          <w:color w:val="auto"/>
        </w:rPr>
      </w:pPr>
    </w:p>
    <w:p>
      <w:pPr>
        <w:ind w:left="840" w:hanging="184"/>
        <w:spacing w:after="0"/>
        <w:tabs>
          <w:tab w:leader="none" w:pos="84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Term</w:t>
      </w:r>
      <w:r>
        <w:rPr>
          <w:rFonts w:ascii="Arial" w:cs="Arial" w:eastAsia="Arial" w:hAnsi="Arial"/>
          <w:sz w:val="16"/>
          <w:szCs w:val="16"/>
          <w:color w:val="auto"/>
        </w:rPr>
        <w:t>. Executive’s employment hereunder shall commence on ____________, 2021</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Commencement Date</w:t>
      </w:r>
      <w:r>
        <w:rPr>
          <w:rFonts w:ascii="Arial" w:cs="Arial" w:eastAsia="Arial" w:hAnsi="Arial"/>
          <w:sz w:val="16"/>
          <w:szCs w:val="16"/>
          <w:color w:val="auto"/>
        </w:rPr>
        <w:t>”) and shall continue</w:t>
      </w:r>
    </w:p>
    <w:p>
      <w:pPr>
        <w:jc w:val="both"/>
        <w:spacing w:after="0" w:line="269" w:lineRule="auto"/>
        <w:rPr>
          <w:sz w:val="20"/>
          <w:szCs w:val="20"/>
          <w:color w:val="auto"/>
        </w:rPr>
      </w:pPr>
      <w:r>
        <w:rPr>
          <w:rFonts w:ascii="Arial" w:cs="Arial" w:eastAsia="Arial" w:hAnsi="Arial"/>
          <w:sz w:val="17"/>
          <w:szCs w:val="17"/>
          <w:color w:val="auto"/>
        </w:rPr>
        <w:t>for a three-year period thereafter (the “</w:t>
      </w:r>
      <w:r>
        <w:rPr>
          <w:rFonts w:ascii="Arial" w:cs="Arial" w:eastAsia="Arial" w:hAnsi="Arial"/>
          <w:sz w:val="17"/>
          <w:szCs w:val="17"/>
          <w:u w:val="single" w:color="auto"/>
          <w:color w:val="auto"/>
        </w:rPr>
        <w:t>Initial Term</w:t>
      </w:r>
      <w:r>
        <w:rPr>
          <w:rFonts w:ascii="Arial" w:cs="Arial" w:eastAsia="Arial" w:hAnsi="Arial"/>
          <w:sz w:val="17"/>
          <w:szCs w:val="17"/>
          <w:color w:val="auto"/>
        </w:rPr>
        <w:t>”), subject to earlier termination exclusively as provided for in Section 6 below, and subject to extension as provided in the following sentence. Following the Initial Term, provided Executive’s employment has not previously been terminated, Executive’s employment hereunder shall automatically be extended for successive three-year periods (each a “</w:t>
      </w:r>
      <w:r>
        <w:rPr>
          <w:rFonts w:ascii="Arial" w:cs="Arial" w:eastAsia="Arial" w:hAnsi="Arial"/>
          <w:sz w:val="17"/>
          <w:szCs w:val="17"/>
          <w:u w:val="single" w:color="auto"/>
          <w:color w:val="auto"/>
        </w:rPr>
        <w:t>Renewal Term</w:t>
      </w:r>
      <w:r>
        <w:rPr>
          <w:rFonts w:ascii="Arial" w:cs="Arial" w:eastAsia="Arial" w:hAnsi="Arial"/>
          <w:sz w:val="17"/>
          <w:szCs w:val="17"/>
          <w:color w:val="auto"/>
        </w:rPr>
        <w:t>”), subject to earlier termination exclusively as provided for in Section 6 below. For the purposes of this Agreement, the “</w:t>
      </w:r>
      <w:r>
        <w:rPr>
          <w:rFonts w:ascii="Arial" w:cs="Arial" w:eastAsia="Arial" w:hAnsi="Arial"/>
          <w:sz w:val="17"/>
          <w:szCs w:val="17"/>
          <w:u w:val="single" w:color="auto"/>
          <w:color w:val="auto"/>
        </w:rPr>
        <w:t>Term</w:t>
      </w:r>
      <w:r>
        <w:rPr>
          <w:rFonts w:ascii="Arial" w:cs="Arial" w:eastAsia="Arial" w:hAnsi="Arial"/>
          <w:sz w:val="17"/>
          <w:szCs w:val="17"/>
          <w:color w:val="auto"/>
        </w:rPr>
        <w:t>” at any given time shall mean the Initial Term as it may have been extended by one or more Renewal Terms as of such time (without regard to whether Executive’s employment is terminated prior to the end of such Term), and the “</w:t>
      </w:r>
      <w:r>
        <w:rPr>
          <w:rFonts w:ascii="Arial" w:cs="Arial" w:eastAsia="Arial" w:hAnsi="Arial"/>
          <w:sz w:val="17"/>
          <w:szCs w:val="17"/>
          <w:u w:val="single" w:color="auto"/>
          <w:color w:val="auto"/>
        </w:rPr>
        <w:t>Employment Period</w:t>
      </w:r>
      <w:r>
        <w:rPr>
          <w:rFonts w:ascii="Arial" w:cs="Arial" w:eastAsia="Arial" w:hAnsi="Arial"/>
          <w:sz w:val="17"/>
          <w:szCs w:val="17"/>
          <w:color w:val="auto"/>
        </w:rPr>
        <w:t>” means the period of Executive’s employment hereunder (regardless of whether such period ends prior to the end of the Term and regardless of the reason for Executive’s termination of employment hereunder).</w:t>
      </w:r>
    </w:p>
    <w:p>
      <w:pPr>
        <w:spacing w:after="0" w:line="178" w:lineRule="exact"/>
        <w:rPr>
          <w:sz w:val="20"/>
          <w:szCs w:val="20"/>
          <w:color w:val="auto"/>
        </w:rPr>
      </w:pPr>
    </w:p>
    <w:p>
      <w:pPr>
        <w:ind w:firstLine="656"/>
        <w:spacing w:after="0" w:line="277" w:lineRule="auto"/>
        <w:tabs>
          <w:tab w:leader="none" w:pos="85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Employment Period only (unless otherwise expressly provided for herein), Executive shall be entitled to the following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07124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8">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400"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30"/>
          <w:szCs w:val="30"/>
          <w:color w:val="auto"/>
          <w:vertAlign w:val="superscript"/>
        </w:rPr>
      </w:pPr>
      <w:r>
        <w:rPr>
          <w:rFonts w:ascii="Arial" w:cs="Arial" w:eastAsia="Arial" w:hAnsi="Arial"/>
          <w:sz w:val="18"/>
          <w:szCs w:val="18"/>
          <w:color w:val="auto"/>
        </w:rPr>
        <w:t>Closing date of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jc w:val="both"/>
        <w:ind w:firstLine="1296"/>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Salary</w:t>
      </w:r>
      <w:r>
        <w:rPr>
          <w:rFonts w:ascii="Arial" w:cs="Arial" w:eastAsia="Arial" w:hAnsi="Arial"/>
          <w:sz w:val="18"/>
          <w:szCs w:val="18"/>
          <w:color w:val="auto"/>
        </w:rPr>
        <w:t>. Executive shall receive a base salary (the “</w:t>
      </w:r>
      <w:r>
        <w:rPr>
          <w:rFonts w:ascii="Arial" w:cs="Arial" w:eastAsia="Arial" w:hAnsi="Arial"/>
          <w:sz w:val="18"/>
          <w:szCs w:val="18"/>
          <w:u w:val="single" w:color="auto"/>
          <w:color w:val="auto"/>
        </w:rPr>
        <w:t>Base Salary</w:t>
      </w:r>
      <w:r>
        <w:rPr>
          <w:rFonts w:ascii="Arial" w:cs="Arial" w:eastAsia="Arial" w:hAnsi="Arial"/>
          <w:sz w:val="18"/>
          <w:szCs w:val="18"/>
          <w:color w:val="auto"/>
        </w:rPr>
        <w:t>”) payable in substantially equal installments in accordance with the Company’s normal payroll practices and procedures in effect from time to time and subject to applicable withholdings and deductions. Executive’s starting Base Salary shall be at the annual rate of $300,000.</w:t>
      </w:r>
    </w:p>
    <w:p>
      <w:pPr>
        <w:spacing w:after="0" w:line="18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Discretionary Bonus</w:t>
      </w:r>
      <w:r>
        <w:rPr>
          <w:rFonts w:ascii="Arial" w:cs="Arial" w:eastAsia="Arial" w:hAnsi="Arial"/>
          <w:sz w:val="17"/>
          <w:szCs w:val="17"/>
          <w:color w:val="auto"/>
        </w:rPr>
        <w:t>. Executive shall be eligible to receive a discretionary performance-based bonus of up to $300,000 (a “</w:t>
      </w:r>
      <w:r>
        <w:rPr>
          <w:rFonts w:ascii="Arial" w:cs="Arial" w:eastAsia="Arial" w:hAnsi="Arial"/>
          <w:sz w:val="17"/>
          <w:szCs w:val="17"/>
          <w:u w:val="single" w:color="auto"/>
          <w:color w:val="auto"/>
        </w:rPr>
        <w:t>Discretionary Bonus</w:t>
      </w:r>
      <w:r>
        <w:rPr>
          <w:rFonts w:ascii="Arial" w:cs="Arial" w:eastAsia="Arial" w:hAnsi="Arial"/>
          <w:sz w:val="17"/>
          <w:szCs w:val="17"/>
          <w:color w:val="auto"/>
        </w:rPr>
        <w:t>”) with respect to each fiscal year of the Company (a “</w:t>
      </w:r>
      <w:r>
        <w:rPr>
          <w:rFonts w:ascii="Arial" w:cs="Arial" w:eastAsia="Arial" w:hAnsi="Arial"/>
          <w:sz w:val="17"/>
          <w:szCs w:val="17"/>
          <w:u w:val="single" w:color="auto"/>
          <w:color w:val="auto"/>
        </w:rPr>
        <w:t>Fiscal Year</w:t>
      </w:r>
      <w:r>
        <w:rPr>
          <w:rFonts w:ascii="Arial" w:cs="Arial" w:eastAsia="Arial" w:hAnsi="Arial"/>
          <w:sz w:val="17"/>
          <w:szCs w:val="17"/>
          <w:color w:val="auto"/>
        </w:rPr>
        <w:t>”) based on the terms and conditions hereof. Any Discretionary Bonus for the Fiscal Year in which the Commencement Date occurs (the “</w:t>
      </w:r>
      <w:r>
        <w:rPr>
          <w:rFonts w:ascii="Arial" w:cs="Arial" w:eastAsia="Arial" w:hAnsi="Arial"/>
          <w:sz w:val="17"/>
          <w:szCs w:val="17"/>
          <w:u w:val="single" w:color="auto"/>
          <w:color w:val="auto"/>
        </w:rPr>
        <w:t>First Fiscal Year</w:t>
      </w:r>
      <w:r>
        <w:rPr>
          <w:rFonts w:ascii="Arial" w:cs="Arial" w:eastAsia="Arial" w:hAnsi="Arial"/>
          <w:sz w:val="17"/>
          <w:szCs w:val="17"/>
          <w:color w:val="auto"/>
        </w:rPr>
        <w:t>”) will be prorated based on the number of days during the First Fiscal Year Executive was employed by the Company. A Discretionary Bonus, if any, will be determined and paid at the sole and complete discretion of the Company and may be based on a variety of factors, including, but not limited to, Executive’s individual performance and the overall performance of the Company. To be eligible for a Discretionary Bonus, Executive must be employed by the Company at the time such Bonus is paid.</w:t>
      </w:r>
    </w:p>
    <w:p>
      <w:pPr>
        <w:spacing w:after="0" w:line="17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Annual Compensation Review and Adjustment</w:t>
      </w:r>
      <w:r>
        <w:rPr>
          <w:rFonts w:ascii="Arial" w:cs="Arial" w:eastAsia="Arial" w:hAnsi="Arial"/>
          <w:sz w:val="18"/>
          <w:szCs w:val="18"/>
          <w:color w:val="auto"/>
        </w:rPr>
        <w:t>. The Company agrees that by February 1st of every calendar year, the Board and the Compensation Committee of the Board shall have reviewed and adjusted the compensation of Executive based on the results of a report of an independent compensation consultant to be engaged by the Board or the Compensation Committee of the Board, at the Company’s sole expense. The results of such report shall take into account a number of factors the consultant deems relevant, including but not limited to an analysis of at least three chief executive officers of other comparable publicly held companies of similar size, similar markets, and who perform their duties in the same geographical location that Executive performs his duties.</w:t>
      </w:r>
    </w:p>
    <w:p>
      <w:pPr>
        <w:spacing w:after="0" w:line="192"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Benefits</w:t>
      </w:r>
      <w:r>
        <w:rPr>
          <w:rFonts w:ascii="Arial" w:cs="Arial" w:eastAsia="Arial" w:hAnsi="Arial"/>
          <w:sz w:val="16"/>
          <w:szCs w:val="16"/>
          <w:color w:val="auto"/>
        </w:rPr>
        <w:t>. Executive shall have the right to receive or participate in all employee benefit programs and perquisites established from time to time by the Company on a basis that is no less favorable than such programs and perquisites are provided by the Company to the Company’s other senior executives, subject to the eligibility requirements and other terms of such programs and perquisites, and subject to the Company’s right to amend, terminate or take other action with respect to any such programs and perquisites. Notwithstanding the foregoing, the Board shall have the authority to provide benefits to the Executive in his capacity as Chief Executive Officer that may not be made available to other senior executives of the Company.</w:t>
      </w:r>
    </w:p>
    <w:p>
      <w:pPr>
        <w:spacing w:after="0" w:line="16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Vacation and Other Paid Time Off</w:t>
      </w:r>
      <w:r>
        <w:rPr>
          <w:rFonts w:ascii="Arial" w:cs="Arial" w:eastAsia="Arial" w:hAnsi="Arial"/>
          <w:sz w:val="18"/>
          <w:szCs w:val="18"/>
          <w:color w:val="auto"/>
        </w:rPr>
        <w:t>. Executive shall be entitled to four (4) weeks of paid vacation, as well as sick days and any other paid time off, each year in accordance with then current Company policy.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Required Taxes and Withholdings</w:t>
      </w:r>
      <w:r>
        <w:rPr>
          <w:rFonts w:ascii="Arial" w:cs="Arial" w:eastAsia="Arial" w:hAnsi="Arial"/>
          <w:sz w:val="18"/>
          <w:szCs w:val="18"/>
          <w:color w:val="auto"/>
        </w:rPr>
        <w:t>. The Company shall withhold from any payments made to Executive (including, without limitation, those made under this Agreement) all federal, state, local or other taxes and withholdings as shall be required pursuant to any law or governmental regulation or ruling.</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0" w:name="page211"/>
    <w:bookmarkEnd w:id="210"/>
    <w:p>
      <w:pPr>
        <w:jc w:val="both"/>
        <w:ind w:firstLine="656"/>
        <w:spacing w:after="0" w:line="284" w:lineRule="auto"/>
        <w:tabs>
          <w:tab w:leader="none" w:pos="855"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Exclusivity and Best Efforts</w:t>
      </w:r>
      <w:r>
        <w:rPr>
          <w:rFonts w:ascii="Arial" w:cs="Arial" w:eastAsia="Arial" w:hAnsi="Arial"/>
          <w:sz w:val="16"/>
          <w:szCs w:val="16"/>
          <w:color w:val="auto"/>
        </w:rPr>
        <w:t>. During the Employment Period, Executive shall (i) in all respects conform to and comply with the lawful directions and instructions given to Executive by the Company; (ii) subject to the proviso below, devote Executive’s entire business time, energy and skill to Executive’s services under this Agreement;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provided below in this Section 4; and</w:t>
      </w:r>
    </w:p>
    <w:p>
      <w:pPr>
        <w:spacing w:after="0" w:line="4" w:lineRule="exact"/>
        <w:rPr>
          <w:rFonts w:ascii="Arial" w:cs="Arial" w:eastAsia="Arial" w:hAnsi="Arial"/>
          <w:sz w:val="16"/>
          <w:szCs w:val="16"/>
          <w:color w:val="auto"/>
        </w:rPr>
      </w:pPr>
    </w:p>
    <w:p>
      <w:pPr>
        <w:jc w:val="both"/>
        <w:ind w:firstLine="8"/>
        <w:spacing w:after="0" w:line="290" w:lineRule="auto"/>
        <w:tabs>
          <w:tab w:leader="none" w:pos="313"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not engage in any activity that, directly or indirectly, impairs or conflicts with the performance of Executive’s obligations and duties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foregoing shall not prevent the Executive from managing Executive’s personal affairs and passive personal investments, serving on the board of directors (or comparable body) of any third-party corporate entity that is not providing Competing Services (as defined in Section 10.3(f) below) and Executive obtains prior Company consent (which consent will not be unreasonably withheld), and participating in charitable, civic, educational, professional or community affairs, so long as, in the aggregate, any such activities do not unreasonably interfere or conflict with the Executive’s duties hereunder or create a potential business or fiduciary conflict with the Company, as reasonably determined by the Company.</w:t>
      </w:r>
    </w:p>
    <w:p>
      <w:pPr>
        <w:spacing w:after="0" w:line="163" w:lineRule="exact"/>
        <w:rPr>
          <w:rFonts w:ascii="Arial" w:cs="Arial" w:eastAsia="Arial" w:hAnsi="Arial"/>
          <w:sz w:val="16"/>
          <w:szCs w:val="16"/>
          <w:color w:val="auto"/>
        </w:rPr>
      </w:pPr>
    </w:p>
    <w:p>
      <w:pPr>
        <w:jc w:val="both"/>
        <w:ind w:firstLine="656"/>
        <w:spacing w:after="0" w:line="257" w:lineRule="auto"/>
        <w:tabs>
          <w:tab w:leader="none" w:pos="828"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Reimbursement for Expenses</w:t>
      </w:r>
      <w:r>
        <w:rPr>
          <w:rFonts w:ascii="Arial" w:cs="Arial" w:eastAsia="Arial" w:hAnsi="Arial"/>
          <w:sz w:val="18"/>
          <w:szCs w:val="18"/>
          <w:color w:val="auto"/>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Arial" w:cs="Arial" w:eastAsia="Arial" w:hAnsi="Arial"/>
          <w:sz w:val="18"/>
          <w:szCs w:val="18"/>
          <w:u w:val="single" w:color="auto"/>
          <w:color w:val="auto"/>
        </w:rPr>
        <w:t>Reimbursement Policies</w:t>
      </w:r>
      <w:r>
        <w:rPr>
          <w:rFonts w:ascii="Arial" w:cs="Arial" w:eastAsia="Arial" w:hAnsi="Arial"/>
          <w:sz w:val="18"/>
          <w:szCs w:val="18"/>
          <w:color w:val="auto"/>
        </w:rPr>
        <w:t>”). Subject to the provisions of Section 18.2 below (Section 409A Compliance), the Company shall reimburse Executive for all such proper expenses upon presentation by Executive of itemized accounts of such expenditures in accordance with the terms of the Reimbursement Policies.</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Death</w:t>
      </w:r>
      <w:r>
        <w:rPr>
          <w:rFonts w:ascii="Arial" w:cs="Arial" w:eastAsia="Arial" w:hAnsi="Arial"/>
          <w:sz w:val="18"/>
          <w:szCs w:val="18"/>
          <w:color w:val="auto"/>
        </w:rPr>
        <w:t>. Executive’s employment shall immediately and automatically be terminated upon Executive’s death.</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Disability</w:t>
      </w:r>
      <w:r>
        <w:rPr>
          <w:rFonts w:ascii="Arial" w:cs="Arial" w:eastAsia="Arial" w:hAnsi="Arial"/>
          <w:sz w:val="17"/>
          <w:szCs w:val="17"/>
          <w:color w:val="auto"/>
        </w:rPr>
        <w:t>. The Company may, subject to applicable law, terminate Executive’s employment due to a Disability by providing written notice of such termination and its effective date to Executive. For purposes of this Agreement, “</w:t>
      </w:r>
      <w:r>
        <w:rPr>
          <w:rFonts w:ascii="Arial" w:cs="Arial" w:eastAsia="Arial" w:hAnsi="Arial"/>
          <w:sz w:val="17"/>
          <w:szCs w:val="17"/>
          <w:u w:val="single" w:color="auto"/>
          <w:color w:val="auto"/>
        </w:rPr>
        <w:t>Disability</w:t>
      </w:r>
      <w:r>
        <w:rPr>
          <w:rFonts w:ascii="Arial" w:cs="Arial" w:eastAsia="Arial" w:hAnsi="Arial"/>
          <w:sz w:val="17"/>
          <w:szCs w:val="17"/>
          <w:color w:val="auto"/>
        </w:rPr>
        <w:t>” means a “disability” that entitles Executive to benefits under the applicable Company long-term disability plan covering Executive and, in the absence of such a plan, that Executive shall have been unable, due to physical or mental incapacity, to substantially perform Executive’s duties and responsibilities hereunder for 180 days out of any 365 day period or for 120 consecutive days.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so as to comply with the provisions of the Americans with Disabilities Act (to the extent applicable) and any applicable state or local laws. Until such termination, Executive shall continue to receive his compensation and benefits hereunder, reduced by any benefits payable to him under any Company-provided disability insurance policy or plan applicable to him.</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1" w:name="page212"/>
    <w:bookmarkEnd w:id="211"/>
    <w:p>
      <w:pPr>
        <w:ind w:left="130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For Cause by the Company</w:t>
      </w:r>
      <w:r>
        <w:rPr>
          <w:rFonts w:ascii="Arial" w:cs="Arial" w:eastAsia="Arial" w:hAnsi="Arial"/>
          <w:sz w:val="18"/>
          <w:szCs w:val="18"/>
          <w:color w:val="auto"/>
        </w:rPr>
        <w:t>.</w:t>
      </w:r>
    </w:p>
    <w:p>
      <w:pPr>
        <w:spacing w:after="0" w:line="225" w:lineRule="exact"/>
        <w:rPr>
          <w:sz w:val="20"/>
          <w:szCs w:val="20"/>
          <w:color w:val="auto"/>
        </w:rPr>
      </w:pPr>
    </w:p>
    <w:p>
      <w:pPr>
        <w:jc w:val="both"/>
        <w:ind w:firstLine="1952"/>
        <w:spacing w:after="0" w:line="269" w:lineRule="auto"/>
        <w:tabs>
          <w:tab w:leader="none" w:pos="2188"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Company may terminate Executive’s employment for Cause, at any time, upon the unanimous agreement of the Board (excluding the Executive) and written notice reasonably describing the nature of such Cause. For purposes of this Agreement, the term “</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means (i) the willful and continual failure by Executive to perform in any material respect the duties or obligations of his employment with the Company or to carry out the reasonable and lawful directives of the Board (which directives are consistent with Executive's position);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failure remains uncured (if capable of being cured) for a period of sixty (60) days after written notice describing the same is given to Executive; (ii) Executive's indictment for any crime which constitutes a felony or indictment for any crime involving fraud, misappropriation or embezzlement (other than any such crime involving the Company or any of its affiliates); (iii) any act of fraud, misappropriation or embezzlement involving the Company or any of its affiliates; (iv) any breach by Executive of the provisions of his Confidentiality Agreement (as defined below) or a material breach or violation of this Agreement or any Company policy then in effect which remains uncured (if capable of being cured) for a period of sixty (60) days after written notice describing the same is given to Executive; or (v) any attempt by the Executive to improperly secure any personal profit in connection with the business of the Company or any of its affiliates. Notwithstanding anything contained herein to the contrary, in the event of Executive’s termination for Cause, Executive shall be entitled to a reasonable opportunity to be heard by the Board prior to the effective date of such termination.</w:t>
      </w:r>
    </w:p>
    <w:p>
      <w:pPr>
        <w:spacing w:after="0" w:line="179"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Resignation by Executive for Good Reason</w:t>
      </w:r>
      <w:r>
        <w:rPr>
          <w:rFonts w:ascii="Arial" w:cs="Arial" w:eastAsia="Arial" w:hAnsi="Arial"/>
          <w:sz w:val="17"/>
          <w:szCs w:val="17"/>
          <w:color w:val="auto"/>
        </w:rPr>
        <w:t>. Executive may resign Executive’s employment hereunder for Good Reason, at any time, provided that Executive provides the Company with ten (10) days’ prior written notice of such resignation and such notice is given within thirty (30) days of when Good Reason first arises. For the purpose of this Agreement, "</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means (i) a material and substantial diminution in Executive’s duties, authority, or responsibilities that would be inconsistent with Executive’s position (other than while Executive is temporarily physically or mentally incapacitated, as permitted under Section 6.2 above or as required by applicable law), (ii) a material failure by the Company to pay Executive’s compensation as provided for herein, other than an isolated, insubstantial and inadvertent failure not occurring in bad faith; (iii) a change in the location of Executive’s principal place of performance from other than that specified in Section 1 above; (iv) the failure by the Company to conduct an annual compensation review and adjustment in accordance with Section 3.3 above; or (v) other material breach by the Company of a material provision of this Agreement or any other agreement between the Company and Executive;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(x) Executive has provided the Company with written notice reasonably detailing the grounds giving rise to Good Reason within thirty (30) days of the occurrence thereof or, if later, within thirty (30) days of the date upon which Executive first becomes aware of such grounds, and (y) the Company fails to cure such grounds within thirty (30) days after delivery to it of such written notice. Executive’s date of termination in the event Executive resigns his employment for Good Reason shall be the effective date of Executive’s notice of resignation for Good Reason, except that Company may waive all or any part of the above-referenced 10-day notice period or of the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his resignation for Good Reason. For the avoidance of doubt, Executive’s exclusive remedy against the Company in the event the Company materially breaches this Agreement is to invoke the provisions of this Section 6.4 and Section 7 below.</w:t>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2" w:name="page213"/>
    <w:bookmarkEnd w:id="212"/>
    <w:p>
      <w:pPr>
        <w:jc w:val="both"/>
        <w:ind w:firstLine="1296"/>
        <w:spacing w:after="0" w:line="275"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Without Cause or Without Good Reason</w:t>
      </w:r>
      <w:r>
        <w:rPr>
          <w:rFonts w:ascii="Arial" w:cs="Arial" w:eastAsia="Arial" w:hAnsi="Arial"/>
          <w:sz w:val="17"/>
          <w:szCs w:val="17"/>
          <w:color w:val="auto"/>
        </w:rPr>
        <w:t>. The Company may terminate Executive’s employment, without Cause, at any time, with or without prior notice, in its sole and complete discretion, by providing written notice of such termination and its effective date to Executive. Likewise, Executive may terminate Executive’s employment without Good Reason upon at least thirty (30) days prior written notice to the Company without any liability. Termination of Executive’s employment without Cause by the Company or without Good Reason by Executive shall not include termination of Executive’s employment due to Executive’s death or Disability or upon expiration of the Term as provided for in Section 2.1 above.</w:t>
      </w:r>
    </w:p>
    <w:p>
      <w:pPr>
        <w:spacing w:after="0" w:line="17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Resignation from Other Positions</w:t>
      </w:r>
      <w:r>
        <w:rPr>
          <w:rFonts w:ascii="Arial" w:cs="Arial" w:eastAsia="Arial" w:hAnsi="Arial"/>
          <w:sz w:val="16"/>
          <w:szCs w:val="16"/>
          <w:color w:val="auto"/>
        </w:rPr>
        <w:t>. Upon termination of Executive’s employment for any reason, Executive shall, upon request of the Company, immediately be deemed to have resigned from all boards, offices and appointments held by Executive in or on behalf of the Company. In furtherance hereof, upon Executive’s termination of employment, Executive, at the direction of the Board,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w:t>
      </w:r>
    </w:p>
    <w:p>
      <w:pPr>
        <w:spacing w:after="0" w:line="161" w:lineRule="exact"/>
        <w:rPr>
          <w:sz w:val="20"/>
          <w:szCs w:val="20"/>
          <w:color w:val="auto"/>
        </w:rPr>
      </w:pPr>
    </w:p>
    <w:p>
      <w:pPr>
        <w:ind w:left="840" w:hanging="184"/>
        <w:spacing w:after="0"/>
        <w:tabs>
          <w:tab w:leader="none" w:pos="8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Generally</w:t>
      </w:r>
      <w:r>
        <w:rPr>
          <w:rFonts w:ascii="Arial" w:cs="Arial" w:eastAsia="Arial" w:hAnsi="Arial"/>
          <w:sz w:val="17"/>
          <w:szCs w:val="17"/>
          <w:color w:val="auto"/>
        </w:rPr>
        <w:t>. In the event Executive’s employment with the Company terminates, Executive shall have no right to receive any compensation, benefits or any other payments or remuneration of any kind from the Company, except as otherwise provided by this Section 7, in Section 13 below, in any separate written agreement between Executive and the Company or as may be required by law. In the event Executive’s employment with the Company is terminated for any reason, Executive shall receive the following (collectively, the “</w:t>
      </w:r>
      <w:r>
        <w:rPr>
          <w:rFonts w:ascii="Arial" w:cs="Arial" w:eastAsia="Arial" w:hAnsi="Arial"/>
          <w:sz w:val="17"/>
          <w:szCs w:val="17"/>
          <w:u w:val="single" w:color="auto"/>
          <w:color w:val="auto"/>
        </w:rPr>
        <w:t>Accrued Obligations</w:t>
      </w:r>
      <w:r>
        <w:rPr>
          <w:rFonts w:ascii="Arial" w:cs="Arial" w:eastAsia="Arial" w:hAnsi="Arial"/>
          <w:sz w:val="17"/>
          <w:szCs w:val="17"/>
          <w:color w:val="auto"/>
        </w:rPr>
        <w:t>”): (i) Executive’s Base Salary through and including the effective date of Executive’s termination of employment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which shall be paid on the first regularly scheduled payroll date of the Company following the Termination Date or on or before any earlier date as required by applicable law; (ii) payment for accrued unused vacation time, subject to the Company’s then current vacation policy, which shall also be paid on the first regularly scheduled payroll date of the Company following the Termination Date or on or before any earlier date as required by applicable law; (iii) payment of any vested benefit due and owing under any employee benefit plan, policy or program pursuant to the terms of such plan, policy or program; and (iv) payment for unreimbursed business expenses subject to, and in accordance with, the terms of Section 5 above, which payment shall be made within 30 days after Executive submits the applicable supporting documentation to the Company, and in any event no later than on or before the last day of Executive’s taxable year following the year in which the expense was incurred.</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3" w:name="page214"/>
    <w:bookmarkEnd w:id="213"/>
    <w:p>
      <w:pPr>
        <w:jc w:val="both"/>
        <w:ind w:firstLine="1296"/>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Severance Benefits</w:t>
      </w:r>
      <w:r>
        <w:rPr>
          <w:rFonts w:ascii="Arial" w:cs="Arial" w:eastAsia="Arial" w:hAnsi="Arial"/>
          <w:sz w:val="18"/>
          <w:szCs w:val="18"/>
          <w:color w:val="auto"/>
        </w:rPr>
        <w:t>. In the event that Executive’s employment is terminated (i) by the Company pursuant to Section 6.5 above (without Cause), (ii) by Executive pursuant to Section 6.4 hereof (Good Reason), or (iii) by the Company without Cause, or by Executive for Good Reason, upon the occurrence of, or within thirty (30) days prior to, or within six (6) months following, the effective date of a Change of Control (as defined in Section 10.3(f) below), in addition to the Accrued Obligations, Executive shall be entitled to receive severance benefits (the “</w:t>
      </w:r>
      <w:r>
        <w:rPr>
          <w:rFonts w:ascii="Arial" w:cs="Arial" w:eastAsia="Arial" w:hAnsi="Arial"/>
          <w:sz w:val="18"/>
          <w:szCs w:val="18"/>
          <w:u w:val="single" w:color="auto"/>
          <w:color w:val="auto"/>
        </w:rPr>
        <w:t>Severance Benefits</w:t>
      </w:r>
      <w:r>
        <w:rPr>
          <w:rFonts w:ascii="Arial" w:cs="Arial" w:eastAsia="Arial" w:hAnsi="Arial"/>
          <w:sz w:val="18"/>
          <w:szCs w:val="18"/>
          <w:color w:val="auto"/>
        </w:rPr>
        <w:t>”), subject to and in accordance with the terms of this Section 7.2.</w:t>
      </w:r>
    </w:p>
    <w:p>
      <w:pPr>
        <w:spacing w:after="0" w:line="188" w:lineRule="exact"/>
        <w:rPr>
          <w:sz w:val="20"/>
          <w:szCs w:val="20"/>
          <w:color w:val="auto"/>
        </w:rPr>
      </w:pPr>
    </w:p>
    <w:p>
      <w:pPr>
        <w:ind w:left="2200" w:hanging="248"/>
        <w:spacing w:after="0"/>
        <w:tabs>
          <w:tab w:leader="none" w:pos="220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The Severance Benefits shall consist of the payments and benefits provided by this Section 7.2(a).</w:t>
      </w:r>
    </w:p>
    <w:p>
      <w:pPr>
        <w:spacing w:after="0" w:line="225" w:lineRule="exact"/>
        <w:rPr>
          <w:rFonts w:ascii="Arial" w:cs="Arial" w:eastAsia="Arial" w:hAnsi="Arial"/>
          <w:sz w:val="18"/>
          <w:szCs w:val="18"/>
          <w:color w:val="auto"/>
        </w:rPr>
      </w:pPr>
    </w:p>
    <w:p>
      <w:pPr>
        <w:jc w:val="both"/>
        <w:ind w:firstLine="2600"/>
        <w:spacing w:after="0" w:line="269" w:lineRule="auto"/>
        <w:tabs>
          <w:tab w:leader="none" w:pos="2834" w:val="left"/>
        </w:tabs>
        <w:numPr>
          <w:ilvl w:val="1"/>
          <w:numId w:val="95"/>
        </w:numPr>
        <w:rPr>
          <w:rFonts w:ascii="Arial" w:cs="Arial" w:eastAsia="Arial" w:hAnsi="Arial"/>
          <w:sz w:val="17"/>
          <w:szCs w:val="17"/>
          <w:color w:val="auto"/>
        </w:rPr>
      </w:pPr>
      <w:r>
        <w:rPr>
          <w:rFonts w:ascii="Arial" w:cs="Arial" w:eastAsia="Arial" w:hAnsi="Arial"/>
          <w:sz w:val="17"/>
          <w:szCs w:val="17"/>
          <w:color w:val="auto"/>
        </w:rPr>
        <w:t>Executive shall receive payment of an amount (the “</w:t>
      </w:r>
      <w:r>
        <w:rPr>
          <w:rFonts w:ascii="Arial" w:cs="Arial" w:eastAsia="Arial" w:hAnsi="Arial"/>
          <w:sz w:val="17"/>
          <w:szCs w:val="17"/>
          <w:u w:val="single" w:color="auto"/>
          <w:color w:val="auto"/>
        </w:rPr>
        <w:t>Severance Pay</w:t>
      </w:r>
      <w:r>
        <w:rPr>
          <w:rFonts w:ascii="Arial" w:cs="Arial" w:eastAsia="Arial" w:hAnsi="Arial"/>
          <w:sz w:val="17"/>
          <w:szCs w:val="17"/>
          <w:color w:val="auto"/>
        </w:rPr>
        <w:t>”) equal to the greater of (A) three hundred percent (300%) of Executive’s Base Salary immediately prior to the Termination Date (or, if Good Reason was attributable to the Company’s failure to pay the minimum amount of Base Salary provided herein, such minimum amount) and (B) $1,000,000, payable from the day after the Termination Date through the last day of the Term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xml:space="preserve">”). In addition, if the Company terminates Executive’s employment without Cause, or if Executive resigns for Good Reason, upon the occurrence of, or within thirty (30) days prior to, or within six (6) months following, the effective date of a Change of Control, all issued but unvested options shall immediately vest.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7.2(b) below), </w:t>
      </w:r>
      <w:r>
        <w:rPr>
          <w:rFonts w:ascii="Arial" w:cs="Arial" w:eastAsia="Arial" w:hAnsi="Arial"/>
          <w:sz w:val="17"/>
          <w:szCs w:val="17"/>
          <w:i w:val="1"/>
          <w:iCs w:val="1"/>
          <w:color w:val="auto"/>
        </w:rPr>
        <w:t>except</w:t>
      </w:r>
      <w:r>
        <w:rPr>
          <w:rFonts w:ascii="Arial" w:cs="Arial" w:eastAsia="Arial" w:hAnsi="Arial"/>
          <w:sz w:val="17"/>
          <w:szCs w:val="17"/>
          <w:color w:val="auto"/>
        </w:rPr>
        <w:t xml:space="preserve"> that, if the Separation Agreement may be executed and/or revoked in a calendar year following the calendar year in which the Termination Date occurs, the Severance Pay shall commence on the first regularly scheduled payroll date of the Company in the calendar year in which the consideration or, if applicable, release revocation period ends to the extent necessary to comply with Section 409A (as defined in Section 18.2 below). The first such payment shall include payment for any payroll dates between the Termination Date and the date of such payment.</w:t>
      </w:r>
    </w:p>
    <w:p>
      <w:pPr>
        <w:spacing w:after="0" w:line="178" w:lineRule="exact"/>
        <w:rPr>
          <w:rFonts w:ascii="Arial" w:cs="Arial" w:eastAsia="Arial" w:hAnsi="Arial"/>
          <w:sz w:val="17"/>
          <w:szCs w:val="17"/>
          <w:color w:val="auto"/>
        </w:rPr>
      </w:pPr>
    </w:p>
    <w:p>
      <w:pPr>
        <w:jc w:val="both"/>
        <w:ind w:firstLine="2600"/>
        <w:spacing w:after="0" w:line="270" w:lineRule="auto"/>
        <w:tabs>
          <w:tab w:leader="none" w:pos="2878"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During the Severance Period until such time, if any, as Executive is eligible for group health insurance benefits from another employer, Executive shall be eligible to continue to participate in the Company’s group health insurance benefits on the same terms and conditions as then applicable to current employees, </w:t>
      </w:r>
      <w:r>
        <w:rPr>
          <w:rFonts w:ascii="Arial" w:cs="Arial" w:eastAsia="Arial" w:hAnsi="Arial"/>
          <w:sz w:val="17"/>
          <w:szCs w:val="17"/>
          <w:i w:val="1"/>
          <w:iCs w:val="1"/>
          <w:color w:val="auto"/>
        </w:rPr>
        <w:t>except</w:t>
      </w:r>
      <w:r>
        <w:rPr>
          <w:rFonts w:ascii="Arial" w:cs="Arial" w:eastAsia="Arial" w:hAnsi="Arial"/>
          <w:sz w:val="17"/>
          <w:szCs w:val="17"/>
          <w:color w:val="auto"/>
        </w:rPr>
        <w:t xml:space="preserve"> that, if Executive is not permitted to continue to participate in any such health insurance plans for any portion of the Severance Period as a result of the terms of such plans or applicable law and Executive elects to continue his or his dependents’ health insurance benefits pursuant to COBRA, the Company will pay or reimburse Executive for the portion of the COBRA premium that is equal to the insurance premium the Company would pay if Executive was then an active employee of the Company. Following the Severance Period, should Executive elect to continue his or his dependents’ health insurance benefits, Executive shall be responsible for the entire cost thereof. If the Company is unable to provide the benefit provided above in this paragraph without violating applicable health care discrimination laws, the Company shall pay Executive a gross amount equal to what the Company’s cost would have been to provide such benefit.</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4" w:name="page215"/>
    <w:bookmarkEnd w:id="214"/>
    <w:p>
      <w:pPr>
        <w:jc w:val="both"/>
        <w:ind w:firstLine="2600"/>
        <w:spacing w:after="0" w:line="263" w:lineRule="auto"/>
        <w:tabs>
          <w:tab w:leader="none" w:pos="2937" w:val="left"/>
        </w:tabs>
        <w:numPr>
          <w:ilvl w:val="3"/>
          <w:numId w:val="96"/>
        </w:numPr>
        <w:rPr>
          <w:rFonts w:ascii="Arial" w:cs="Arial" w:eastAsia="Arial" w:hAnsi="Arial"/>
          <w:sz w:val="18"/>
          <w:szCs w:val="18"/>
          <w:color w:val="auto"/>
        </w:rPr>
      </w:pPr>
      <w:r>
        <w:rPr>
          <w:rFonts w:ascii="Arial" w:cs="Arial" w:eastAsia="Arial" w:hAnsi="Arial"/>
          <w:sz w:val="18"/>
          <w:szCs w:val="18"/>
          <w:color w:val="auto"/>
        </w:rPr>
        <w:t>Notwithstanding the foregoing, the aggregate amount described in this Section 7.2(a) shall be reduced by the present value of any other cash severance or termination benefits payable to Executive under any other plans, programs or arrangement of the Company, subject to compliance with Section 409A.</w:t>
      </w:r>
    </w:p>
    <w:p>
      <w:pPr>
        <w:spacing w:after="0" w:line="183" w:lineRule="exact"/>
        <w:rPr>
          <w:rFonts w:ascii="Arial" w:cs="Arial" w:eastAsia="Arial" w:hAnsi="Arial"/>
          <w:sz w:val="18"/>
          <w:szCs w:val="18"/>
          <w:color w:val="auto"/>
        </w:rPr>
      </w:pPr>
    </w:p>
    <w:p>
      <w:pPr>
        <w:ind w:firstLine="2600"/>
        <w:spacing w:after="0" w:line="277" w:lineRule="auto"/>
        <w:tabs>
          <w:tab w:leader="none" w:pos="2923" w:val="left"/>
        </w:tabs>
        <w:numPr>
          <w:ilvl w:val="3"/>
          <w:numId w:val="96"/>
        </w:numPr>
        <w:rPr>
          <w:rFonts w:ascii="Arial" w:cs="Arial" w:eastAsia="Arial" w:hAnsi="Arial"/>
          <w:sz w:val="18"/>
          <w:szCs w:val="18"/>
          <w:color w:val="auto"/>
        </w:rPr>
      </w:pPr>
      <w:r>
        <w:rPr>
          <w:rFonts w:ascii="Arial" w:cs="Arial" w:eastAsia="Arial" w:hAnsi="Arial"/>
          <w:sz w:val="18"/>
          <w:szCs w:val="18"/>
          <w:color w:val="auto"/>
        </w:rPr>
        <w:t>For the avoidance of doubt, Executive’s sole and exclusive remedy upon a termination for which Executive is eligible for Severance Benefits under this Section 7.2 shall be the receipt of the Severance Benefits.</w:t>
      </w:r>
    </w:p>
    <w:p>
      <w:pPr>
        <w:spacing w:after="0" w:line="170" w:lineRule="exact"/>
        <w:rPr>
          <w:rFonts w:ascii="Arial" w:cs="Arial" w:eastAsia="Arial" w:hAnsi="Arial"/>
          <w:sz w:val="18"/>
          <w:szCs w:val="18"/>
          <w:color w:val="auto"/>
        </w:rPr>
      </w:pPr>
    </w:p>
    <w:p>
      <w:pPr>
        <w:ind w:left="2200" w:hanging="248"/>
        <w:spacing w:after="0"/>
        <w:tabs>
          <w:tab w:leader="none" w:pos="2200" w:val="left"/>
        </w:tabs>
        <w:numPr>
          <w:ilvl w:val="2"/>
          <w:numId w:val="97"/>
        </w:numPr>
        <w:rPr>
          <w:rFonts w:ascii="Arial" w:cs="Arial" w:eastAsia="Arial" w:hAnsi="Arial"/>
          <w:sz w:val="16"/>
          <w:szCs w:val="16"/>
          <w:color w:val="auto"/>
        </w:rPr>
      </w:pPr>
      <w:r>
        <w:rPr>
          <w:rFonts w:ascii="Arial" w:cs="Arial" w:eastAsia="Arial" w:hAnsi="Arial"/>
          <w:sz w:val="16"/>
          <w:szCs w:val="16"/>
          <w:u w:val="single" w:color="auto"/>
          <w:color w:val="auto"/>
        </w:rPr>
        <w:t>Separation Agreement and Other Conditions for Severance Benefits</w:t>
      </w:r>
      <w:r>
        <w:rPr>
          <w:rFonts w:ascii="Arial" w:cs="Arial" w:eastAsia="Arial" w:hAnsi="Arial"/>
          <w:sz w:val="16"/>
          <w:szCs w:val="16"/>
          <w:color w:val="auto"/>
        </w:rPr>
        <w:t>. Provision of the Severance Benefits is conditioned on</w:t>
      </w:r>
    </w:p>
    <w:p>
      <w:pPr>
        <w:spacing w:after="0" w:line="46" w:lineRule="exact"/>
        <w:rPr>
          <w:rFonts w:ascii="Arial" w:cs="Arial" w:eastAsia="Arial" w:hAnsi="Arial"/>
          <w:sz w:val="16"/>
          <w:szCs w:val="16"/>
          <w:color w:val="auto"/>
        </w:rPr>
      </w:pPr>
    </w:p>
    <w:p>
      <w:pPr>
        <w:jc w:val="both"/>
        <w:ind w:firstLine="8"/>
        <w:spacing w:after="0" w:line="271" w:lineRule="auto"/>
        <w:tabs>
          <w:tab w:leader="none" w:pos="233" w:val="left"/>
        </w:tabs>
        <w:numPr>
          <w:ilvl w:val="0"/>
          <w:numId w:val="98"/>
        </w:numPr>
        <w:rPr>
          <w:rFonts w:ascii="Arial" w:cs="Arial" w:eastAsia="Arial" w:hAnsi="Arial"/>
          <w:sz w:val="17"/>
          <w:szCs w:val="17"/>
          <w:color w:val="auto"/>
        </w:rPr>
      </w:pPr>
      <w:r>
        <w:rPr>
          <w:rFonts w:ascii="Arial" w:cs="Arial" w:eastAsia="Arial" w:hAnsi="Arial"/>
          <w:sz w:val="17"/>
          <w:szCs w:val="17"/>
          <w:color w:val="auto"/>
        </w:rPr>
        <w:t>Executive’s continued compliance in all material respects with Executive’s continuing obligations to the Company, including, without limitation, the terms of this Agreement and of the Confidentiality Agreement (defined in Section 9 below) that survive termination of Executive’s employment with the Company, and (ii) Executive signing (without revoking if such right is provided under applicable law) a separation agreement and release in a form of that provided to Executive by the Company on or about the Termination Date (the “</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Executive must so execute the Separation Agreement within 60 days following the Termination Date (or such shorter time as may be set forth in the Separation Agreement).</w:t>
      </w:r>
    </w:p>
    <w:p>
      <w:pPr>
        <w:spacing w:after="0" w:line="178" w:lineRule="exact"/>
        <w:rPr>
          <w:rFonts w:ascii="Arial" w:cs="Arial" w:eastAsia="Arial" w:hAnsi="Arial"/>
          <w:sz w:val="17"/>
          <w:szCs w:val="17"/>
          <w:color w:val="auto"/>
        </w:rPr>
      </w:pPr>
    </w:p>
    <w:p>
      <w:pPr>
        <w:jc w:val="both"/>
        <w:ind w:firstLine="656"/>
        <w:spacing w:after="0" w:line="269" w:lineRule="auto"/>
        <w:tabs>
          <w:tab w:leader="none" w:pos="828"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In the event Executive elects to terminate Executive’s employment hereunder by resigning with or without Good Reason under Sections 6.4 or 6.5 above or by giving notice of non-renewal under Section 6.5 above, Executive shall provide the Company with the applicable prior written notice of termination required by such Sections (the “</w:t>
      </w:r>
      <w:r>
        <w:rPr>
          <w:rFonts w:ascii="Arial" w:cs="Arial" w:eastAsia="Arial" w:hAnsi="Arial"/>
          <w:sz w:val="17"/>
          <w:szCs w:val="17"/>
          <w:u w:val="single" w:color="auto"/>
          <w:color w:val="auto"/>
        </w:rPr>
        <w:t>Notice Period</w:t>
      </w:r>
      <w:r>
        <w:rPr>
          <w:rFonts w:ascii="Arial" w:cs="Arial" w:eastAsia="Arial" w:hAnsi="Arial"/>
          <w:sz w:val="17"/>
          <w:szCs w:val="17"/>
          <w:color w:val="auto"/>
        </w:rPr>
        <w:t>”). The Company may, in its discretion, waive all or any portion of such Notice Period. The Company may require that, during the Notice Period, or part or parts thereof, Executive does not do any of the following: (i) enter the Company’s premises; (ii) undertake any work for any third party whether paid or unpaid and whether as an employee or otherwise; (iii) have any contact or communication with any client, customer or supplier of the Company; or (iv) have any contact or communication with any employee, officer, director, agent or consult of the Company. Additionally, during the Notice Period, or any part or parts thereof, the Company may require Executive to do any of the following: (i) perform special projects or perform duties not within Executive’s normal duties (provided such duties are commensurate with Executive’s position and title) or perform some but not all of Executive’s normal duties; and (ii) keep the Company informed of Executive’s whereabouts so that Executive can be contacted if the need arises for Executive to perform any duties provided by clause (i) of this sentence. The Company retains the right to terminate Executive’s employment under Section 6.3 above during the Notice Period.</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5" w:name="page216"/>
    <w:bookmarkEnd w:id="215"/>
    <w:p>
      <w:pPr>
        <w:jc w:val="both"/>
        <w:ind w:firstLine="656"/>
        <w:spacing w:after="0" w:line="273" w:lineRule="auto"/>
        <w:tabs>
          <w:tab w:leader="none" w:pos="841"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Confidentiality, Restrictive Covenant, Intellectual Property, Return of Company Property and Non-Disparagement</w:t>
      </w:r>
      <w:r>
        <w:rPr>
          <w:rFonts w:ascii="Arial" w:cs="Arial" w:eastAsia="Arial" w:hAnsi="Arial"/>
          <w:sz w:val="17"/>
          <w:szCs w:val="17"/>
          <w:color w:val="auto"/>
        </w:rPr>
        <w:t>. Company and Executive have entered into the Company’s current standard Invention Assignment, Restrictive Covenants, and Confidentiality Agreement (the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a copy of which is annexed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The terms of the Confidentiality Agreement are hereby incorporated by reference into this Agreement, except that, to the extent there is an irreconcilable conflict between the terms of this Agreement and those of the Confidentiality Agreement, the terms of this Agreement shall govern. Executive’s execution and compliance with the terms of the Confidentiality Agreement is a material term of this Agreement, upon which Executive’s employment and continued employment with the Company is conditioned.</w:t>
      </w:r>
    </w:p>
    <w:p>
      <w:pPr>
        <w:spacing w:after="0" w:line="177" w:lineRule="exact"/>
        <w:rPr>
          <w:rFonts w:ascii="Arial" w:cs="Arial" w:eastAsia="Arial" w:hAnsi="Arial"/>
          <w:sz w:val="17"/>
          <w:szCs w:val="17"/>
          <w:color w:val="auto"/>
        </w:rPr>
      </w:pPr>
    </w:p>
    <w:p>
      <w:pPr>
        <w:ind w:left="920" w:hanging="264"/>
        <w:spacing w:after="0"/>
        <w:tabs>
          <w:tab w:leader="none" w:pos="9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Confidentiality, Non-Solicitation and Non-Competition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Representations and Acknowledgements</w:t>
      </w:r>
      <w:r>
        <w:rPr>
          <w:rFonts w:ascii="Arial" w:cs="Arial" w:eastAsia="Arial" w:hAnsi="Arial"/>
          <w:sz w:val="17"/>
          <w:szCs w:val="17"/>
          <w:color w:val="auto"/>
        </w:rPr>
        <w:t>. For purposes of Sections 10-13 and 15 hereof, the term “Company” shall refer to not only the Company, but also, jointly and severally, any entity, directly or indirectly, through one or more intermediaries, controlled by, in control of, or under common control with, the Company (collectively, “</w:t>
      </w:r>
      <w:r>
        <w:rPr>
          <w:rFonts w:ascii="Arial" w:cs="Arial" w:eastAsia="Arial" w:hAnsi="Arial"/>
          <w:sz w:val="17"/>
          <w:szCs w:val="17"/>
          <w:u w:val="single" w:color="auto"/>
          <w:color w:val="auto"/>
        </w:rPr>
        <w:t>Company Affiliates</w:t>
      </w:r>
      <w:r>
        <w:rPr>
          <w:rFonts w:ascii="Arial" w:cs="Arial" w:eastAsia="Arial" w:hAnsi="Arial"/>
          <w:sz w:val="17"/>
          <w:szCs w:val="17"/>
          <w:color w:val="auto"/>
        </w:rPr>
        <w:t>”). Executive acknowledges and agrees that: (i) among the most valuable and indispensable assets of the Company are its Confidential Information (defined below) and close relationships with its Customers (defined below) and Suppliers (defined below, which includes, without limitation, employees), which the Company has devoted and continues to devote a substantial amount of time, money and other resources to develop; (ii) in connection with Executive’s employment with the Company, Executive will be exposed to and acquire the Company’s Confidential Information and develop, at the Company’s expense and support, special and close relationships with the Company’s Customers and Suppliers; (iii) the Company’s Confidential Information and close Customer and Supplier relationships must be protected; (iv) this Section 10 is a material provision of this Agreement and the Company would not engage Executive hereunder but for the promises and acknowledgements that Executive makes in this Section 10; (v) to the extent required by law, the covenants in this Agreement contain reasonable limitations as to time, geographical area and scope of activities to be restricted and that such covenants do not impose a greater restraint on Executive than is necessary to protect the Company’s Confidential Information, close Customer and Supplier relationships and other legitimate business interests; (vi) Executive’s compliance with such covenants will not inhibit Executive from earning a living or from working in Executive’s chosen profession; and (vii) any breach of such covenants will result in the Company being placed at an unfair competitive disadvantage and cause the Company serious and irreparable harm to its business.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1952"/>
        <w:spacing w:after="0" w:line="269" w:lineRule="auto"/>
        <w:tabs>
          <w:tab w:leader="none" w:pos="2188"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Protection of Confidential Information</w:t>
      </w:r>
      <w:r>
        <w:rPr>
          <w:rFonts w:ascii="Arial" w:cs="Arial" w:eastAsia="Arial" w:hAnsi="Arial"/>
          <w:sz w:val="17"/>
          <w:szCs w:val="17"/>
          <w:color w:val="auto"/>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10.2(b) below) of the Company. If it is necessary for Executive to use or disclose Confidential Information so as to comply with any law, rule, regulations,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10.2, and of which Executive has notice or is aware, Executive shall adhere to the provisions of such other confidentiality agreement, in addition to those of this Section 10.2. Executive shall exercise reasonable care to protect all Confidential Information. Executive will immediately give notice to the Company of any unauthorized use or disclosure of Confidential Information. Executive hereby represents and warrants that it shall assist the Company in remedying any such unauthorized use or disclosure of Confidential Information.</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6" w:name="page217"/>
    <w:bookmarkEnd w:id="216"/>
    <w:p>
      <w:pPr>
        <w:jc w:val="both"/>
        <w:ind w:firstLine="1952"/>
        <w:spacing w:after="0" w:line="268" w:lineRule="auto"/>
        <w:tabs>
          <w:tab w:leader="none" w:pos="2212"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Defined</w:t>
      </w:r>
      <w:r>
        <w:rPr>
          <w:rFonts w:ascii="Arial" w:cs="Arial" w:eastAsia="Arial" w:hAnsi="Arial"/>
          <w:sz w:val="17"/>
          <w:szCs w:val="17"/>
          <w:color w:val="auto"/>
        </w:rPr>
        <w:t>. For purposes of this Agreement,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information of a 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customer lists, customer requirements and specifications, designs, financial data, sales figures, costs and pricing figures, marketing and other business plans, product development, marketing concepts, personnel matters (including employee skills and compensation), drawings, specifications, instructions, methods, processes, techniques, computer software or data of any sort developed or compiled by the Company, formulae or any other information relating to the Company’s services, products, sales, technology, research data, software and all other know-how, trade secrets or proprietary information, or any copies, elaborations, modifications and adaptations thereof. For the avoidance of doubt, Executive acknowledges and agrees that Confidential Information protected under this Agreement includes information regarding pay, bonuses, benefits and perquisites offered to or received by employees of the Company, as well as non-public information regarding the unique and special skills of specific employees and how such skills are valuable and integral to the Company’s operations.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obligation to render services on behalf of the Company.</w:t>
      </w:r>
    </w:p>
    <w:p>
      <w:pPr>
        <w:spacing w:after="0" w:line="179" w:lineRule="exact"/>
        <w:rPr>
          <w:rFonts w:ascii="Arial" w:cs="Arial" w:eastAsia="Arial" w:hAnsi="Arial"/>
          <w:sz w:val="17"/>
          <w:szCs w:val="17"/>
          <w:color w:val="auto"/>
        </w:rPr>
      </w:pPr>
    </w:p>
    <w:p>
      <w:pPr>
        <w:jc w:val="both"/>
        <w:ind w:firstLine="1952"/>
        <w:spacing w:after="0" w:line="257" w:lineRule="auto"/>
        <w:tabs>
          <w:tab w:leader="none" w:pos="218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Immunity for Certain Limited Disclosures</w:t>
      </w:r>
      <w:r>
        <w:rPr>
          <w:rFonts w:ascii="Arial" w:cs="Arial" w:eastAsia="Arial" w:hAnsi="Arial"/>
          <w:sz w:val="18"/>
          <w:szCs w:val="18"/>
          <w:color w:val="auto"/>
        </w:rPr>
        <w:t>. Executive acknowledges that Executive has been notified in accordance with the federal Uniform Trade Secrets Act (18 U.S. Code § 1833(b)(1))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7" w:lineRule="exact"/>
        <w:rPr>
          <w:rFonts w:ascii="Arial" w:cs="Arial" w:eastAsia="Arial" w:hAnsi="Arial"/>
          <w:sz w:val="18"/>
          <w:szCs w:val="18"/>
          <w:color w:val="auto"/>
        </w:rPr>
      </w:pPr>
    </w:p>
    <w:p>
      <w:pPr>
        <w:jc w:val="both"/>
        <w:ind w:firstLine="1952"/>
        <w:spacing w:after="0" w:line="259" w:lineRule="auto"/>
        <w:tabs>
          <w:tab w:leader="none" w:pos="2199"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Permitted Disclosures</w:t>
      </w:r>
      <w:r>
        <w:rPr>
          <w:rFonts w:ascii="Arial" w:cs="Arial" w:eastAsia="Arial" w:hAnsi="Arial"/>
          <w:sz w:val="18"/>
          <w:szCs w:val="18"/>
          <w:color w:val="auto"/>
        </w:rPr>
        <w:t>. Executive also acknowledges that nothing in this Agreement shall be construed to prohibit Executive from 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7" w:name="page218"/>
    <w:bookmarkEnd w:id="217"/>
    <w:p>
      <w:pPr>
        <w:ind w:left="130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Non-Interference, Non-Competition and Non-Diversion</w:t>
      </w:r>
      <w:r>
        <w:rPr>
          <w:rFonts w:ascii="Arial" w:cs="Arial" w:eastAsia="Arial" w:hAnsi="Arial"/>
          <w:sz w:val="18"/>
          <w:szCs w:val="18"/>
          <w:color w:val="auto"/>
        </w:rPr>
        <w:t>.</w:t>
      </w:r>
    </w:p>
    <w:p>
      <w:pPr>
        <w:spacing w:after="0" w:line="225" w:lineRule="exact"/>
        <w:rPr>
          <w:sz w:val="20"/>
          <w:szCs w:val="20"/>
          <w:color w:val="auto"/>
        </w:rPr>
      </w:pPr>
    </w:p>
    <w:p>
      <w:pPr>
        <w:jc w:val="both"/>
        <w:ind w:firstLine="1952"/>
        <w:spacing w:after="0" w:line="273" w:lineRule="auto"/>
        <w:tabs>
          <w:tab w:leader="none" w:pos="2215"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No Interference with Customers</w:t>
      </w:r>
      <w:r>
        <w:rPr>
          <w:rFonts w:ascii="Arial" w:cs="Arial" w:eastAsia="Arial" w:hAnsi="Arial"/>
          <w:sz w:val="17"/>
          <w:szCs w:val="17"/>
          <w:color w:val="auto"/>
        </w:rPr>
        <w:t>. Executive agrees that, during the Restricted Period (defined in Section 10.3(f) below), regardless of whether, or on what basis, Executive’s employment hereunder is terminated or any claim that Executive may have against the Company under this Agreement or otherwise, Executive shall not, directly or indirectly (defined below), actually or attempt to, (i) solicit, induce, or cause any Customer to terminate, reduce or refrain from renewing or extending its contractual or other business relationship with the Company; (ii) solicit, induce or cause any Customer to become a customer of or enter into any contractual or other relationship with Executive or any other person or entity for Competing Services (as defined in Section 10.3(f) below); and/or (iii) offer or provide to any Customer any Competing Services.</w:t>
      </w:r>
    </w:p>
    <w:p>
      <w:pPr>
        <w:spacing w:after="0" w:line="177" w:lineRule="exact"/>
        <w:rPr>
          <w:rFonts w:ascii="Arial" w:cs="Arial" w:eastAsia="Arial" w:hAnsi="Arial"/>
          <w:sz w:val="17"/>
          <w:szCs w:val="17"/>
          <w:color w:val="auto"/>
        </w:rPr>
      </w:pPr>
    </w:p>
    <w:p>
      <w:pPr>
        <w:jc w:val="both"/>
        <w:ind w:firstLine="1952"/>
        <w:spacing w:after="0" w:line="293" w:lineRule="auto"/>
        <w:tabs>
          <w:tab w:leader="none" w:pos="2226"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No Interference with Employees and Other Suppliers</w:t>
      </w:r>
      <w:r>
        <w:rPr>
          <w:rFonts w:ascii="Arial" w:cs="Arial" w:eastAsia="Arial" w:hAnsi="Arial"/>
          <w:sz w:val="16"/>
          <w:szCs w:val="16"/>
          <w:color w:val="auto"/>
        </w:rPr>
        <w:t>. Executive agrees that, during the Restricted Period, regardless of whether, or on what basis, Executive’s employment hereunder is terminated or any claim that Executive may have against the Company under this Agreement or otherwise, Executive shall not, directly or indirectly, actually or attempt to: (i) solicit, induce, or cause any Supplier of the Company to terminate, reduce or refrain from renewing or extending such person’s or entity’s business or employment relationship with the Company; (ii) solicit, induce or cause any employee of the Company to engage in Competing Services; or (iii) employ or otherwise engage as an employee, independent contractor or consultant (1) any employee of the Company or (2) any person who was employed by the Company within the then prior six-month period.</w:t>
      </w:r>
    </w:p>
    <w:p>
      <w:pPr>
        <w:spacing w:after="0" w:line="164" w:lineRule="exact"/>
        <w:rPr>
          <w:rFonts w:ascii="Arial" w:cs="Arial" w:eastAsia="Arial" w:hAnsi="Arial"/>
          <w:sz w:val="16"/>
          <w:szCs w:val="16"/>
          <w:color w:val="auto"/>
        </w:rPr>
      </w:pPr>
    </w:p>
    <w:p>
      <w:pPr>
        <w:jc w:val="both"/>
        <w:ind w:firstLine="1952"/>
        <w:spacing w:after="0" w:line="257" w:lineRule="auto"/>
        <w:tabs>
          <w:tab w:leader="none" w:pos="220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Non-Diversion</w:t>
      </w:r>
      <w:r>
        <w:rPr>
          <w:rFonts w:ascii="Arial" w:cs="Arial" w:eastAsia="Arial" w:hAnsi="Arial"/>
          <w:sz w:val="18"/>
          <w:szCs w:val="18"/>
          <w:color w:val="auto"/>
        </w:rPr>
        <w:t>. Executive agrees that, during the Restricted Period, regardless of whether, or on what basis, Executive’s employment is terminated or any claim that Executive may have against the Company under this Agreement or otherwise, Executive shall not, directly or indirectly, be employed or engaged as an independent contractor or otherwise by any person or entity that, during the Employment Period, was an actual or potential Customer of Company to perform services the same or similar to those Executive provided to Company and/or the Company provided or offered to provide to such actual or potential Customer.</w:t>
      </w:r>
    </w:p>
    <w:p>
      <w:pPr>
        <w:spacing w:after="0" w:line="187" w:lineRule="exact"/>
        <w:rPr>
          <w:rFonts w:ascii="Arial" w:cs="Arial" w:eastAsia="Arial" w:hAnsi="Arial"/>
          <w:sz w:val="18"/>
          <w:szCs w:val="18"/>
          <w:color w:val="auto"/>
        </w:rPr>
      </w:pPr>
    </w:p>
    <w:p>
      <w:pPr>
        <w:jc w:val="both"/>
        <w:ind w:firstLine="1952"/>
        <w:spacing w:after="0" w:line="259" w:lineRule="auto"/>
        <w:tabs>
          <w:tab w:leader="none" w:pos="221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During the Employment Period and thereafter, except if Executive is terminated for Cause pursuant to Section 6.3 hereof, for the Restricted Period, regardless of any claim that Executive may have against the Company under this Agreement or otherwise, Executive shall not, directly or indirectly, actually or attempt to, engage in the business of providing Competing Services within the Territory (as defined in Section 10.3(f) below).</w:t>
      </w:r>
    </w:p>
    <w:p>
      <w:pPr>
        <w:spacing w:after="0" w:line="186" w:lineRule="exact"/>
        <w:rPr>
          <w:rFonts w:ascii="Arial" w:cs="Arial" w:eastAsia="Arial" w:hAnsi="Arial"/>
          <w:sz w:val="18"/>
          <w:szCs w:val="18"/>
          <w:color w:val="auto"/>
        </w:rPr>
      </w:pPr>
    </w:p>
    <w:p>
      <w:pPr>
        <w:jc w:val="both"/>
        <w:ind w:firstLine="1952"/>
        <w:spacing w:after="0" w:line="279" w:lineRule="auto"/>
        <w:tabs>
          <w:tab w:leader="none" w:pos="2215"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Notice to Subsequent Employers</w:t>
      </w:r>
      <w:r>
        <w:rPr>
          <w:rFonts w:ascii="Arial" w:cs="Arial" w:eastAsia="Arial" w:hAnsi="Arial"/>
          <w:sz w:val="17"/>
          <w:szCs w:val="17"/>
          <w:color w:val="auto"/>
        </w:rPr>
        <w:t>. Upon commencing any engagement as a service provider (whether as an employee, independent contractor or otherwise) during the Restricted Period, Executive shall expressly advise each new employer and each other new recipient of Executive’s services (each, a “</w:t>
      </w:r>
      <w:r>
        <w:rPr>
          <w:rFonts w:ascii="Arial" w:cs="Arial" w:eastAsia="Arial" w:hAnsi="Arial"/>
          <w:sz w:val="17"/>
          <w:szCs w:val="17"/>
          <w:u w:val="single" w:color="auto"/>
          <w:color w:val="auto"/>
        </w:rPr>
        <w:t>Service Recipient</w:t>
      </w:r>
      <w:r>
        <w:rPr>
          <w:rFonts w:ascii="Arial" w:cs="Arial" w:eastAsia="Arial" w:hAnsi="Arial"/>
          <w:sz w:val="17"/>
          <w:szCs w:val="17"/>
          <w:color w:val="auto"/>
        </w:rPr>
        <w:t>”) of Executive’s continuing obligations to the Company under this Agreement and, in particular, this Section 10. Further, Executive hereby consents to the Company providing such notification to each such Service Recipient.</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8" w:name="page219"/>
    <w:bookmarkEnd w:id="218"/>
    <w:p>
      <w:pPr>
        <w:ind w:left="2180" w:hanging="228"/>
        <w:spacing w:after="0"/>
        <w:tabs>
          <w:tab w:leader="none" w:pos="21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following meaning.</w:t>
      </w:r>
    </w:p>
    <w:p>
      <w:pPr>
        <w:spacing w:after="0" w:line="225" w:lineRule="exact"/>
        <w:rPr>
          <w:rFonts w:ascii="Arial" w:cs="Arial" w:eastAsia="Arial" w:hAnsi="Arial"/>
          <w:sz w:val="18"/>
          <w:szCs w:val="18"/>
          <w:color w:val="auto"/>
        </w:rPr>
      </w:pPr>
    </w:p>
    <w:p>
      <w:pPr>
        <w:jc w:val="both"/>
        <w:ind w:firstLine="2600"/>
        <w:spacing w:after="0" w:line="255" w:lineRule="auto"/>
        <w:tabs>
          <w:tab w:leader="none" w:pos="283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the acquisition by a third party (or more than one party acting as a group) of securities of the Company representing more than sixty-six percent (66%) of the combined voting power of the Company’s then outstanding securities other than by virtue of a merger, consolidation or similar transaction; (B) a merger, consolidation or similar transaction following which the stockholders of the Company immediately prior thereto do not own at least sixty-six percent (66%) of the combined outstanding voting power of the surviving entity (or that entity’s parent) in such merger, consolidation or similar transaction; or (C) the sale or other disposition of all or substantially all of the assets of the Company.</w:t>
      </w:r>
    </w:p>
    <w:p>
      <w:pPr>
        <w:spacing w:after="0" w:line="192" w:lineRule="exact"/>
        <w:rPr>
          <w:rFonts w:ascii="Arial" w:cs="Arial" w:eastAsia="Arial" w:hAnsi="Arial"/>
          <w:sz w:val="18"/>
          <w:szCs w:val="18"/>
          <w:color w:val="auto"/>
        </w:rPr>
      </w:pPr>
    </w:p>
    <w:p>
      <w:pPr>
        <w:ind w:firstLine="2600"/>
        <w:spacing w:after="0" w:line="308" w:lineRule="auto"/>
        <w:tabs>
          <w:tab w:leader="none" w:pos="287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Services</w:t>
      </w:r>
      <w:r>
        <w:rPr>
          <w:rFonts w:ascii="Arial" w:cs="Arial" w:eastAsia="Arial" w:hAnsi="Arial"/>
          <w:sz w:val="17"/>
          <w:szCs w:val="17"/>
          <w:color w:val="auto"/>
        </w:rPr>
        <w:t>” means products or services that are the same, similar or otherwise in competition with the products and services of the Company with which Executive was involved or about which Executive acquired Confidential Information.</w:t>
      </w:r>
    </w:p>
    <w:p>
      <w:pPr>
        <w:spacing w:after="0" w:line="146" w:lineRule="exact"/>
        <w:rPr>
          <w:rFonts w:ascii="Arial" w:cs="Arial" w:eastAsia="Arial" w:hAnsi="Arial"/>
          <w:sz w:val="17"/>
          <w:szCs w:val="17"/>
          <w:color w:val="auto"/>
        </w:rPr>
      </w:pPr>
    </w:p>
    <w:p>
      <w:pPr>
        <w:jc w:val="both"/>
        <w:ind w:firstLine="2600"/>
        <w:spacing w:after="0" w:line="275" w:lineRule="auto"/>
        <w:tabs>
          <w:tab w:leader="none" w:pos="2907" w:val="left"/>
        </w:tabs>
        <w:numPr>
          <w:ilvl w:val="1"/>
          <w:numId w:val="1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Customer</w:t>
      </w:r>
      <w:r>
        <w:rPr>
          <w:rFonts w:ascii="Arial" w:cs="Arial" w:eastAsia="Arial" w:hAnsi="Arial"/>
          <w:sz w:val="17"/>
          <w:szCs w:val="17"/>
          <w:color w:val="auto"/>
        </w:rPr>
        <w:t>” means any company or individual: (i) who purchased products or services from the Company whom Executive contacted or served during the Employment Period, for whom Executive supervised contact or service during the Employment Period or about whom Executive acquired Confidential Information; and/or (ii) who was a potential customer of the Company within the one year immediately preceding the Termination Date and (A) about whom Executive acquired Confidential Information or (B) who contacted Executive, whom Executive contacted, or for whom Executive supervised contact regarding the potential purchase of products or services of the Company.</w:t>
      </w:r>
    </w:p>
    <w:p>
      <w:pPr>
        <w:spacing w:after="0" w:line="176" w:lineRule="exact"/>
        <w:rPr>
          <w:rFonts w:ascii="Arial" w:cs="Arial" w:eastAsia="Arial" w:hAnsi="Arial"/>
          <w:sz w:val="17"/>
          <w:szCs w:val="17"/>
          <w:color w:val="auto"/>
        </w:rPr>
      </w:pPr>
    </w:p>
    <w:p>
      <w:pPr>
        <w:jc w:val="both"/>
        <w:ind w:firstLine="2600"/>
        <w:spacing w:after="0" w:line="255" w:lineRule="auto"/>
        <w:tabs>
          <w:tab w:leader="none" w:pos="292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directly or indirectly</w:t>
      </w:r>
      <w:r>
        <w:rPr>
          <w:rFonts w:ascii="Arial" w:cs="Arial" w:eastAsia="Arial" w:hAnsi="Arial"/>
          <w:sz w:val="18"/>
          <w:szCs w:val="18"/>
          <w:color w:val="auto"/>
        </w:rPr>
        <w:t>” as it relates to an activity taken by Executive includes any activity taken directly by Executive or indirectly on Executive’s behalf, including any activity taken in conjunction with any other person or entity, and including any activity taken by Executive as an employee, agent, consultant, independent contractor, officer, director, principal, shareholder, equity holder, partner, member, joint venturer, lender, investor or otherwise, except that nothing in this Agreement shall prohibit Executive from being a passive holder, for investment purposes only, of not more than two percent (2%) of the outstanding stock of any company listed on a national securities exchange, or actively traded in a national over-the-counter market.</w:t>
      </w:r>
    </w:p>
    <w:p>
      <w:pPr>
        <w:spacing w:after="0" w:line="192" w:lineRule="exact"/>
        <w:rPr>
          <w:rFonts w:ascii="Arial" w:cs="Arial" w:eastAsia="Arial" w:hAnsi="Arial"/>
          <w:sz w:val="18"/>
          <w:szCs w:val="18"/>
          <w:color w:val="auto"/>
        </w:rPr>
      </w:pPr>
    </w:p>
    <w:p>
      <w:pPr>
        <w:jc w:val="both"/>
        <w:ind w:firstLine="2600"/>
        <w:spacing w:after="0" w:line="263" w:lineRule="auto"/>
        <w:tabs>
          <w:tab w:leader="none" w:pos="284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Employment Period and for a period thereafter equaling the greater of (A) one year and (B) the duration of any Severance Period, except that such period shall be extended for any period therein during which Executive was in violation of any provision of this Section 10.3.</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9" w:name="page220"/>
    <w:bookmarkEnd w:id="219"/>
    <w:p>
      <w:pPr>
        <w:ind w:right="20" w:firstLine="2600"/>
        <w:spacing w:after="0" w:line="277" w:lineRule="auto"/>
        <w:tabs>
          <w:tab w:leader="none" w:pos="291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Supplier</w:t>
      </w:r>
      <w:r>
        <w:rPr>
          <w:rFonts w:ascii="Arial" w:cs="Arial" w:eastAsia="Arial" w:hAnsi="Arial"/>
          <w:sz w:val="18"/>
          <w:szCs w:val="18"/>
          <w:color w:val="auto"/>
        </w:rPr>
        <w:t>” means any supplier of goods, services, funding, leads or prospects to the Company, including as an employee, independent contractor or in any other capacity.</w:t>
      </w:r>
    </w:p>
    <w:p>
      <w:pPr>
        <w:spacing w:after="0" w:line="170" w:lineRule="exact"/>
        <w:rPr>
          <w:rFonts w:ascii="Arial" w:cs="Arial" w:eastAsia="Arial" w:hAnsi="Arial"/>
          <w:sz w:val="18"/>
          <w:szCs w:val="18"/>
          <w:color w:val="auto"/>
        </w:rPr>
      </w:pPr>
    </w:p>
    <w:p>
      <w:pPr>
        <w:ind w:left="2960" w:hanging="360"/>
        <w:spacing w:after="0"/>
        <w:tabs>
          <w:tab w:leader="none" w:pos="29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means any state in which the Company is doing business or in which it is contemplating to do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pursuant to a then current business plan.</w:t>
      </w:r>
    </w:p>
    <w:p>
      <w:pPr>
        <w:spacing w:after="0" w:line="211" w:lineRule="exact"/>
        <w:rPr>
          <w:sz w:val="20"/>
          <w:szCs w:val="20"/>
          <w:color w:val="auto"/>
        </w:rPr>
      </w:pPr>
    </w:p>
    <w:p>
      <w:pPr>
        <w:ind w:left="920" w:hanging="264"/>
        <w:spacing w:after="0"/>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The Company’s Proprietary Rights</w:t>
      </w:r>
      <w:r>
        <w:rPr>
          <w:rFonts w:ascii="Arial" w:cs="Arial" w:eastAsia="Arial" w:hAnsi="Arial"/>
          <w:sz w:val="16"/>
          <w:szCs w:val="16"/>
          <w:color w:val="auto"/>
        </w:rPr>
        <w:t>. Executive acknowledges and agrees that all Intellectual Property (defined below) created, made 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Arial" w:cs="Arial" w:eastAsia="Arial" w:hAnsi="Arial"/>
          <w:sz w:val="16"/>
          <w:szCs w:val="16"/>
          <w:u w:val="single" w:color="auto"/>
          <w:color w:val="auto"/>
        </w:rPr>
        <w:t>Moral Rights</w:t>
      </w:r>
      <w:r>
        <w:rPr>
          <w:rFonts w:ascii="Arial" w:cs="Arial" w:eastAsia="Arial" w:hAnsi="Arial"/>
          <w:sz w:val="16"/>
          <w:szCs w:val="16"/>
          <w:color w:val="auto"/>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spacing w:after="0" w:line="18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Waiver</w:t>
      </w:r>
      <w:r>
        <w:rPr>
          <w:rFonts w:ascii="Arial" w:cs="Arial" w:eastAsia="Arial" w:hAnsi="Arial"/>
          <w:sz w:val="18"/>
          <w:szCs w:val="18"/>
          <w:color w:val="auto"/>
        </w:rPr>
        <w:t>. In the event that Executive owns or claims any rights to Company Intellectual Property that cannot be assigned to the Company, Executive irrevocably waives all claims and the enforcement of all such rights against the Company, and their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0" w:name="page221"/>
    <w:bookmarkEnd w:id="220"/>
    <w:p>
      <w:pPr>
        <w:jc w:val="both"/>
        <w:ind w:firstLine="1296"/>
        <w:spacing w:after="0" w:line="28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Cooperation Regarding Intellectual Property</w:t>
      </w:r>
      <w:r>
        <w:rPr>
          <w:rFonts w:ascii="Arial" w:cs="Arial" w:eastAsia="Arial" w:hAnsi="Arial"/>
          <w:sz w:val="16"/>
          <w:szCs w:val="16"/>
          <w:color w:val="auto"/>
        </w:rPr>
        <w:t>. Executive agrees to assist the Company, and to take all reasonable steps, with securing 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Arial" w:cs="Arial" w:eastAsia="Arial" w:hAnsi="Arial"/>
          <w:sz w:val="16"/>
          <w:szCs w:val="16"/>
          <w:u w:val="single" w:color="auto"/>
          <w:color w:val="auto"/>
        </w:rPr>
        <w:t>Liens</w:t>
      </w:r>
      <w:r>
        <w:rPr>
          <w:rFonts w:ascii="Arial" w:cs="Arial" w:eastAsia="Arial" w:hAnsi="Arial"/>
          <w:sz w:val="16"/>
          <w:szCs w:val="16"/>
          <w:color w:val="auto"/>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No infringement</w:t>
      </w:r>
      <w:r>
        <w:rPr>
          <w:rFonts w:ascii="Arial" w:cs="Arial" w:eastAsia="Arial" w:hAnsi="Arial"/>
          <w:sz w:val="18"/>
          <w:szCs w:val="18"/>
          <w:color w:val="auto"/>
        </w:rPr>
        <w:t>. Executive represents and warrants to the Company that all Intellectual Property Executive delivers to the Company shall be original and shall not infringe upon or violate any patent, copyright or proprietary right of any person or third party.</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License to Prior Invention</w:t>
      </w:r>
      <w:r>
        <w:rPr>
          <w:rFonts w:ascii="Arial" w:cs="Arial" w:eastAsia="Arial" w:hAnsi="Arial"/>
          <w:sz w:val="17"/>
          <w:szCs w:val="17"/>
          <w:color w:val="auto"/>
        </w:rPr>
        <w:t>. If Executive in the course of Executive’s employment for the Company incorporates into a Company product Intellectual Property that Executive has, alone or jointly with others, conceived, developed or reduced to practice prior to the commencement of Executive’s employment with the Company in which Executive has a property right (each, a “</w:t>
      </w:r>
      <w:r>
        <w:rPr>
          <w:rFonts w:ascii="Arial" w:cs="Arial" w:eastAsia="Arial" w:hAnsi="Arial"/>
          <w:sz w:val="17"/>
          <w:szCs w:val="17"/>
          <w:u w:val="single" w:color="auto"/>
          <w:color w:val="auto"/>
        </w:rPr>
        <w:t>Prior Invention</w:t>
      </w:r>
      <w:r>
        <w:rPr>
          <w:rFonts w:ascii="Arial" w:cs="Arial" w:eastAsia="Arial" w:hAnsi="Arial"/>
          <w:sz w:val="17"/>
          <w:szCs w:val="17"/>
          <w:color w:val="auto"/>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1" w:name="page222"/>
    <w:bookmarkEnd w:id="221"/>
    <w:p>
      <w:pPr>
        <w:jc w:val="both"/>
        <w:ind w:firstLine="1296"/>
        <w:spacing w:after="0" w:line="263"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extent this Agreement is required to be construed in accordance with laws of any state which precludes as a requirement in an employee agreement the assignment of certain classes of inventions made by an employee, this Section 11 will be interpreted not to apply to any invention which a court rules and/or the Company agrees falls within such classes.</w:t>
      </w:r>
    </w:p>
    <w:p>
      <w:pPr>
        <w:spacing w:after="0" w:line="184" w:lineRule="exact"/>
        <w:rPr>
          <w:sz w:val="20"/>
          <w:szCs w:val="20"/>
          <w:color w:val="auto"/>
        </w:rPr>
      </w:pPr>
    </w:p>
    <w:p>
      <w:pPr>
        <w:jc w:val="both"/>
        <w:ind w:firstLine="656"/>
        <w:spacing w:after="0" w:line="284" w:lineRule="auto"/>
        <w:tabs>
          <w:tab w:leader="none" w:pos="972"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Executive agrees not to, knowingly and intentionally, make any disparaging remark or send any disparaging communication on any date which is reasonably expected to result in, or does result in, damage to (i) the reputation of the Company on such date or (ii) the reputation of (A) the business, officers and directors of the Company on such date or (B) the employees of the Company on the date of this Agreement but only for so long as an employee remains an employee of the Company. The Company agrees not to, knowingly and intentionally, make any disparaging remarks or send any disparaging communications by press release or other formal communication or take any other action, directly or indirectly, with respect to Executive which is reasonably expected to result in, or does result in, damage to Executive’s reputation (it being understood that comments or actions by an individual will not be treated as comments or actions by the Company unless such individual is an officer or director of the Company or otherwise has both the authority to act, and is acting, on behalf of the Company with respect to such comments or actions). This Section does not apply to</w:t>
      </w:r>
    </w:p>
    <w:p>
      <w:pPr>
        <w:jc w:val="both"/>
        <w:ind w:firstLine="8"/>
        <w:spacing w:after="0" w:line="255" w:lineRule="auto"/>
        <w:tabs>
          <w:tab w:leader="none" w:pos="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truthful statements made in connection with legal proceedings, governmental and regulatory investigations and actions; (ii) any other truthful statement or disclosure required by law; or (iii) business-related intra-Company communications or to the Company’s communications with its shareholders, investors, auditors and/or legal advisors.</w:t>
      </w:r>
    </w:p>
    <w:p>
      <w:pPr>
        <w:spacing w:after="0" w:line="189" w:lineRule="exact"/>
        <w:rPr>
          <w:rFonts w:ascii="Arial" w:cs="Arial" w:eastAsia="Arial" w:hAnsi="Arial"/>
          <w:sz w:val="18"/>
          <w:szCs w:val="18"/>
          <w:color w:val="auto"/>
        </w:rPr>
      </w:pPr>
    </w:p>
    <w:p>
      <w:pPr>
        <w:jc w:val="both"/>
        <w:ind w:firstLine="656"/>
        <w:spacing w:after="0" w:line="271" w:lineRule="auto"/>
        <w:tabs>
          <w:tab w:leader="none" w:pos="918"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The Company will reimburse Executive for reasonable expenses Executive incurs in fulfilling Executive’s obligations under this Section 13. Notwithstanding the foregoing, this Section shall not be applicable to any claim by the Company against Executive or by Executive against the Company.</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2" w:name="page223"/>
    <w:bookmarkEnd w:id="222"/>
    <w:p>
      <w:pPr>
        <w:jc w:val="both"/>
        <w:ind w:firstLine="656"/>
        <w:spacing w:after="0" w:line="285" w:lineRule="auto"/>
        <w:tabs>
          <w:tab w:leader="none" w:pos="918"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xml:space="preserve">.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her electronic devices and accounts, including but not limited to computers, phones, personal email accounts, cloud storage accounts, and removable storage media. Executive agrees to provide the Company access to Executive’s system as reasonably requested to verify that the necessary copying and/or deletion is completed. Executive acknowledges and agrees that any property situated on the Company’s premises and owned by the Company, including disks and other storage media, filing cabinets, and other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files, e-mail messages and voice messages) and that Executive’s activity and any files or messages on or using any of those systems may be monitored at any time without notice. Notwithstanding anything in this Agreement to the contrary, (x) Executive’s personal property, general industry knowledge, awards, and personal memoirs do not constitute trade secrets or Confidential Information, and are and shall remain Executive’s sole and exclusive property, and (y) Executive shall be entitled to retain, following Executive’s termination of employment, information showing Executive’s compensation or relating to reimbursement of business expenses incurred by Executive, and copies of this Agreement and any Company benefit programs in which Executive participated;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Executive acknowledges and agrees that Executive shall not disclose the documents referenced in this clause (y) except to Executive’s representatives who have a need to know such information.</w:t>
      </w:r>
    </w:p>
    <w:p>
      <w:pPr>
        <w:spacing w:after="0" w:line="168" w:lineRule="exact"/>
        <w:rPr>
          <w:rFonts w:ascii="Arial" w:cs="Arial" w:eastAsia="Arial" w:hAnsi="Arial"/>
          <w:sz w:val="16"/>
          <w:szCs w:val="16"/>
          <w:color w:val="auto"/>
        </w:rPr>
      </w:pPr>
    </w:p>
    <w:p>
      <w:pPr>
        <w:jc w:val="both"/>
        <w:ind w:firstLine="656"/>
        <w:spacing w:after="0" w:line="285" w:lineRule="auto"/>
        <w:tabs>
          <w:tab w:leader="none" w:pos="931"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Injunctive Relief and Other Remedies</w:t>
      </w:r>
      <w:r>
        <w:rPr>
          <w:rFonts w:ascii="Arial" w:cs="Arial" w:eastAsia="Arial" w:hAnsi="Arial"/>
          <w:sz w:val="16"/>
          <w:szCs w:val="16"/>
          <w:color w:val="auto"/>
        </w:rPr>
        <w:t>. Executive acknowledges that a breach of Sections 10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10 through 13, restraining Executive from engaging in activities prohibited by Sections 10 through 13 and such other relief as may be required specifically to enforce any of the provisions in Sections 10 through 13. Executive further agrees that, if Executive breaches any of the provisions in Sections 10 through 13 of this Agreement, to the extent permitted by law, Executive shall (i) forfeit Executive’s right to receive the balance of any compensation and/or benefits due Executive under this Agreement; (ii) pay over to the Company all compensation, profits, monies, accruals, increments or other benefits derived or received by Executive as the result of any action or transaction constituting a breach of any provision thereof; and (iii) pay over to the Company all costs and expenses incurred by the Company resulting from Executive’s breach (including, without limitation, reasonable attorneys’ fees and expenses in dealing with Executive’s breach or any suits or actions with regard thereto) and for all damages (compensatory, along with punitive) that may be awarded in connection therewith.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10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3" w:name="page224"/>
    <w:bookmarkEnd w:id="223"/>
    <w:p>
      <w:pPr>
        <w:ind w:left="920" w:hanging="264"/>
        <w:spacing w:after="0"/>
        <w:tabs>
          <w:tab w:leader="none" w:pos="9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Representations Regarding Prior Work and Legal 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16.1 Executive represents and warrants that Executive has no agreement or other legal obligation with any prior employer, or any other person or entity, that restricts Executive’s ability to accept employment with the Company. Executive further represents and warrants that Executive is not a party to any agreement (including, without limitation, a non-competition, non-solicitation, no hire or similar agreement) and has no other legal obligation that restricts in any way Executive’s ability to perform Executive’s duties and satisfy Executive’s other obligations to the Company, including, without limitation, those under this Agreement.</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16.2 Executive represents and acknowledges that Executive has been instructed by the Company that at no time should Executive divulge 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w:t>
      </w:r>
    </w:p>
    <w:p>
      <w:pPr>
        <w:spacing w:after="0" w:line="17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16.3 Executive represents and agrees that the Executive has not and will not misappropriate any intellectual property belonging to any other person or entity.</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16.4 Executive acknowledges that the Company is basing important business decisions on these representations, agreements and warranties, and Executive affirms that all of the statements included herein are true. Executive agrees that Executive shall defend, indemnify and hold the Company harmless from any liability, expense (including attorneys’ fees) or claim by any person in any way arising out of, relating to, or in connection with a breach and/or the falsity of any of the representations, agreements and warranties made by Executive in this Section 16.</w:t>
      </w:r>
    </w:p>
    <w:p>
      <w:pPr>
        <w:spacing w:after="0" w:line="171" w:lineRule="exact"/>
        <w:rPr>
          <w:sz w:val="20"/>
          <w:szCs w:val="20"/>
          <w:color w:val="auto"/>
        </w:rPr>
      </w:pPr>
    </w:p>
    <w:p>
      <w:pPr>
        <w:jc w:val="both"/>
        <w:ind w:firstLine="656"/>
        <w:spacing w:after="0" w:line="268" w:lineRule="auto"/>
        <w:tabs>
          <w:tab w:leader="none" w:pos="918"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Indemnification and Liability Insurance</w:t>
      </w:r>
      <w:r>
        <w:rPr>
          <w:rFonts w:ascii="Arial" w:cs="Arial" w:eastAsia="Arial" w:hAnsi="Arial"/>
          <w:sz w:val="17"/>
          <w:szCs w:val="17"/>
          <w:color w:val="auto"/>
        </w:rPr>
        <w:t>. The Company shall indemnify Executive to the fullest extent permitted by law, in effect at the time of the subject act or omission, and shall advance to Executive reasonable attorneys’ fees and expenses as such fees and expenses are incurred (subject to an undertaking from Executive to repay such advances if it shall be finally determined by a judicial decision which is not subject to further appeal that Executive was not entitled to the reimbursement of such fees and expenses), and Executive will be entitled to the protection of any insurance policies that the Company may elect to maintain generally for the benefit of its directors and officers against all costs, charges and expenses incurred or sustained by Executive in connection with any action, suit or proceeding brought by a third-party to which Executive may be made a party by reason of Executive’s being or having been a director, officer or employee of the Company or any of its affiliates, or Executive’s serving or having served any other enterprise as a director, officer or employee at the request of the Company (other than any dispute, claim or controversy arising under or relating to this Agreement), provided that he acted within the scope of his duties as a director, officer or employee of the Company. The Company covenants to maintain during Executive’s employment for the benefit of Executive (in his capacity as an officer and director of the Company) Directors and Officers Insurance providing benefits to Executive no less favorable, taken as a whole, than the benefits provided to the other similarly situated employees of the Company by the Directors and Officers Insurance maintained by the Company on the date hereof; provided, however, that the Company may elect to terminate Directors and Officers Insurance for all officers and directors, including Executive, if the Company determines in good faith that such insurance is not available or is available only at unreasonable expense.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4" w:name="page225"/>
    <w:bookmarkEnd w:id="224"/>
    <w:p>
      <w:pPr>
        <w:ind w:left="920" w:hanging="264"/>
        <w:spacing w:after="0"/>
        <w:tabs>
          <w:tab w:leader="none" w:pos="92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IRCA Compliance</w:t>
      </w:r>
      <w:r>
        <w:rPr>
          <w:rFonts w:ascii="Arial" w:cs="Arial" w:eastAsia="Arial" w:hAnsi="Arial"/>
          <w:sz w:val="18"/>
          <w:szCs w:val="18"/>
          <w:color w:val="auto"/>
        </w:rPr>
        <w:t>. This Agreement, and Executive’s employment with the Company, is conditioned on Executive’s establishing Executive’s identity and authorization to work as required by the Immigration Reform and Control Act of 1986 (IRCA).</w:t>
      </w:r>
    </w:p>
    <w:p>
      <w:pPr>
        <w:spacing w:after="0" w:line="170"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Unless otherwise expressly provided, any payment of compensation by Company to Executive, whether pursuant to this Agreement or otherwise, shall be made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w:t>
      </w:r>
      <w:r>
        <w:rPr>
          <w:rFonts w:ascii="Arial" w:cs="Arial" w:eastAsia="Arial" w:hAnsi="Arial"/>
          <w:sz w:val="16"/>
          <w:szCs w:val="16"/>
          <w:i w:val="1"/>
          <w:iCs w:val="1"/>
          <w:color w:val="auto"/>
        </w:rPr>
        <w:t>i.e.</w:t>
      </w:r>
      <w:r>
        <w:rPr>
          <w:rFonts w:ascii="Arial" w:cs="Arial" w:eastAsia="Arial" w:hAnsi="Arial"/>
          <w:sz w:val="16"/>
          <w:szCs w:val="16"/>
          <w:color w:val="auto"/>
        </w:rPr>
        <w:t>, 2½ months) after the later of the end of the calendar year or the Company’s fiscal year in which Executive’s right to such payment vests (</w:t>
      </w:r>
      <w:r>
        <w:rPr>
          <w:rFonts w:ascii="Arial" w:cs="Arial" w:eastAsia="Arial" w:hAnsi="Arial"/>
          <w:sz w:val="16"/>
          <w:szCs w:val="16"/>
          <w:i w:val="1"/>
          <w:iCs w:val="1"/>
          <w:color w:val="auto"/>
        </w:rPr>
        <w:t>i.e</w:t>
      </w:r>
      <w:r>
        <w:rPr>
          <w:rFonts w:ascii="Arial" w:cs="Arial" w:eastAsia="Arial" w:hAnsi="Arial"/>
          <w:sz w:val="16"/>
          <w:szCs w:val="16"/>
          <w:color w:val="auto"/>
        </w:rPr>
        <w:t>., is not subject to a “substantial risk of forfeiture”) for purposes of Section 409A of the Internal Revenue Code of 1986, as amended (“</w:t>
      </w:r>
      <w:r>
        <w:rPr>
          <w:rFonts w:ascii="Arial" w:cs="Arial" w:eastAsia="Arial" w:hAnsi="Arial"/>
          <w:sz w:val="16"/>
          <w:szCs w:val="16"/>
          <w:u w:val="single" w:color="auto"/>
          <w:color w:val="auto"/>
        </w:rPr>
        <w:t>Section 409A</w:t>
      </w:r>
      <w:r>
        <w:rPr>
          <w:rFonts w:ascii="Arial" w:cs="Arial" w:eastAsia="Arial" w:hAnsi="Arial"/>
          <w:sz w:val="16"/>
          <w:szCs w:val="16"/>
          <w:color w:val="auto"/>
        </w:rPr>
        <w:t>”). For purposes of this Agreement, termination of employment shall be deemed to occur only upon “separation from service” as such term is defined under Section 409A. Each payment and each installment of any severance payments provided for under this Agreement shall be treated as a separate payment for purposes of application of Section 409A. To the extent any amounts payable by the Company to the Executive constitute “nonqualified deferred compensation” (within the meaning of Section 409A) such payments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including a six (6) month delay of termination payments made to specified employees of a public company, to the extent then applicable. Executive shall have no discretion with respect to the timing of payments except as permitted under Section 409A. Any Section 409A payments which are subject to execution of a waiver and release which may be executed and/or revoked in a calendar year following the calendar year in which the payment event (such as termination of employment) occurs shall commence payment only in such following calendar year as necessary to comply with Section 409A.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Executive incurs such expenses, and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Code Section 409A.</w:t>
      </w: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5" w:name="page226"/>
    <w:bookmarkEnd w:id="225"/>
    <w:p>
      <w:pPr>
        <w:jc w:val="both"/>
        <w:ind w:firstLine="1296"/>
        <w:spacing w:after="0" w:line="291" w:lineRule="auto"/>
        <w:rPr>
          <w:sz w:val="20"/>
          <w:szCs w:val="20"/>
          <w:color w:val="auto"/>
        </w:rPr>
      </w:pPr>
      <w:r>
        <w:rPr>
          <w:rFonts w:ascii="Arial" w:cs="Arial" w:eastAsia="Arial" w:hAnsi="Arial"/>
          <w:sz w:val="16"/>
          <w:szCs w:val="16"/>
          <w:color w:val="auto"/>
        </w:rPr>
        <w:t xml:space="preserve">18.3 </w:t>
      </w:r>
      <w:r>
        <w:rPr>
          <w:rFonts w:ascii="Arial" w:cs="Arial" w:eastAsia="Arial" w:hAnsi="Arial"/>
          <w:sz w:val="16"/>
          <w:szCs w:val="16"/>
          <w:u w:val="single" w:color="auto"/>
          <w:color w:val="auto"/>
        </w:rPr>
        <w:t>Assignability and Binding Effect</w:t>
      </w:r>
      <w:r>
        <w:rPr>
          <w:rFonts w:ascii="Arial" w:cs="Arial" w:eastAsia="Arial" w:hAnsi="Arial"/>
          <w:sz w:val="16"/>
          <w:szCs w:val="16"/>
          <w:color w:val="auto"/>
        </w:rPr>
        <w:t>. This Agreement shall inure to the benefit of and shall be binding upon the heirs, executors, 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Right of Set-Off</w:t>
      </w:r>
      <w:r>
        <w:rPr>
          <w:rFonts w:ascii="Arial" w:cs="Arial" w:eastAsia="Arial" w:hAnsi="Arial"/>
          <w:sz w:val="18"/>
          <w:szCs w:val="18"/>
          <w:color w:val="auto"/>
        </w:rPr>
        <w:t>. To the extent permitted by applicable law, the Company may at any time offset against any amounts owed to Executive hereunder or otherwise due or to become due to Executive, or anyone claiming through or under Executive, any debt or debts due or to become due from Executive to the Company.</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18.5 </w:t>
      </w:r>
      <w:r>
        <w:rPr>
          <w:rFonts w:ascii="Arial" w:cs="Arial" w:eastAsia="Arial" w:hAnsi="Arial"/>
          <w:sz w:val="17"/>
          <w:szCs w:val="17"/>
          <w:u w:val="single" w:color="auto"/>
          <w:color w:val="auto"/>
        </w:rPr>
        <w:t>Severability and Blue Penciling</w:t>
      </w:r>
      <w:r>
        <w:rPr>
          <w:rFonts w:ascii="Arial" w:cs="Arial" w:eastAsia="Arial" w:hAnsi="Arial"/>
          <w:sz w:val="17"/>
          <w:szCs w:val="17"/>
          <w:color w:val="auto"/>
        </w:rPr>
        <w:t>. If any provision of this Agreement is held to be invalid, the remaining provisions shall remain in 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spacing w:after="0" w:line="17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u w:val="single" w:color="auto"/>
          <w:color w:val="auto"/>
        </w:rPr>
        <w:t>Choice of Law and Forum; Attorneys’ Fees</w:t>
      </w:r>
      <w:r>
        <w:rPr>
          <w:rFonts w:ascii="Arial" w:cs="Arial" w:eastAsia="Arial" w:hAnsi="Arial"/>
          <w:sz w:val="18"/>
          <w:szCs w:val="18"/>
          <w:color w:val="auto"/>
        </w:rPr>
        <w:t>. This Agreement shall be interpreted and enforced in accordance with the laws of the Commonwealth of Massachusetts, without regard to its conflict-of-law principles. The Parties agree that any dispute concerning or arising out of this Agreement or Executive’s employment hereunder (or termination thereof) shall be litigated exclusively in an appropriate state or federal court in or closest to Middlesex County, Massachusetts and hereby consent, and waive any objection, to the jurisdiction of any such court. In the event a litigation or other legal 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spacing w:after="0" w:line="19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18.7 </w:t>
      </w:r>
      <w:r>
        <w:rPr>
          <w:rFonts w:ascii="Arial" w:cs="Arial" w:eastAsia="Arial" w:hAnsi="Arial"/>
          <w:sz w:val="17"/>
          <w:szCs w:val="17"/>
          <w:u w:val="single" w:color="auto"/>
          <w:color w:val="auto"/>
        </w:rPr>
        <w:t>Mutual Waiver of Jury Trial</w:t>
      </w:r>
      <w:r>
        <w:rPr>
          <w:rFonts w:ascii="Arial" w:cs="Arial" w:eastAsia="Arial" w:hAnsi="Arial"/>
          <w:sz w:val="17"/>
          <w:szCs w:val="17"/>
          <w:color w:val="auto"/>
        </w:rPr>
        <w:t>. Executive and the Company each hereby waive the right to trial by jury in any action or proceeding, regardless of the subject matter, between them, including, without limitation, any action or proceeding based upon, arising out of, or in any way relating to this Agreement and all matters concerning Executive’s employment with the Company (or the termination thereof). Executive and the Company further agree that either of them may file a copy of this Agreement with any court as written evidence of the knowing, voluntary, and bargained agreement between Executive and the Company to irrevocably waive trial by jury, and that any dispute or controversy whatsoever between Executive and the Company shall instead be tried in a court of competent jurisdiction by a judge sitting without a jury.</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6" w:name="page227"/>
    <w:bookmarkEnd w:id="226"/>
    <w:p>
      <w:pPr>
        <w:ind w:left="1300"/>
        <w:spacing w:after="0"/>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firstLine="1952"/>
        <w:spacing w:after="0" w:line="277" w:lineRule="auto"/>
        <w:tabs>
          <w:tab w:leader="none" w:pos="218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notice or other communication under this Agreement shall be in writing and shall be delivered by hand, email, facsimile or mailed by overnight courier or by registered or certified mail, postage prepaid:</w:t>
      </w:r>
    </w:p>
    <w:p>
      <w:pPr>
        <w:spacing w:after="0" w:line="170" w:lineRule="exact"/>
        <w:rPr>
          <w:rFonts w:ascii="Arial" w:cs="Arial" w:eastAsia="Arial" w:hAnsi="Arial"/>
          <w:sz w:val="18"/>
          <w:szCs w:val="18"/>
          <w:color w:val="auto"/>
        </w:rPr>
      </w:pPr>
    </w:p>
    <w:p>
      <w:pPr>
        <w:ind w:left="2820" w:hanging="220"/>
        <w:spacing w:after="0"/>
        <w:tabs>
          <w:tab w:leader="none" w:pos="28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to Executive, to Executive’s address on the books and records of the Company.</w:t>
      </w:r>
    </w:p>
    <w:p>
      <w:pPr>
        <w:spacing w:after="0" w:line="225" w:lineRule="exact"/>
        <w:rPr>
          <w:rFonts w:ascii="Arial" w:cs="Arial" w:eastAsia="Arial" w:hAnsi="Arial"/>
          <w:sz w:val="18"/>
          <w:szCs w:val="18"/>
          <w:color w:val="auto"/>
        </w:rPr>
      </w:pPr>
    </w:p>
    <w:p>
      <w:pPr>
        <w:ind w:firstLine="2600"/>
        <w:spacing w:after="0" w:line="277" w:lineRule="auto"/>
        <w:tabs>
          <w:tab w:leader="none" w:pos="287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to the Company, to 101 Middlesex Turnpike, Ste 6, PMB 326 Burlington, MA 01803, or at such other mailing address, email address or facsimile number as it may have furnished in writing to Executive.</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21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Survival of Terms</w:t>
      </w:r>
      <w:r>
        <w:rPr>
          <w:rFonts w:ascii="Arial" w:cs="Arial" w:eastAsia="Arial" w:hAnsi="Arial"/>
          <w:sz w:val="18"/>
          <w:szCs w:val="18"/>
          <w:color w:val="auto"/>
        </w:rPr>
        <w:t>. All provisions of this Agreement that, either expressly or impliedly, contain obligations that extend beyond termination of Executive’s employment hereunder, including without limitation Sections 10-15 and 18 hereof, shall survive the termination of this Agreement and of Executive’s employment hereunder for any reason.</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18.10 </w:t>
      </w:r>
      <w:r>
        <w:rPr>
          <w:rFonts w:ascii="Arial" w:cs="Arial" w:eastAsia="Arial" w:hAnsi="Arial"/>
          <w:sz w:val="17"/>
          <w:szCs w:val="17"/>
          <w:u w:val="single" w:color="auto"/>
          <w:color w:val="auto"/>
        </w:rPr>
        <w:t>Interpretation</w:t>
      </w:r>
      <w:r>
        <w:rPr>
          <w:rFonts w:ascii="Arial" w:cs="Arial" w:eastAsia="Arial" w:hAnsi="Arial"/>
          <w:sz w:val="17"/>
          <w:szCs w:val="17"/>
          <w:color w:val="auto"/>
        </w:rPr>
        <w:t>. The headings contained in this Agreement are for reference purposes only and shall not affect in any way the meaning 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will execute and deliver such further documents and instruments and will take all other actions as may be reasonably required or appropriate to carry out the intent and purposes of this Agreement.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Voluntary and Knowing Execution of Agreement</w:t>
      </w:r>
      <w:r>
        <w:rPr>
          <w:rFonts w:ascii="Arial" w:cs="Arial" w:eastAsia="Arial" w:hAnsi="Arial"/>
          <w:sz w:val="18"/>
          <w:szCs w:val="18"/>
          <w:color w:val="auto"/>
        </w:rPr>
        <w:t>. Executive acknowledges that (i) Executive has had the opportunity to consult an attorney regarding the terms and conditions of this Agreement before executing it, (ii) Executive fully understands the terms of this Agreement including, without limitation, the significance and consequences of the post-employment restrictive covenants in Section 10 above, and (iii) Executive is executing this Agreement voluntarily, knowingly and willingly and without duress.</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and agreement of the Parties concerning the subject 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7" w:name="page228"/>
    <w:bookmarkEnd w:id="227"/>
    <w:p>
      <w:pPr>
        <w:jc w:val="both"/>
        <w:ind w:firstLine="1296"/>
        <w:spacing w:after="0" w:line="296" w:lineRule="auto"/>
        <w:rPr>
          <w:sz w:val="20"/>
          <w:szCs w:val="20"/>
          <w:color w:val="auto"/>
        </w:rPr>
      </w:pPr>
      <w:r>
        <w:rPr>
          <w:rFonts w:ascii="Arial" w:cs="Arial" w:eastAsia="Arial" w:hAnsi="Arial"/>
          <w:sz w:val="16"/>
          <w:szCs w:val="16"/>
          <w:color w:val="auto"/>
        </w:rPr>
        <w:t xml:space="preserve">18.14 </w:t>
      </w:r>
      <w:r>
        <w:rPr>
          <w:rFonts w:ascii="Arial" w:cs="Arial" w:eastAsia="Arial" w:hAnsi="Arial"/>
          <w:sz w:val="16"/>
          <w:szCs w:val="16"/>
          <w:u w:val="single" w:color="auto"/>
          <w:color w:val="auto"/>
        </w:rPr>
        <w:t>Waivers and Amendments</w:t>
      </w:r>
      <w:r>
        <w:rPr>
          <w:rFonts w:ascii="Arial" w:cs="Arial" w:eastAsia="Arial" w:hAnsi="Arial"/>
          <w:sz w:val="16"/>
          <w:szCs w:val="16"/>
          <w:color w:val="auto"/>
        </w:rPr>
        <w:t>. This Agreement may be altered, amended, modified, superseded or cancelled, and the terms hereof 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6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when executed, shall have the efficacy of a signed original. Photographic copies, electronically scanned copies and other facsimiles of this Agreement (including such signed counterparts) may be used in lieu of the originals for any purpose.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blank; signature page follows.]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8" w:name="page229"/>
    <w:bookmarkEnd w:id="228"/>
    <w:p>
      <w:pPr>
        <w:ind w:left="660"/>
        <w:spacing w:after="0"/>
        <w:rPr>
          <w:sz w:val="20"/>
          <w:szCs w:val="20"/>
          <w:color w:val="auto"/>
        </w:rPr>
      </w:pPr>
      <w:r>
        <w:rPr>
          <w:rFonts w:ascii="Arial" w:cs="Arial" w:eastAsia="Arial" w:hAnsi="Arial"/>
          <w:sz w:val="16"/>
          <w:szCs w:val="16"/>
          <w:color w:val="auto"/>
        </w:rPr>
        <w:t>IN WITNESS WHEREOF, the Parties have executed and delivered this Agreement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285432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RAYMOND CHANG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[Signature page to Employment Agreement]</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INVENTION ASSIGNMENT, RESTRICTIVE COVENANTS, AND CONFIDENTIALITY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30" w:name="page231"/>
    <w:bookmarkEnd w:id="230"/>
    <w:p>
      <w:pPr>
        <w:jc w:val="center"/>
        <w:ind w:right="86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LIST OF PRIOR INVENTIONS AND ORIGINAL WORKS OF AUTHORSHIP</w:t>
      </w:r>
    </w:p>
    <w:p>
      <w:pPr>
        <w:spacing w:after="0" w:line="225" w:lineRule="exact"/>
        <w:rPr>
          <w:sz w:val="20"/>
          <w:szCs w:val="20"/>
          <w:color w:val="auto"/>
        </w:rPr>
      </w:pPr>
    </w:p>
    <w:p>
      <w:pPr>
        <w:ind w:left="520"/>
        <w:spacing w:after="0"/>
        <w:tabs>
          <w:tab w:leader="none" w:pos="4320" w:val="left"/>
          <w:tab w:leader="none" w:pos="67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b w:val="1"/>
          <w:bCs w:val="1"/>
          <w:color w:val="auto"/>
        </w:rPr>
        <w:t>Date</w:t>
      </w:r>
      <w:r>
        <w:rPr>
          <w:sz w:val="20"/>
          <w:szCs w:val="20"/>
          <w:color w:val="auto"/>
        </w:rPr>
        <w:tab/>
      </w:r>
      <w:r>
        <w:rPr>
          <w:rFonts w:ascii="Arial" w:cs="Arial" w:eastAsia="Arial" w:hAnsi="Arial"/>
          <w:sz w:val="16"/>
          <w:szCs w:val="16"/>
          <w:b w:val="1"/>
          <w:bCs w:val="1"/>
          <w:color w:val="auto"/>
        </w:rPr>
        <w:t>Identifying Number or Brief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543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80"/>
          </w:cols>
          <w:pgMar w:left="1440" w:top="796" w:right="579" w:bottom="1440" w:gutter="0" w:footer="0" w:header="0"/>
        </w:sectPr>
      </w:pPr>
    </w:p>
    <w:bookmarkStart w:id="231" w:name="page232"/>
    <w:bookmarkEnd w:id="231"/>
    <w:p>
      <w:pPr>
        <w:jc w:val="right"/>
        <w:spacing w:after="0"/>
        <w:rPr>
          <w:sz w:val="20"/>
          <w:szCs w:val="20"/>
          <w:color w:val="auto"/>
        </w:rPr>
      </w:pPr>
      <w:r>
        <w:rPr>
          <w:rFonts w:ascii="Arial" w:cs="Arial" w:eastAsia="Arial" w:hAnsi="Arial"/>
          <w:sz w:val="22"/>
          <w:szCs w:val="22"/>
          <w:b w:val="1"/>
          <w:bCs w:val="1"/>
          <w:color w:val="auto"/>
        </w:rPr>
        <w:t>Exhibit 10.10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 SUBSCRIPTION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Investor Subscription Agreement (this “Agreement”) has been executed by the undersigned subscriber (the “Investor”). Upon its acceptance by Agrify Corporation, a Nevada corporation (the “Company”), it will be an agreement, dated the date of such acceptance, by and between the Investor and the Company.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the Investor desires to purchase the number of shares of Series A Preferred Stock described in the certificate of designation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“Preferred Stock” and, collectively with the Common Stock (as defined below) issuable upon the conversion thereof, the “Securities”) indicated on the signature page hereto for the price indicated on the signature page 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premises and the mutual agreements herein contained, the Investor and the Company agree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shall each have the respective meanings set forth in this Article.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shall mean the consummation of the purchase and sale of Securities as contemplated by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shall mean the date that is five business days after the date that the Company counter signs this Agreement and delivers 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the Investor.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 par value $0.001 per share.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and Exchange Act of 1934, as amended, and the rules promulgated thereunder.</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partnership, trust, incorporated or unincorporated association, joint venture, limited liability company, joint stock company, government (or an agency or political subdivision thereof) or other entity of any kind.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and the rules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 OF STOCK</w:t>
      </w:r>
    </w:p>
    <w:p>
      <w:pPr>
        <w:spacing w:after="0" w:line="229" w:lineRule="exact"/>
        <w:rPr>
          <w:sz w:val="20"/>
          <w:szCs w:val="20"/>
          <w:color w:val="auto"/>
        </w:rPr>
      </w:pPr>
    </w:p>
    <w:p>
      <w:pPr>
        <w:jc w:val="both"/>
        <w:ind w:left="340" w:firstLine="648"/>
        <w:spacing w:after="0" w:line="25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Covenants of Purchase and Sale</w:t>
      </w:r>
      <w:r>
        <w:rPr>
          <w:rFonts w:ascii="Arial" w:cs="Arial" w:eastAsia="Arial" w:hAnsi="Arial"/>
          <w:sz w:val="18"/>
          <w:szCs w:val="18"/>
          <w:color w:val="auto"/>
        </w:rPr>
        <w:t>. Subject to and upon the terms and conditions hereof, the Investor hereby irrevocably subscribes for and agrees to purchase from the Company such number of shares of Preferred Stock as set forth in the Company’s acceptance on the signature page of this Agreement and, upon acceptance by the Company of the Investor’s subscription, the Company shall sell such Preferred Stock to the Investor. Subject to the terms and conditions hereof, the Investor’s obligation to subscribe and pay for its shares of Preferred Stock shall be complete and binding upon the execution and delivery of this Agreement.</w:t>
      </w:r>
    </w:p>
    <w:p>
      <w:pPr>
        <w:spacing w:after="0" w:line="188" w:lineRule="exact"/>
        <w:rPr>
          <w:sz w:val="20"/>
          <w:szCs w:val="20"/>
          <w:color w:val="auto"/>
        </w:rPr>
      </w:pPr>
    </w:p>
    <w:p>
      <w:pPr>
        <w:jc w:val="both"/>
        <w:ind w:left="340" w:firstLine="648"/>
        <w:spacing w:after="0" w:line="263"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Closing</w:t>
      </w:r>
      <w:r>
        <w:rPr>
          <w:rFonts w:ascii="Arial" w:cs="Arial" w:eastAsia="Arial" w:hAnsi="Arial"/>
          <w:sz w:val="18"/>
          <w:szCs w:val="18"/>
          <w:color w:val="auto"/>
        </w:rPr>
        <w:t>. At the Closing, which will take place at the offices of Loeb &amp; Loeb LLP, counsel to the Company, on the Closing Date, the Investor will pay the Company the amount of money specified on the signature page hereto and the Company will issue to the Investor the Securities specified on the signature page hereto.</w:t>
      </w:r>
    </w:p>
    <w:p>
      <w:pPr>
        <w:spacing w:after="0" w:line="184" w:lineRule="exact"/>
        <w:rPr>
          <w:sz w:val="20"/>
          <w:szCs w:val="20"/>
          <w:color w:val="auto"/>
        </w:rPr>
      </w:pPr>
    </w:p>
    <w:p>
      <w:pPr>
        <w:jc w:val="both"/>
        <w:ind w:left="340" w:firstLine="648"/>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At the Closing, the Company will enter into a Registration Rights Agreement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with the Investor.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INVESTOR</w:t>
      </w:r>
    </w:p>
    <w:p>
      <w:pPr>
        <w:spacing w:after="0" w:line="229" w:lineRule="exact"/>
        <w:rPr>
          <w:sz w:val="20"/>
          <w:szCs w:val="20"/>
          <w:color w:val="auto"/>
        </w:rPr>
      </w:pPr>
    </w:p>
    <w:p>
      <w:pPr>
        <w:jc w:val="both"/>
        <w:ind w:left="340" w:firstLine="648"/>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Representations and Warranties of the Investor</w:t>
      </w:r>
      <w:r>
        <w:rPr>
          <w:rFonts w:ascii="Arial" w:cs="Arial" w:eastAsia="Arial" w:hAnsi="Arial"/>
          <w:sz w:val="18"/>
          <w:szCs w:val="18"/>
          <w:color w:val="auto"/>
        </w:rPr>
        <w:t>. (a) The Investor represents and warrants to and agrees with the Company that each of the following statements will be true on the date hereof and the Closing Date:</w:t>
      </w:r>
    </w:p>
    <w:p>
      <w:pPr>
        <w:spacing w:after="0" w:line="170" w:lineRule="exact"/>
        <w:rPr>
          <w:sz w:val="20"/>
          <w:szCs w:val="20"/>
          <w:color w:val="auto"/>
        </w:rPr>
      </w:pPr>
    </w:p>
    <w:p>
      <w:pPr>
        <w:ind w:firstLine="656"/>
        <w:spacing w:after="0" w:line="308" w:lineRule="auto"/>
        <w:tabs>
          <w:tab w:leader="none" w:pos="90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Investor, if an entity, has been duly formed and is validly existing in the state of its formation with all requisite power and authority to enter into this Agreement, to carry out the provisions and conditions hereof, and to consummate the transactions contemplated hereby.</w:t>
      </w:r>
    </w:p>
    <w:p>
      <w:pPr>
        <w:spacing w:after="0" w:line="146" w:lineRule="exact"/>
        <w:rPr>
          <w:rFonts w:ascii="Arial" w:cs="Arial" w:eastAsia="Arial" w:hAnsi="Arial"/>
          <w:sz w:val="17"/>
          <w:szCs w:val="17"/>
          <w:color w:val="auto"/>
        </w:rPr>
      </w:pPr>
    </w:p>
    <w:p>
      <w:pPr>
        <w:jc w:val="both"/>
        <w:ind w:firstLine="656"/>
        <w:spacing w:after="0" w:line="25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the Investor has been authorized by all necessary action and this Agreement is a legal, valid and binding agreement of the Investor enforceable against the Investor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1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Investor is acquiring the Securities for the Investor’s own account as principal and not with a view to, or for, resale, distribution or fractionalization thereof, in whole, or in part, subject, however, to any requirement of law that the disposition of such Investor’s property shall at all times be within its control, and no other person has or will have a direct or indirect beneficial interest in such Securities.</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jc w:val="both"/>
        <w:ind w:firstLine="656"/>
        <w:spacing w:after="0" w:line="291" w:lineRule="auto"/>
        <w:tabs>
          <w:tab w:leader="none" w:pos="91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Investor understands that (i) it must bear the economic risk of an investment in the Securities for an indefinite period of time because, among other reasons, the offer and sale of the Securities are intended to be exempt from registration under the Securities Act by virtue of Section 4(a)(2) of the Securities Act and are intended to be exempt from registration under any applicable state securities laws, and (ii) notwithstanding the consent of the Company, the Securities may not be sold, transferred, hypothecated or pledged, except pursuant to an effective registration statement under the Securities Act and under any applicable state securities law, or pursuant to an available exemption from the registration requirements of the Securities Act and any applicable state securities laws, in all cases established to the satisfaction of the Company, and that the Company is under no obligation to register the Securities or to assist such Investor in complying with any exemption from the registration thereof.</w:t>
      </w:r>
    </w:p>
    <w:p>
      <w:pPr>
        <w:spacing w:after="0" w:line="166" w:lineRule="exact"/>
        <w:rPr>
          <w:rFonts w:ascii="Arial" w:cs="Arial" w:eastAsia="Arial" w:hAnsi="Arial"/>
          <w:sz w:val="16"/>
          <w:szCs w:val="16"/>
          <w:color w:val="auto"/>
        </w:rPr>
      </w:pPr>
    </w:p>
    <w:p>
      <w:pPr>
        <w:jc w:val="both"/>
        <w:ind w:firstLine="656"/>
        <w:spacing w:after="0" w:line="290" w:lineRule="auto"/>
        <w:tabs>
          <w:tab w:leader="none" w:pos="90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The Investor (i) has been furnished with, and hereby acknowledges the receipt of, a copy of the documents which have been provided to the Investor upon the Investor’s request concerning the Company, (ii) is either an “accredited investor,” as defined in Rule 501 promulgated under the Securities Act (as described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or is not a “U.S. Person” as defined in Rule 902 of Regulation S promulgated under the Securities Act (as described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is purchasing the Securities solely for the account of non-U.S. persons and at the time this Agreement was entered into was outside the United States, (iii) understands the risks of, and other considerations relating to, a purchase of the Securities, (iv) understands that, to the extent that any information set forth in the material previously presented to it is inconsistent with the provisions of this Agreement, the provisions of this Agreement shall prevail and supersede such prior information, and (v) the Investor has been given the opportunity to obtain such additional information that it believes is necessary to verify the accuracy of the information contained in the documents referred to in clause (i), above.</w:t>
      </w:r>
    </w:p>
    <w:p>
      <w:pPr>
        <w:spacing w:after="0" w:line="165" w:lineRule="exact"/>
        <w:rPr>
          <w:rFonts w:ascii="Arial" w:cs="Arial" w:eastAsia="Arial" w:hAnsi="Arial"/>
          <w:sz w:val="16"/>
          <w:szCs w:val="16"/>
          <w:color w:val="auto"/>
        </w:rPr>
      </w:pPr>
    </w:p>
    <w:p>
      <w:pPr>
        <w:jc w:val="both"/>
        <w:ind w:firstLine="656"/>
        <w:spacing w:after="0" w:line="263" w:lineRule="auto"/>
        <w:tabs>
          <w:tab w:leader="none" w:pos="87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Investor has such knowledge and experience in financial affairs such that it is capable of evaluating the merits and risks of purchasing the Securities, and the Investor has not relied in connection with this investment upon any representations, warranties or agreements other than those set forth in this Agreement.</w:t>
      </w:r>
    </w:p>
    <w:p>
      <w:pPr>
        <w:spacing w:after="0" w:line="183" w:lineRule="exact"/>
        <w:rPr>
          <w:rFonts w:ascii="Arial" w:cs="Arial" w:eastAsia="Arial" w:hAnsi="Arial"/>
          <w:sz w:val="18"/>
          <w:szCs w:val="18"/>
          <w:color w:val="auto"/>
        </w:rPr>
      </w:pPr>
    </w:p>
    <w:p>
      <w:pPr>
        <w:ind w:firstLine="656"/>
        <w:spacing w:after="0" w:line="277" w:lineRule="auto"/>
        <w:tabs>
          <w:tab w:leader="none" w:pos="90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With respect to the tax and other economic considerations related to this investment, the Investor has relied only on the advice of the Investor’s own tax, legal, accounting and financial advisers.</w:t>
      </w:r>
    </w:p>
    <w:p>
      <w:pPr>
        <w:spacing w:after="0" w:line="170" w:lineRule="exact"/>
        <w:rPr>
          <w:rFonts w:ascii="Arial" w:cs="Arial" w:eastAsia="Arial" w:hAnsi="Arial"/>
          <w:sz w:val="18"/>
          <w:szCs w:val="18"/>
          <w:color w:val="auto"/>
        </w:rPr>
      </w:pPr>
    </w:p>
    <w:p>
      <w:pPr>
        <w:ind w:firstLine="656"/>
        <w:spacing w:after="0" w:line="277" w:lineRule="auto"/>
        <w:tabs>
          <w:tab w:leader="none" w:pos="90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Investor consents to the placement of a legend on any certificate or other document evidencing the Securities and the placement of “stop transfer” instructions on any certificate or other document evidencing the Securities with the Company’s transfer agent.</w:t>
      </w:r>
    </w:p>
    <w:p>
      <w:pPr>
        <w:spacing w:after="0" w:line="170" w:lineRule="exact"/>
        <w:rPr>
          <w:rFonts w:ascii="Arial" w:cs="Arial" w:eastAsia="Arial" w:hAnsi="Arial"/>
          <w:sz w:val="18"/>
          <w:szCs w:val="18"/>
          <w:color w:val="auto"/>
        </w:rPr>
      </w:pPr>
    </w:p>
    <w:p>
      <w:pPr>
        <w:ind w:right="20" w:firstLine="656"/>
        <w:spacing w:after="0" w:line="277" w:lineRule="auto"/>
        <w:tabs>
          <w:tab w:leader="none" w:pos="87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The Investor represents that the address furnished by the Investor in the Investor Questionnaire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is the Investor’s principal residence if he is an individual or its principal business address if it is a corporation or other entity.</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4" w:name="page235"/>
    <w:bookmarkEnd w:id="234"/>
    <w:p>
      <w:pPr>
        <w:jc w:val="both"/>
        <w:ind w:firstLine="656"/>
        <w:spacing w:after="0" w:line="254" w:lineRule="auto"/>
        <w:tabs>
          <w:tab w:leader="none" w:pos="87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Investor represents that neither the Investor nor any person having direct or indirect beneficial interests in the Securities to be acquired pursuant to this Agreement appears on the Specially Designated Nationals and Blocked Persons List of the Office of Foreign Assets Control of the United States Department of the Treasury or has been designated a terrorist or suspected terrorist pursuant to, or leader or official of an “entity” referred to in, Executive Order 13224. The Investor further represents that the Investor does not know or have any reason to suspect that (A) the monies used to fund the Investor’s investment in the Securities have been or will be derived from or related to any illegal activities or (B) the proceeds, if any, from the Investor’s investment in the Securities will be used to finance any illegal activities. Investor further understands that Company may release information about Investor to proper authorities if Company determines that it is in the best interests of Company in light of relevant rules and regulations under the laws referenced above.</w:t>
      </w:r>
    </w:p>
    <w:p>
      <w:pPr>
        <w:spacing w:after="0" w:line="191" w:lineRule="exact"/>
        <w:rPr>
          <w:rFonts w:ascii="Arial" w:cs="Arial" w:eastAsia="Arial" w:hAnsi="Arial"/>
          <w:sz w:val="18"/>
          <w:szCs w:val="18"/>
          <w:color w:val="auto"/>
        </w:rPr>
      </w:pPr>
    </w:p>
    <w:p>
      <w:pPr>
        <w:jc w:val="both"/>
        <w:ind w:firstLine="656"/>
        <w:spacing w:after="0" w:line="263" w:lineRule="auto"/>
        <w:tabs>
          <w:tab w:leader="none" w:pos="91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Investor understands and acknowledges that the Securities have not been recommended by any federal or state securities commission or regulatory authority, that the foregoing authorities have not confirmed the accuracy or determined the adequacy of any information concerning the Company that has been supplied to the Investor and that any representation to the contrary is a criminal offense.</w:t>
      </w:r>
    </w:p>
    <w:p>
      <w:pPr>
        <w:spacing w:after="0" w:line="183" w:lineRule="exact"/>
        <w:rPr>
          <w:rFonts w:ascii="Arial" w:cs="Arial" w:eastAsia="Arial" w:hAnsi="Arial"/>
          <w:sz w:val="18"/>
          <w:szCs w:val="18"/>
          <w:color w:val="auto"/>
        </w:rPr>
      </w:pPr>
    </w:p>
    <w:p>
      <w:pPr>
        <w:jc w:val="both"/>
        <w:ind w:firstLine="656"/>
        <w:spacing w:after="0" w:line="311" w:lineRule="auto"/>
        <w:tabs>
          <w:tab w:leader="none" w:pos="87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Investor represents that the Investor was not induced to invest in the Securities by any form of general solicitation or general advertising including, but not limited to, the following: (a) any advertisement, article, notice or other communication published in any newspaper, magazine or similar media or broadcast over the news or radio; and (b) any seminar or meeting whose attendees were invited by any general solicitation or advertising.</w:t>
      </w:r>
    </w:p>
    <w:p>
      <w:pPr>
        <w:spacing w:after="0" w:line="148" w:lineRule="exact"/>
        <w:rPr>
          <w:rFonts w:ascii="Arial" w:cs="Arial" w:eastAsia="Arial" w:hAnsi="Arial"/>
          <w:sz w:val="16"/>
          <w:szCs w:val="16"/>
          <w:color w:val="auto"/>
        </w:rPr>
      </w:pPr>
    </w:p>
    <w:p>
      <w:pPr>
        <w:ind w:right="20" w:firstLine="656"/>
        <w:spacing w:after="0" w:line="277" w:lineRule="auto"/>
        <w:tabs>
          <w:tab w:leader="none" w:pos="96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Investor acknowledges that the representations, warranties and agreements made by the Investor herein shall survive the execution and delivery of this Agreement and the purchase of the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COMPANY</w:t>
      </w:r>
    </w:p>
    <w:p>
      <w:pPr>
        <w:spacing w:after="0" w:line="211" w:lineRule="exact"/>
        <w:rPr>
          <w:sz w:val="20"/>
          <w:szCs w:val="20"/>
          <w:color w:val="auto"/>
        </w:rPr>
      </w:pPr>
    </w:p>
    <w:p>
      <w:pPr>
        <w:ind w:left="340" w:firstLine="648"/>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the Investor that each of the following statements will be true on the date hereof and the Closing Date:</w:t>
      </w:r>
    </w:p>
    <w:p>
      <w:pPr>
        <w:spacing w:after="0" w:line="170" w:lineRule="exact"/>
        <w:rPr>
          <w:sz w:val="20"/>
          <w:szCs w:val="20"/>
          <w:color w:val="auto"/>
        </w:rPr>
      </w:pPr>
    </w:p>
    <w:p>
      <w:pPr>
        <w:jc w:val="both"/>
        <w:ind w:firstLine="656"/>
        <w:spacing w:after="0" w:line="263" w:lineRule="auto"/>
        <w:tabs>
          <w:tab w:leader="none" w:pos="89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has been duly formed and is validly existing as a corporation under the laws of the State of Nevada, with all requisite corporate power and authority to enter into this Agreement, to carry out the provisions and conditions hereof, and to consummate the transactions contemplated hereby.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2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is duly qualified to transact business and is in good standing in every jurisdiction in which the character of the business conducted by it or permitted to be conducted by it makes such qualification necessary, except where the failure to be so qualified would not have a material adverse effect on the business operations or financial condition of the Company.</w:t>
      </w:r>
    </w:p>
    <w:p>
      <w:pPr>
        <w:spacing w:after="0" w:line="183" w:lineRule="exact"/>
        <w:rPr>
          <w:rFonts w:ascii="Arial" w:cs="Arial" w:eastAsia="Arial" w:hAnsi="Arial"/>
          <w:sz w:val="18"/>
          <w:szCs w:val="18"/>
          <w:color w:val="auto"/>
        </w:rPr>
      </w:pPr>
    </w:p>
    <w:p>
      <w:pPr>
        <w:jc w:val="both"/>
        <w:ind w:firstLine="656"/>
        <w:spacing w:after="0" w:line="257" w:lineRule="auto"/>
        <w:tabs>
          <w:tab w:leader="none" w:pos="90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the Company has been authorized by all necessary corporate action and this Agreement is a legal, valid and binding agreement of the Company enforceable against the Company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5" w:name="page236"/>
    <w:bookmarkEnd w:id="235"/>
    <w:p>
      <w:pPr>
        <w:jc w:val="both"/>
        <w:ind w:firstLine="656"/>
        <w:spacing w:after="0" w:line="271" w:lineRule="auto"/>
        <w:tabs>
          <w:tab w:leader="none" w:pos="90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"Issuer Covered Person" and, together, "Issuer Covered Persons") is subject to any of the "Bad Actor" disqualifications described in Rule 506(d)(1)(i) to (viii) under the Securities Act (a "Disqualification Event"),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jc w:val="both"/>
        <w:ind w:left="340" w:firstLine="648"/>
        <w:spacing w:after="0" w:line="26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contained herein or made in writing by the Investor or the Company in connection with the transactions contemplated by this Agreement shall survive the issue and sale of the Securities, notwithstanding any inquiry or investigation at any time made by or on behalf of the Investor or the Company.</w:t>
      </w:r>
    </w:p>
    <w:p>
      <w:pPr>
        <w:spacing w:after="0" w:line="184" w:lineRule="exact"/>
        <w:rPr>
          <w:sz w:val="20"/>
          <w:szCs w:val="20"/>
          <w:color w:val="auto"/>
        </w:rPr>
      </w:pPr>
    </w:p>
    <w:p>
      <w:pPr>
        <w:jc w:val="both"/>
        <w:ind w:left="340" w:firstLine="648"/>
        <w:spacing w:after="0" w:line="286"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Agreement to Lock-Up</w:t>
      </w:r>
      <w:r>
        <w:rPr>
          <w:rFonts w:ascii="Arial" w:cs="Arial" w:eastAsia="Arial" w:hAnsi="Arial"/>
          <w:sz w:val="16"/>
          <w:szCs w:val="16"/>
          <w:color w:val="auto"/>
        </w:rPr>
        <w:t xml:space="preserve">. Investor hereby agrees that it will not, without the prior written consent of the managing underwriter, during the period commencing on the date of the final prospectus relating to the Company’s initial public offering (the “IPO”) and ending on the date specified by the Company and the managing underwriter (such period not to exceed one hundred eighty (l80) days) (a) lend, offer, pledge, sell, contract to sell, sell any option or contract to purchase, purchase any option or contract to sell, grant any option, right or warrant to purchase, or otherwise transfer or dispose of, directly or indirectly, any shares of Preferred Stock or Common Stock held immediately prior to the effectiveness of the registration statement for the IPO; or (b) enter into any swap or other arrangement that transfers to another, in whole or in part, any of the economic consequences of ownership of such stock, whether any such transaction described in clause (a) or (b) above is to be settled by delivery of such stock or other securities, in cash or otherwise. The foregoing provisions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not apply to the sale of any shares to an underwriter pursuant to an underwriting agreement. The underwriters in connection with the IPO are intended third-party beneficiaries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and shall have the right, power and authority to enforce the provisions hereof as though they were a party hereto. Investor further agrees to execute such agreements as may be reasonably requested by the underwriters in the IPO that are consistent with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or that are necessary to give further effect thereto. In order to enforce the foregoing covenant, the Company may impose stop-transfer instructions with respect to the shares of Capital Stock of each Seller (and transferees and assignees thereof) until the end of such restricted period.</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jc w:val="both"/>
        <w:ind w:firstLine="648"/>
        <w:spacing w:after="0" w:line="279"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Assignments, Successors, and No Third-Party Rights</w:t>
      </w:r>
      <w:r>
        <w:rPr>
          <w:rFonts w:ascii="Arial" w:cs="Arial" w:eastAsia="Arial" w:hAnsi="Arial"/>
          <w:sz w:val="17"/>
          <w:szCs w:val="17"/>
          <w:color w:val="auto"/>
        </w:rPr>
        <w:t>. No party may assign any of its rights under this Agreement without the prior consent of the other parties. Subject to the preceding sentence, this Agreement will apply to, be binding in all respects upon, and inure to the benefit of and be enforceable by the respective successors and permitted assigns of the parties. This Agreement and all of its provisions and conditions are for the sole and exclusive benefit of the parties to this Agreement and their successors and assigns.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Entire Agreement and Modification</w:t>
      </w:r>
      <w:r>
        <w:rPr>
          <w:rFonts w:ascii="Arial" w:cs="Arial" w:eastAsia="Arial" w:hAnsi="Arial"/>
          <w:sz w:val="18"/>
          <w:szCs w:val="18"/>
          <w:color w:val="auto"/>
        </w:rPr>
        <w:t>. This Agreement supersedes all prior agreements between the parties with respect to its subject matter and constitutes (along with the documents referred to in this Agreement) a complete and exclusive statement of the terms of the agreement between the parties with respect to its subject matter. This Agreement may not be amended except by a written agreement executed by the party against whom the enforcement of such amendment is sought.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and the rights and obligations of the parties hereunder shall be governed by and interpreted, construed and enforced in accordance with the laws of the State of New York without giving effect to the conflicts of laws provisions thereof.</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Jurisdiction</w:t>
      </w:r>
      <w:r>
        <w:rPr>
          <w:rFonts w:ascii="Arial" w:cs="Arial" w:eastAsia="Arial" w:hAnsi="Arial"/>
          <w:sz w:val="18"/>
          <w:szCs w:val="18"/>
          <w:color w:val="auto"/>
        </w:rPr>
        <w:t>. Each of the parties hereto hereby irrevocably consents and submits to the jurisdiction of the Supreme Court of the State of New York and of the United States District Court for the Southern District of New York in connection with any suit, action or other proceeding arising pursuant to this Agreement, and hereby unconditionally and irrevocably waives any objection to venue in New York, New York, and agrees that service of any summons, complaint, notice or other process relating to such suit, action or other proceeding may be effected in the manner provided by applicable law. Each of the parties hereto unconditionally and irrevocably WAIVES ANY RIGHT SUCH PARTY MAY HAVE TO SEEK A JURY TRIAL in any such action, suit or other proceeding.</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separate counterparts, by facsimile or other electronic transmission, each of which shall be deemed an original, but the several counterparts shall together constitute but one and the same agreement of the parties hereto.</w:t>
      </w:r>
    </w:p>
    <w:p>
      <w:pPr>
        <w:spacing w:after="0" w:line="18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34"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6985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237" w:name="page238"/>
    <w:bookmarkEnd w:id="237"/>
    <w:p>
      <w:pPr>
        <w:ind w:left="1300"/>
        <w:spacing w:after="0"/>
        <w:rPr>
          <w:sz w:val="20"/>
          <w:szCs w:val="20"/>
          <w:color w:val="auto"/>
        </w:rPr>
      </w:pPr>
      <w:r>
        <w:rPr>
          <w:rFonts w:ascii="Arial" w:cs="Arial" w:eastAsia="Arial" w:hAnsi="Arial"/>
          <w:sz w:val="18"/>
          <w:szCs w:val="18"/>
          <w:color w:val="auto"/>
        </w:rPr>
        <w:t>IN WITNESS WHEREOF, the undersigned has executed this Investor Subscription Agreement effective as of the ___ day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 2020.</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Investor is an entity,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entity)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242570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(Print Name and Title of Authorized Signatory)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Investor is an individual, sign here: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14605</wp:posOffset>
            </wp:positionV>
            <wp:extent cx="231457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231457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14605</wp:posOffset>
            </wp:positionV>
            <wp:extent cx="231457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2314575" cy="17145"/>
                    </a:xfrm>
                    <a:prstGeom prst="rect">
                      <a:avLst/>
                    </a:prstGeom>
                    <a:noFill/>
                  </pic:spPr>
                </pic:pic>
              </a:graphicData>
            </a:graphic>
          </wp:anchor>
        </w:drawing>
      </w:r>
    </w:p>
    <w:p>
      <w:pPr>
        <w:spacing w:after="0" w:line="228" w:lineRule="exact"/>
        <w:rPr>
          <w:sz w:val="20"/>
          <w:szCs w:val="20"/>
          <w:color w:val="auto"/>
        </w:rPr>
      </w:pPr>
    </w:p>
    <w:p>
      <w:pPr>
        <w:ind w:right="1860"/>
        <w:spacing w:after="0" w:line="282" w:lineRule="auto"/>
        <w:rPr>
          <w:sz w:val="20"/>
          <w:szCs w:val="20"/>
          <w:color w:val="auto"/>
        </w:rPr>
      </w:pPr>
      <w:r>
        <w:rPr>
          <w:rFonts w:ascii="Arial" w:cs="Arial" w:eastAsia="Arial" w:hAnsi="Arial"/>
          <w:sz w:val="18"/>
          <w:szCs w:val="18"/>
          <w:b w:val="1"/>
          <w:bCs w:val="1"/>
          <w:color w:val="auto"/>
        </w:rPr>
        <w:t xml:space="preserve">Number of shares of Preferred Stock subscribed for at $100 per share: </w:t>
      </w:r>
      <w:r>
        <w:rPr>
          <w:rFonts w:ascii="Arial" w:cs="Arial" w:eastAsia="Arial" w:hAnsi="Arial"/>
          <w:sz w:val="18"/>
          <w:szCs w:val="18"/>
          <w:color w:val="auto"/>
        </w:rPr>
        <w:t>__________</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Aggregate Purchase Price: </w:t>
      </w:r>
      <w:r>
        <w:rPr>
          <w:rFonts w:ascii="Arial" w:cs="Arial" w:eastAsia="Arial" w:hAnsi="Arial"/>
          <w:sz w:val="18"/>
          <w:szCs w:val="18"/>
          <w:color w:val="auto"/>
        </w:rPr>
        <w:t>$___________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U.S. Tax ID Number or Social Security Account Number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405765</wp:posOffset>
            </wp:positionV>
            <wp:extent cx="284607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(if none, so state)</w:t>
      </w:r>
    </w:p>
    <w:p>
      <w:pPr>
        <w:spacing w:after="0" w:line="3948" w:lineRule="exact"/>
        <w:rPr>
          <w:sz w:val="20"/>
          <w:szCs w:val="20"/>
          <w:color w:val="auto"/>
        </w:rPr>
      </w:pPr>
    </w:p>
    <w:p>
      <w:pPr>
        <w:sectPr>
          <w:pgSz w:w="11900" w:h="16838" w:orient="portrait"/>
          <w:cols w:equalWidth="0" w:num="2">
            <w:col w:w="6040" w:space="720"/>
            <w:col w:w="4480"/>
          </w:cols>
          <w:pgMar w:left="320" w:top="908" w:right="339" w:bottom="1440" w:gutter="0" w:footer="0" w:header="0"/>
          <w:type w:val="continuous"/>
        </w:sect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b w:val="1"/>
          <w:bCs w:val="1"/>
          <w:u w:val="single" w:color="auto"/>
          <w:color w:val="auto"/>
        </w:rPr>
        <w:t>WIRE TRANSFER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wire transfer instructions for the Company’s account are as follows: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8" w:name="page239"/>
    <w:bookmarkEnd w:id="238"/>
    <w:p>
      <w:pPr>
        <w:ind w:left="4240"/>
        <w:spacing w:after="0"/>
        <w:rPr>
          <w:sz w:val="20"/>
          <w:szCs w:val="20"/>
          <w:color w:val="auto"/>
        </w:rPr>
      </w:pPr>
      <w:r>
        <w:rPr>
          <w:rFonts w:ascii="Arial" w:cs="Arial" w:eastAsia="Arial" w:hAnsi="Arial"/>
          <w:sz w:val="18"/>
          <w:szCs w:val="18"/>
          <w:color w:val="auto"/>
        </w:rPr>
        <w:t>ACCEPTANCE OF SUBSCRIPTION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Accepted as to ___________ shares of Preferred Stock for $______________ Aggregate Purchase Price.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Subscription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AGRIFY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39" w:name="page240"/>
    <w:bookmarkEnd w:id="239"/>
    <w:p>
      <w:pPr>
        <w:ind w:left="10220"/>
        <w:spacing w:after="0"/>
        <w:rPr>
          <w:sz w:val="20"/>
          <w:szCs w:val="20"/>
          <w:color w:val="auto"/>
        </w:rPr>
      </w:pPr>
      <w:r>
        <w:rPr>
          <w:rFonts w:ascii="Arial" w:cs="Arial" w:eastAsia="Arial" w:hAnsi="Arial"/>
          <w:sz w:val="16"/>
          <w:szCs w:val="16"/>
          <w:b w:val="1"/>
          <w:bCs w:val="1"/>
          <w:color w:val="auto"/>
        </w:rPr>
        <w:t>Exhibit 10.13</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THE ISSUANCE AND SALE OF THIS NOTE AND THE UNDERLYING SHARES OF COMMON STOCK REPRESENTED BY THIS CERTIFICATE HAVE NOT BEEN REGISTERED UNDER THE SECURITIES ACT OF 1933, AS AMENDED, OR APPLICABLE STATE SECURITIES LAWS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BORROWER.</w:t>
      </w:r>
    </w:p>
    <w:p>
      <w:pPr>
        <w:spacing w:after="0" w:line="189" w:lineRule="exact"/>
        <w:rPr>
          <w:sz w:val="20"/>
          <w:szCs w:val="20"/>
          <w:color w:val="auto"/>
        </w:rPr>
      </w:pPr>
    </w:p>
    <w:p>
      <w:pPr>
        <w:spacing w:after="0"/>
        <w:tabs>
          <w:tab w:leader="none" w:pos="8880" w:val="left"/>
        </w:tabs>
        <w:rPr>
          <w:sz w:val="20"/>
          <w:szCs w:val="20"/>
          <w:color w:val="auto"/>
        </w:rPr>
      </w:pPr>
      <w:r>
        <w:rPr>
          <w:rFonts w:ascii="Arial" w:cs="Arial" w:eastAsia="Arial" w:hAnsi="Arial"/>
          <w:sz w:val="18"/>
          <w:szCs w:val="18"/>
          <w:b w:val="1"/>
          <w:bCs w:val="1"/>
          <w:color w:val="auto"/>
        </w:rPr>
        <w:t>Principal Amount: $_______</w:t>
      </w:r>
      <w:r>
        <w:rPr>
          <w:sz w:val="20"/>
          <w:szCs w:val="20"/>
          <w:color w:val="auto"/>
        </w:rPr>
        <w:tab/>
      </w:r>
      <w:r>
        <w:rPr>
          <w:rFonts w:ascii="Arial" w:cs="Arial" w:eastAsia="Arial" w:hAnsi="Arial"/>
          <w:sz w:val="16"/>
          <w:szCs w:val="16"/>
          <w:b w:val="1"/>
          <w:bCs w:val="1"/>
          <w:color w:val="auto"/>
        </w:rPr>
        <w:t>Issuance Date: ________,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CONVERTIBLE PROMISSORY NOTE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FOR VALUE RECEIVED, </w:t>
      </w:r>
      <w:r>
        <w:rPr>
          <w:rFonts w:ascii="Arial" w:cs="Arial" w:eastAsia="Arial" w:hAnsi="Arial"/>
          <w:sz w:val="18"/>
          <w:szCs w:val="18"/>
          <w:b w:val="1"/>
          <w:bCs w:val="1"/>
          <w:color w:val="auto"/>
        </w:rPr>
        <w:t>AGRIFY CORPORATION,</w:t>
      </w:r>
      <w:r>
        <w:rPr>
          <w:rFonts w:ascii="Arial" w:cs="Arial" w:eastAsia="Arial" w:hAnsi="Arial"/>
          <w:sz w:val="18"/>
          <w:szCs w:val="18"/>
          <w:color w:val="auto"/>
        </w:rPr>
        <w:t xml:space="preserve"> a Nevada corporation (hereinafter called “</w:t>
      </w:r>
      <w:r>
        <w:rPr>
          <w:rFonts w:ascii="Arial" w:cs="Arial" w:eastAsia="Arial" w:hAnsi="Arial"/>
          <w:sz w:val="18"/>
          <w:szCs w:val="18"/>
          <w:b w:val="1"/>
          <w:bCs w:val="1"/>
          <w:color w:val="auto"/>
        </w:rPr>
        <w:t>Borrower</w:t>
      </w:r>
      <w:r>
        <w:rPr>
          <w:rFonts w:ascii="Arial" w:cs="Arial" w:eastAsia="Arial" w:hAnsi="Arial"/>
          <w:sz w:val="18"/>
          <w:szCs w:val="18"/>
          <w:color w:val="auto"/>
        </w:rPr>
        <w:t>”), hereby promises to pay to the order of ____________________ (the “</w:t>
      </w:r>
      <w:r>
        <w:rPr>
          <w:rFonts w:ascii="Arial" w:cs="Arial" w:eastAsia="Arial" w:hAnsi="Arial"/>
          <w:sz w:val="18"/>
          <w:szCs w:val="18"/>
          <w:b w:val="1"/>
          <w:bCs w:val="1"/>
          <w:color w:val="auto"/>
        </w:rPr>
        <w:t>Holder</w:t>
      </w:r>
      <w:r>
        <w:rPr>
          <w:rFonts w:ascii="Arial" w:cs="Arial" w:eastAsia="Arial" w:hAnsi="Arial"/>
          <w:sz w:val="18"/>
          <w:szCs w:val="18"/>
          <w:color w:val="auto"/>
        </w:rPr>
        <w:t xml:space="preserve">”), without demand, the sum of _______________________ </w:t>
      </w:r>
      <w:r>
        <w:rPr>
          <w:rFonts w:ascii="Arial" w:cs="Arial" w:eastAsia="Arial" w:hAnsi="Arial"/>
          <w:sz w:val="18"/>
          <w:szCs w:val="18"/>
          <w:b w:val="1"/>
          <w:bCs w:val="1"/>
          <w:color w:val="auto"/>
        </w:rPr>
        <w:t>Dollars ($_________),</w:t>
      </w:r>
      <w:r>
        <w:rPr>
          <w:rFonts w:ascii="Arial" w:cs="Arial" w:eastAsia="Arial" w:hAnsi="Arial"/>
          <w:sz w:val="18"/>
          <w:szCs w:val="18"/>
          <w:color w:val="auto"/>
        </w:rPr>
        <w:t xml:space="preserve"> with interest accruing as stated below, on the Maturity Date (as defined below).</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convertible promissory note (this “</w:t>
      </w:r>
      <w:r>
        <w:rPr>
          <w:rFonts w:ascii="Arial" w:cs="Arial" w:eastAsia="Arial" w:hAnsi="Arial"/>
          <w:sz w:val="16"/>
          <w:szCs w:val="16"/>
          <w:b w:val="1"/>
          <w:bCs w:val="1"/>
          <w:color w:val="auto"/>
        </w:rPr>
        <w:t>Note</w:t>
      </w:r>
      <w:r>
        <w:rPr>
          <w:rFonts w:ascii="Arial" w:cs="Arial" w:eastAsia="Arial" w:hAnsi="Arial"/>
          <w:sz w:val="16"/>
          <w:szCs w:val="16"/>
          <w:color w:val="auto"/>
        </w:rPr>
        <w:t>”) amends and restates in its entirety the convertible promissory note issued to the Holder pursuant to the terms of a note and warrant purchase agreement (the “</w:t>
      </w:r>
      <w:r>
        <w:rPr>
          <w:rFonts w:ascii="Arial" w:cs="Arial" w:eastAsia="Arial" w:hAnsi="Arial"/>
          <w:sz w:val="16"/>
          <w:szCs w:val="16"/>
          <w:b w:val="1"/>
          <w:bCs w:val="1"/>
          <w:color w:val="auto"/>
        </w:rPr>
        <w:t>Purchase Agreement</w:t>
      </w:r>
      <w:r>
        <w:rPr>
          <w:rFonts w:ascii="Arial" w:cs="Arial" w:eastAsia="Arial" w:hAnsi="Arial"/>
          <w:sz w:val="16"/>
          <w:szCs w:val="16"/>
          <w:color w:val="auto"/>
        </w:rPr>
        <w:t>”) dated as of _________, 2021 by and among the Borrower, the Holder</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certain other holders (the “</w:t>
      </w:r>
      <w:r>
        <w:rPr>
          <w:rFonts w:ascii="Arial" w:cs="Arial" w:eastAsia="Arial" w:hAnsi="Arial"/>
          <w:sz w:val="18"/>
          <w:szCs w:val="18"/>
          <w:b w:val="1"/>
          <w:bCs w:val="1"/>
          <w:color w:val="auto"/>
        </w:rPr>
        <w:t>Other Holders</w:t>
      </w:r>
      <w:r>
        <w:rPr>
          <w:rFonts w:ascii="Arial" w:cs="Arial" w:eastAsia="Arial" w:hAnsi="Arial"/>
          <w:sz w:val="18"/>
          <w:szCs w:val="18"/>
          <w:color w:val="auto"/>
        </w:rPr>
        <w:t>”) of convertible promissory notes (the “</w:t>
      </w:r>
      <w:r>
        <w:rPr>
          <w:rFonts w:ascii="Arial" w:cs="Arial" w:eastAsia="Arial" w:hAnsi="Arial"/>
          <w:sz w:val="18"/>
          <w:szCs w:val="18"/>
          <w:b w:val="1"/>
          <w:bCs w:val="1"/>
          <w:color w:val="auto"/>
        </w:rPr>
        <w:t>Other Notes</w:t>
      </w:r>
      <w:r>
        <w:rPr>
          <w:rFonts w:ascii="Arial" w:cs="Arial" w:eastAsia="Arial" w:hAnsi="Arial"/>
          <w:sz w:val="18"/>
          <w:szCs w:val="18"/>
          <w:color w:val="auto"/>
        </w:rPr>
        <w:t>”) for an aggregate principal amount of up to $13,500,000. Unless otherwise separately defined herein, each capitalized term used in this Note shall have the same meaning as set forth in the Purchase Agreement. The following terms shall apply to this Note:</w:t>
      </w:r>
    </w:p>
    <w:p>
      <w:pPr>
        <w:spacing w:after="0" w:line="18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MATURITY DATE; INTEREST PAYMENTS; CONVERSION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Maturity Date.</w:t>
      </w:r>
    </w:p>
    <w:p>
      <w:pPr>
        <w:spacing w:after="0" w:line="225" w:lineRule="exact"/>
        <w:rPr>
          <w:sz w:val="20"/>
          <w:szCs w:val="20"/>
          <w:color w:val="auto"/>
        </w:rPr>
      </w:pPr>
    </w:p>
    <w:p>
      <w:pPr>
        <w:jc w:val="both"/>
        <w:ind w:firstLine="656"/>
        <w:spacing w:after="0" w:line="269" w:lineRule="auto"/>
        <w:tabs>
          <w:tab w:leader="none" w:pos="89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The initial maturity date of this Note shall be one year from the issuance date first set forth above,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the Borrower may in its sole discretion extend the initial maturity date of this Note for an additional one year (the “</w:t>
      </w:r>
      <w:r>
        <w:rPr>
          <w:rFonts w:ascii="Arial" w:cs="Arial" w:eastAsia="Arial" w:hAnsi="Arial"/>
          <w:sz w:val="17"/>
          <w:szCs w:val="17"/>
          <w:b w:val="1"/>
          <w:bCs w:val="1"/>
          <w:color w:val="auto"/>
        </w:rPr>
        <w:t>Maturity Date Extension</w:t>
      </w:r>
      <w:r>
        <w:rPr>
          <w:rFonts w:ascii="Arial" w:cs="Arial" w:eastAsia="Arial" w:hAnsi="Arial"/>
          <w:sz w:val="17"/>
          <w:szCs w:val="17"/>
          <w:color w:val="auto"/>
        </w:rPr>
        <w:t>”) in the event that the Borrower has not repaid in full the principal amount and accrued interest evidenced by this Note by the initial maturity date (the initial maturity date, or such date as extended, is hereinafter referred to as the “</w:t>
      </w:r>
      <w:r>
        <w:rPr>
          <w:rFonts w:ascii="Arial" w:cs="Arial" w:eastAsia="Arial" w:hAnsi="Arial"/>
          <w:sz w:val="17"/>
          <w:szCs w:val="17"/>
          <w:b w:val="1"/>
          <w:bCs w:val="1"/>
          <w:color w:val="auto"/>
        </w:rPr>
        <w:t>Maturity Date</w:t>
      </w:r>
      <w:r>
        <w:rPr>
          <w:rFonts w:ascii="Arial" w:cs="Arial" w:eastAsia="Arial" w:hAnsi="Arial"/>
          <w:sz w:val="17"/>
          <w:szCs w:val="17"/>
          <w:color w:val="auto"/>
        </w:rPr>
        <w:t>”). In the event the Borrower determines to effectuate the Maturity Date Extension, the Borrower shall provide written notice to the Holder and issue to the Holder additional Warrants in accordance with the terms of the Purchase Agreement. Notwithstanding anything contained in this Section 1.1 to the contrary, in the event of a Public Transaction (as defined below) during the term of this Note, the Maturity Date shall be the date of the consummation of the Public Transaction. For purposes of this Note, a “</w:t>
      </w:r>
      <w:r>
        <w:rPr>
          <w:rFonts w:ascii="Arial" w:cs="Arial" w:eastAsia="Arial" w:hAnsi="Arial"/>
          <w:sz w:val="17"/>
          <w:szCs w:val="17"/>
          <w:b w:val="1"/>
          <w:bCs w:val="1"/>
          <w:color w:val="auto"/>
        </w:rPr>
        <w:t>Public Transaction</w:t>
      </w:r>
      <w:r>
        <w:rPr>
          <w:rFonts w:ascii="Arial" w:cs="Arial" w:eastAsia="Arial" w:hAnsi="Arial"/>
          <w:sz w:val="17"/>
          <w:szCs w:val="17"/>
          <w:color w:val="auto"/>
        </w:rPr>
        <w:t>” shall mean: (i) the Borrower (a) becoming a reporting issuer in the United States through either the filing of a prospectus or registration statement or a merger, business combination or similar transaction with an existing reporting issuer, and (b) the common stock of the Borrower (the “</w:t>
      </w:r>
      <w:r>
        <w:rPr>
          <w:rFonts w:ascii="Arial" w:cs="Arial" w:eastAsia="Arial" w:hAnsi="Arial"/>
          <w:sz w:val="17"/>
          <w:szCs w:val="17"/>
          <w:b w:val="1"/>
          <w:bCs w:val="1"/>
          <w:color w:val="auto"/>
        </w:rPr>
        <w:t>Common Stock</w:t>
      </w:r>
      <w:r>
        <w:rPr>
          <w:rFonts w:ascii="Arial" w:cs="Arial" w:eastAsia="Arial" w:hAnsi="Arial"/>
          <w:sz w:val="17"/>
          <w:szCs w:val="17"/>
          <w:color w:val="auto"/>
        </w:rPr>
        <w:t>”) or other reporting issuer resulting from such a transaction is listed for trading on NASDAQ, NYSE, NYSE American or similar nationally recognized stock exchange (a “</w:t>
      </w:r>
      <w:r>
        <w:rPr>
          <w:rFonts w:ascii="Arial" w:cs="Arial" w:eastAsia="Arial" w:hAnsi="Arial"/>
          <w:sz w:val="17"/>
          <w:szCs w:val="17"/>
          <w:b w:val="1"/>
          <w:bCs w:val="1"/>
          <w:color w:val="auto"/>
        </w:rPr>
        <w:t>National Exchange</w:t>
      </w:r>
      <w:r>
        <w:rPr>
          <w:rFonts w:ascii="Arial" w:cs="Arial" w:eastAsia="Arial" w:hAnsi="Arial"/>
          <w:sz w:val="17"/>
          <w:szCs w:val="17"/>
          <w:color w:val="auto"/>
        </w:rPr>
        <w:t>”), or (ii) upon the consummation of an underwritten public offering of the Common Stock and the Common Stock is listed on a National Exchange.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0" w:name="page241"/>
    <w:bookmarkEnd w:id="240"/>
    <w:p>
      <w:pPr>
        <w:jc w:val="both"/>
        <w:ind w:firstLine="648"/>
        <w:spacing w:after="0" w:line="28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Interest Payments</w:t>
      </w:r>
      <w:r>
        <w:rPr>
          <w:rFonts w:ascii="Arial" w:cs="Arial" w:eastAsia="Arial" w:hAnsi="Arial"/>
          <w:sz w:val="17"/>
          <w:szCs w:val="17"/>
          <w:color w:val="auto"/>
        </w:rPr>
        <w:t>. Solely in the event the Borrower determines to effectuate the Maturity Date Extension, the outstanding principal balance of this Note shall bear interest, in arrears accruing as of the issuance date of this Note, at a rate per annum equal to eight percent (8%). Interest shall be computed on the basis of a 360-day year of twelve (12) 30-day months and shall be payable on the Maturity Date, as extended.</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Conversion of Principal and Interest upon Public Transaction</w:t>
      </w:r>
      <w:r>
        <w:rPr>
          <w:rFonts w:ascii="Arial" w:cs="Arial" w:eastAsia="Arial" w:hAnsi="Arial"/>
          <w:sz w:val="17"/>
          <w:szCs w:val="17"/>
          <w:color w:val="auto"/>
        </w:rPr>
        <w:t>. Immediately prior to the consummation of a Public Transaction (the “</w:t>
      </w:r>
      <w:r>
        <w:rPr>
          <w:rFonts w:ascii="Arial" w:cs="Arial" w:eastAsia="Arial" w:hAnsi="Arial"/>
          <w:sz w:val="17"/>
          <w:szCs w:val="17"/>
          <w:b w:val="1"/>
          <w:bCs w:val="1"/>
          <w:color w:val="auto"/>
        </w:rPr>
        <w:t>Conversion Date</w:t>
      </w:r>
      <w:r>
        <w:rPr>
          <w:rFonts w:ascii="Arial" w:cs="Arial" w:eastAsia="Arial" w:hAnsi="Arial"/>
          <w:sz w:val="17"/>
          <w:szCs w:val="17"/>
          <w:color w:val="auto"/>
        </w:rPr>
        <w:t>”), the outstanding principal amount of this Note together with all accrued and unpaid interest hereunder shall convert, at the option of the Borrower or the Holder, into a number of fully paid and nonassessable shares of Common Stock equal to the quotient of (i) the outstanding principal amount of this Note together with all accrued and unpaid interest hereunder immediately prior to such Public Transaction divided by (ii) the Conversion Price. The per share “</w:t>
      </w:r>
      <w:r>
        <w:rPr>
          <w:rFonts w:ascii="Arial" w:cs="Arial" w:eastAsia="Arial" w:hAnsi="Arial"/>
          <w:sz w:val="17"/>
          <w:szCs w:val="17"/>
          <w:b w:val="1"/>
          <w:bCs w:val="1"/>
          <w:color w:val="auto"/>
        </w:rPr>
        <w:t>Conversion Price</w:t>
      </w:r>
      <w:r>
        <w:rPr>
          <w:rFonts w:ascii="Arial" w:cs="Arial" w:eastAsia="Arial" w:hAnsi="Arial"/>
          <w:sz w:val="17"/>
          <w:szCs w:val="17"/>
          <w:color w:val="auto"/>
        </w:rPr>
        <w:t>” shall mean $4.88, subject to subsequent adjustment under Section 1.6 hereof.</w:t>
      </w:r>
    </w:p>
    <w:p>
      <w:pPr>
        <w:spacing w:after="0" w:line="17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All payments made on this Note and the Other Notes and except as otherwise set forth herein all actions taken by the Borrower with respect to this Note and the Other Notes, shall be made and taken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respect to this Note and the Other Notes.</w:t>
      </w:r>
    </w:p>
    <w:p>
      <w:pPr>
        <w:spacing w:after="0" w:line="14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Miscellaneous</w:t>
      </w:r>
      <w:r>
        <w:rPr>
          <w:rFonts w:ascii="Arial" w:cs="Arial" w:eastAsia="Arial" w:hAnsi="Arial"/>
          <w:sz w:val="16"/>
          <w:szCs w:val="16"/>
          <w:color w:val="auto"/>
        </w:rPr>
        <w:t>. Principal on this Note and other payments in connection with this Note shall be payable at the Holder’s offices as designated above in lawful money of the United States of America in immediately available funds without set-off, deduction or counterclaim. Upon assignment of the interest of Holder in this Note, Borrower shall instead make its payment pursuant to the assignee’s instructions upon receipt of written notice thereof.</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Adjustment of Conversion Price</w:t>
      </w:r>
      <w:r>
        <w:rPr>
          <w:rFonts w:ascii="Arial" w:cs="Arial" w:eastAsia="Arial" w:hAnsi="Arial"/>
          <w:sz w:val="18"/>
          <w:szCs w:val="18"/>
          <w:color w:val="auto"/>
        </w:rPr>
        <w:t>. The Conversion Price shall be subject to adjustment from time to time as follows:</w:t>
      </w:r>
    </w:p>
    <w:p>
      <w:pPr>
        <w:spacing w:after="0" w:line="225" w:lineRule="exact"/>
        <w:rPr>
          <w:sz w:val="20"/>
          <w:szCs w:val="20"/>
          <w:color w:val="auto"/>
        </w:rPr>
      </w:pPr>
    </w:p>
    <w:p>
      <w:pPr>
        <w:jc w:val="both"/>
        <w:ind w:firstLine="1952"/>
        <w:spacing w:after="0" w:line="275" w:lineRule="auto"/>
        <w:tabs>
          <w:tab w:leader="none" w:pos="2202"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Adjustments for Stock Splits and Combinations</w:t>
      </w:r>
      <w:r>
        <w:rPr>
          <w:rFonts w:ascii="Arial" w:cs="Arial" w:eastAsia="Arial" w:hAnsi="Arial"/>
          <w:sz w:val="17"/>
          <w:szCs w:val="17"/>
          <w:color w:val="auto"/>
        </w:rPr>
        <w:t>. If the Borrower shall at any time or from time to time after the Issuance Date, effect a stock split of the outstanding Common Stock, the applicable Conversion Price in effect immediately prior to the stock split shall be proportionately decreased. If the Borrower shall at any time or from time to time after the Issuance Date, combine the outstanding shares of Common Stock, the applicable Conversion Price in effect immediately prior to the combination shall be proportionately increased. Any adjustments under this Section 3.4(a)(i) shall be effective at the close of business on the date the stock split or combination occurs.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jc w:val="both"/>
        <w:ind w:firstLine="1952"/>
        <w:spacing w:after="0" w:line="257" w:lineRule="auto"/>
        <w:tabs>
          <w:tab w:leader="none" w:pos="2226"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Adjustments for Certain Dividends and Distributions</w:t>
      </w:r>
      <w:r>
        <w:rPr>
          <w:rFonts w:ascii="Arial" w:cs="Arial" w:eastAsia="Arial" w:hAnsi="Arial"/>
          <w:sz w:val="18"/>
          <w:szCs w:val="18"/>
          <w:color w:val="auto"/>
        </w:rPr>
        <w:t>. If the Borrower shall at any time or from time to time after the Issuance Date, make or issue or set a record date for the determination of holders of Common Stock entitled to receive a dividend or other distribution payable in shares of Common Stock, then, and in each event, the applicable Conversion Price in effect immediately prior to such event shall be decreased as of the time of such issuance or, in the event such record date shall have been fixed, as of the close of business on such record date, by multiplying, the applicable Conversion Price then in effect by a fraction:</w:t>
      </w:r>
    </w:p>
    <w:p>
      <w:pPr>
        <w:spacing w:after="0" w:line="187" w:lineRule="exact"/>
        <w:rPr>
          <w:rFonts w:ascii="Arial" w:cs="Arial" w:eastAsia="Arial" w:hAnsi="Arial"/>
          <w:sz w:val="18"/>
          <w:szCs w:val="18"/>
          <w:color w:val="auto"/>
        </w:rPr>
      </w:pPr>
    </w:p>
    <w:p>
      <w:pPr>
        <w:ind w:firstLine="2600"/>
        <w:spacing w:after="0" w:line="277" w:lineRule="auto"/>
        <w:tabs>
          <w:tab w:leader="none" w:pos="285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jc w:val="both"/>
        <w:ind w:firstLine="2600"/>
        <w:spacing w:after="0" w:line="263" w:lineRule="auto"/>
        <w:tabs>
          <w:tab w:leader="none" w:pos="284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3" w:lineRule="exact"/>
        <w:rPr>
          <w:rFonts w:ascii="Arial" w:cs="Arial" w:eastAsia="Arial" w:hAnsi="Arial"/>
          <w:sz w:val="18"/>
          <w:szCs w:val="18"/>
          <w:color w:val="auto"/>
        </w:rPr>
      </w:pPr>
    </w:p>
    <w:p>
      <w:pPr>
        <w:jc w:val="both"/>
        <w:ind w:firstLine="1952"/>
        <w:spacing w:after="0" w:line="288" w:lineRule="auto"/>
        <w:tabs>
          <w:tab w:leader="none" w:pos="2188"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Adjustment for Other Dividends and Distributions</w:t>
      </w:r>
      <w:r>
        <w:rPr>
          <w:rFonts w:ascii="Arial" w:cs="Arial" w:eastAsia="Arial" w:hAnsi="Arial"/>
          <w:sz w:val="16"/>
          <w:szCs w:val="16"/>
          <w:color w:val="auto"/>
        </w:rPr>
        <w:t xml:space="preserve">. If the Borrower shall at any time or from time to time after the Issuance Date, make or issue or set a record date for the determination of holders of Common Stock entitled to receive a dividend or other distribution payable in other than shares of Common Stock, then, and in each event, an appropriate revision to the applicable Conversion Price shall be made and provision shall be made (by adjustments of the Conversion Price or otherwise) so that the holders of this Note shall receive upon conversions thereof, in addition to the number of shares of Common Stock receivable thereon, the number of securities of the Borrower which they would have received had this Note been converted into Common Stock on the date of such event and had thereafter, during the period from the date of such event to and including the Conversion Date, retained such securities (together with any distributions payable thereon during such period), giving application to all adjustments called for during such period under this Section 1.5(c) with respect to the rights of the holders of this Note and the Other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record date shall have been fixed and such dividend is not fully paid or if such distribution is not fully made on the date fixed therefor, the Conversion Price shall be adjusted pursuant to this paragraph as of the time of actual payment of such dividends or distributions.</w:t>
      </w:r>
    </w:p>
    <w:p>
      <w:pPr>
        <w:spacing w:after="0" w:line="168" w:lineRule="exact"/>
        <w:rPr>
          <w:rFonts w:ascii="Arial" w:cs="Arial" w:eastAsia="Arial" w:hAnsi="Arial"/>
          <w:sz w:val="16"/>
          <w:szCs w:val="16"/>
          <w:color w:val="auto"/>
        </w:rPr>
      </w:pPr>
    </w:p>
    <w:p>
      <w:pPr>
        <w:jc w:val="both"/>
        <w:ind w:firstLine="1952"/>
        <w:spacing w:after="0" w:line="254" w:lineRule="auto"/>
        <w:tabs>
          <w:tab w:leader="none" w:pos="2199"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Adjustments for Reclassification, Exchange or Substitution</w:t>
      </w:r>
      <w:r>
        <w:rPr>
          <w:rFonts w:ascii="Arial" w:cs="Arial" w:eastAsia="Arial" w:hAnsi="Arial"/>
          <w:sz w:val="18"/>
          <w:szCs w:val="18"/>
          <w:color w:val="auto"/>
        </w:rPr>
        <w:t>. If the Common Stock issuable upon conversion of this Note at any time or from time to time after the Issuance Date shall be changed to the same or different number of shares of any class or classes of stock, whether by reclassification, exchange, substitution or otherwise (other than by way of a stock split or combination of shares or stock dividends provided for in Sections 1.5(a), (b) or (c), then, and in each event, an appropriate revision to the Conversion Price shall be made and provisions shall be made (by adjustments of the Conversion Price or otherwise) so that the Holder shall have the right thereafter to convert this Note into the kind and amount of shares of stock and other securities receivable upon reclassification, exchange, substitution or other change, by holders of the number of shares of Common Stock into which such Note might have been converted immediately prior to such reclassification, exchange, substitution or other change, all subject to further adjustment as provided herein.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jc w:val="both"/>
        <w:ind w:firstLine="1952"/>
        <w:spacing w:after="0" w:line="268" w:lineRule="auto"/>
        <w:tabs>
          <w:tab w:leader="none" w:pos="2188"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Adjustment for Merger or Reorganization, etc</w:t>
      </w:r>
      <w:r>
        <w:rPr>
          <w:rFonts w:ascii="Arial" w:cs="Arial" w:eastAsia="Arial" w:hAnsi="Arial"/>
          <w:sz w:val="17"/>
          <w:szCs w:val="17"/>
          <w:i w:val="1"/>
          <w:iCs w:val="1"/>
          <w:color w:val="auto"/>
        </w:rPr>
        <w:t>.</w:t>
      </w:r>
      <w:r>
        <w:rPr>
          <w:rFonts w:ascii="Arial" w:cs="Arial" w:eastAsia="Arial" w:hAnsi="Arial"/>
          <w:sz w:val="17"/>
          <w:szCs w:val="17"/>
          <w:color w:val="auto"/>
        </w:rPr>
        <w:t xml:space="preserve"> If at any time or from time to time after the Issuance Date there shall occur any reorganization, recapitalization, consolidation, merger or other similar reorganization event (collectively, the “</w:t>
      </w:r>
      <w:r>
        <w:rPr>
          <w:rFonts w:ascii="Arial" w:cs="Arial" w:eastAsia="Arial" w:hAnsi="Arial"/>
          <w:sz w:val="17"/>
          <w:szCs w:val="17"/>
          <w:b w:val="1"/>
          <w:bCs w:val="1"/>
          <w:color w:val="auto"/>
        </w:rPr>
        <w:t>Reorganization Adjustment Event</w:t>
      </w:r>
      <w:r>
        <w:rPr>
          <w:rFonts w:ascii="Arial" w:cs="Arial" w:eastAsia="Arial" w:hAnsi="Arial"/>
          <w:sz w:val="17"/>
          <w:szCs w:val="17"/>
          <w:color w:val="auto"/>
        </w:rPr>
        <w:t>”) involving the Borrower (other than in connection with a Public Transaction pursuant to Section 1.3 hereof or pursuant to paragraphs (a) through (d) of this Section 1.6) in which shares of Common Stock (but not shares of the Borrower’s Series A Preferred Stock) are converted into or exchanged for securities, cash or other property (other than in connection with a Public Transaction pursuant to Section 1.3 hereof or pursuant to paragraphs (a) through (d) of this Section 1.6), then, following any such Reorganization Adjustment Event, the principal amount of this Note shall thereafter be convertible (without taking into account any limitations or restrictions on the convertibility of this Note), in lieu of the shares of Common Stock, into the kind and amount of securities, cash or other property which a holder of the number of shares of Common Stock of the Borrower issuable upon conversion of this Note immediately prior to such Reorganization Adjustment Event would have been entitled to receive pursuant to such transaction; and, in such case, appropriate adjustment (as determined in good faith by the Board of Directors) shall be made in the application of the provisions in this Section 1.6(e) with respect to the rights and interests thereafter of the holder of this Note, to the end that the provisions set forth in this Section 1.6(e) (including provisions with respect to changes in and other adjustments to the Conversion Price) shall thereafter be applicable, as nearly as reasonably may be, in relation to any securities or other property thereafter deliverable upon the conversion of this Note.</w:t>
      </w:r>
    </w:p>
    <w:p>
      <w:pPr>
        <w:spacing w:after="0" w:line="186" w:lineRule="exact"/>
        <w:rPr>
          <w:rFonts w:ascii="Arial" w:cs="Arial" w:eastAsia="Arial" w:hAnsi="Arial"/>
          <w:sz w:val="17"/>
          <w:szCs w:val="17"/>
          <w:color w:val="auto"/>
        </w:rPr>
      </w:pPr>
    </w:p>
    <w:p>
      <w:pPr>
        <w:jc w:val="both"/>
        <w:ind w:firstLine="1952"/>
        <w:spacing w:after="0" w:line="259" w:lineRule="auto"/>
        <w:tabs>
          <w:tab w:leader="none" w:pos="2169"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Adjustment for Decrease in Aggregate Valuation on Mandatory Conversion Date</w:t>
      </w:r>
      <w:r>
        <w:rPr>
          <w:rFonts w:ascii="Arial" w:cs="Arial" w:eastAsia="Arial" w:hAnsi="Arial"/>
          <w:sz w:val="18"/>
          <w:szCs w:val="18"/>
          <w:color w:val="auto"/>
        </w:rPr>
        <w:t>. In the event the aggregate valuation of the Borrower on the Conversion Date as determined in good faith by the Borrower’s board of directors (the “</w:t>
      </w:r>
      <w:r>
        <w:rPr>
          <w:rFonts w:ascii="Arial" w:cs="Arial" w:eastAsia="Arial" w:hAnsi="Arial"/>
          <w:sz w:val="18"/>
          <w:szCs w:val="18"/>
          <w:b w:val="1"/>
          <w:bCs w:val="1"/>
          <w:color w:val="auto"/>
        </w:rPr>
        <w:t>Aggregate Valuation</w:t>
      </w:r>
      <w:r>
        <w:rPr>
          <w:rFonts w:ascii="Arial" w:cs="Arial" w:eastAsia="Arial" w:hAnsi="Arial"/>
          <w:sz w:val="18"/>
          <w:szCs w:val="18"/>
          <w:color w:val="auto"/>
        </w:rPr>
        <w:t>”) is less than $100,000,000, the Conversion Price then in effect shall be adjusted to a price equal to (A) the Aggregate Valuation divided by $100,000,000, multiplied by (B) the Conversion Price then in effect.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occurrence of any of the following events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 shall, at the option of the Holder hereof, make all sums of principal then remaining unpaid hereon and all other amounts payable hereunder immediately due and payable, upon demand, without presentment or grace period, all of which hereby are expressly waived, except as set forth below:</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Failure to Pay Principal</w:t>
      </w:r>
      <w:r>
        <w:rPr>
          <w:rFonts w:ascii="Arial" w:cs="Arial" w:eastAsia="Arial" w:hAnsi="Arial"/>
          <w:sz w:val="18"/>
          <w:szCs w:val="18"/>
          <w:color w:val="auto"/>
        </w:rPr>
        <w:t>. The Borrower fails to pay any installment of principal or interest under this Note within ten (10) business days after such amounts are due.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Breach of Covenant</w:t>
      </w:r>
      <w:r>
        <w:rPr>
          <w:rFonts w:ascii="Arial" w:cs="Arial" w:eastAsia="Arial" w:hAnsi="Arial"/>
          <w:sz w:val="18"/>
          <w:szCs w:val="18"/>
          <w:color w:val="auto"/>
        </w:rPr>
        <w:t>. The Borrower breaches any material covenant or other term or condition of the Purchase Agreement, Transaction Documents or this Note, except for a breach of payment, in any material respect and such breach, if subject to cure, continues for a period of thirty (30) days after written notice to the Borrower from the Holder.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jc w:val="both"/>
        <w:ind w:firstLine="648"/>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Breach of Representations and Warranties</w:t>
      </w:r>
      <w:r>
        <w:rPr>
          <w:rFonts w:ascii="Arial" w:cs="Arial" w:eastAsia="Arial" w:hAnsi="Arial"/>
          <w:sz w:val="18"/>
          <w:szCs w:val="18"/>
          <w:color w:val="auto"/>
        </w:rPr>
        <w:t>. The Borrower is advised by written notice from the Holder that a material representation or warranty of the Borrower made herein or in the Purchase Agreement was false or misleading in any material respect as of the date made and the Closing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Liquidation</w:t>
      </w:r>
      <w:r>
        <w:rPr>
          <w:rFonts w:ascii="Arial" w:cs="Arial" w:eastAsia="Arial" w:hAnsi="Arial"/>
          <w:sz w:val="18"/>
          <w:szCs w:val="18"/>
          <w:color w:val="auto"/>
        </w:rPr>
        <w:t>. Any dissolution, liquidation or winding up by Borrower or a Subsidiary of a substantial portion of their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Cessation of Operations</w:t>
      </w:r>
      <w:r>
        <w:rPr>
          <w:rFonts w:ascii="Arial" w:cs="Arial" w:eastAsia="Arial" w:hAnsi="Arial"/>
          <w:sz w:val="18"/>
          <w:szCs w:val="18"/>
          <w:color w:val="auto"/>
        </w:rPr>
        <w:t>. Any cessation of operations by Borrower or a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Bankruptcy</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3" w:lineRule="auto"/>
        <w:tabs>
          <w:tab w:leader="none" w:pos="90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Borrower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 or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0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involuntary petition is filed against Borrower under any bankruptcy statute now or hereafter in effect, and such petition is not dismissed or discharged within 60 days, or a custodian, receiver, trustee, assignee for the benefit of creditors (or other similar official) is appointed to take possession, custody or control of any property of Borrower.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the Holder hereof in the exercise of any power, right or privilege hereunder shall operate as a waiver thereof, nor shall any single or partial exercise of any such power, right or privilege preclude other or further exercise thereof or of any other right, power or privilege. All rights and remedies existing hereunder are cumulative to, and not exclusive of, any rights or remedies otherwise available.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Notices</w:t>
      </w:r>
      <w:r>
        <w:rPr>
          <w:rFonts w:ascii="Arial" w:cs="Arial" w:eastAsia="Arial" w:hAnsi="Arial"/>
          <w:sz w:val="18"/>
          <w:szCs w:val="18"/>
          <w:color w:val="auto"/>
        </w:rPr>
        <w:t>. Whenever notice is required to be given under this Note, unless otherwise provided herein, such notice shall be given in accordance with the terms of the Purchase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Amendment Provision</w:t>
      </w:r>
      <w:r>
        <w:rPr>
          <w:rFonts w:ascii="Arial" w:cs="Arial" w:eastAsia="Arial" w:hAnsi="Arial"/>
          <w:sz w:val="18"/>
          <w:szCs w:val="18"/>
          <w:color w:val="auto"/>
        </w:rPr>
        <w:t>. The term “Note” and all reference thereto, as used throughout this instrument, shall mean this instrument as originally executed, or if later amended or supplemented, then as so amended or supplemented. This Note may be amended, modified or terminated only by a written instrument executed by the Borrower and the Holders holding a majority of the aggregate principal amount of this Note and the Other Notes, taken as a whole.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jc w:val="both"/>
        <w:ind w:right="20" w:firstLine="648"/>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Assignability</w:t>
      </w:r>
      <w:r>
        <w:rPr>
          <w:rFonts w:ascii="Arial" w:cs="Arial" w:eastAsia="Arial" w:hAnsi="Arial"/>
          <w:sz w:val="18"/>
          <w:szCs w:val="18"/>
          <w:color w:val="auto"/>
        </w:rPr>
        <w:t>. This Note shall be binding upon the Borrower and its successors and assigns, and shall inure to the benefit of the Holder and its successors and assigns. The Borrower may not assign its obligations under this Note.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Note shall be governed by and construed in accordance with the laws of the State of New York without regard to conflicts of laws principles that would result in the application of the substantive laws of another jurisdiction. Any action brought by either party against the other concerning the transactions contemplated by this Agreement must be brought only in the civil or state courts of New York or in the federal courts located in the State and county of New York. Both parties and the individual signing this Agreement on behalf of the Borrower agree to submit to the jurisdiction of such courts. In the event that any provision of this Note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unenforceability of any other provision of this Note.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Non-Business Days</w:t>
      </w:r>
      <w:r>
        <w:rPr>
          <w:rFonts w:ascii="Arial" w:cs="Arial" w:eastAsia="Arial" w:hAnsi="Arial"/>
          <w:sz w:val="18"/>
          <w:szCs w:val="18"/>
          <w:color w:val="auto"/>
        </w:rPr>
        <w:t>. Whenever any payment or any action to be made shall be due on a Saturday, Sunday or a public holiday under the laws of the State of New York, such payment may be due or action shall be required on the next succeeding business day.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REMAINDER OF THIS PAGE INTENTIONALLY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Borrower has caused this Convertible Promissory Note to be signed in its name by an authorized officer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6350</wp:posOffset>
            </wp:positionV>
            <wp:extent cx="249428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6" w:name="page247"/>
    <w:bookmarkEnd w:id="246"/>
    <w:p>
      <w:pPr>
        <w:ind w:left="10220"/>
        <w:spacing w:after="0"/>
        <w:rPr>
          <w:sz w:val="20"/>
          <w:szCs w:val="20"/>
          <w:color w:val="auto"/>
        </w:rPr>
      </w:pPr>
      <w:r>
        <w:rPr>
          <w:rFonts w:ascii="Arial" w:cs="Arial" w:eastAsia="Arial" w:hAnsi="Arial"/>
          <w:sz w:val="16"/>
          <w:szCs w:val="16"/>
          <w:b w:val="1"/>
          <w:bCs w:val="1"/>
          <w:color w:val="auto"/>
        </w:rPr>
        <w:t>Exhibit 10.15</w:t>
      </w:r>
    </w:p>
    <w:p>
      <w:pPr>
        <w:spacing w:after="0" w:line="25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Pursuant to Item 601(b)(10) of Regulation S-K, certain confidential portions of this exhibit marked with brackets and asterisks have been omitted because they are both (i) not material and (ii) would be competitively harmful if publicly disclosed.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SUPPLY AGREEMENT</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This Supply Agreement (“Agreement”) is entered into effective as of December 7, 2020, (“Effective Date”) between Agrify Corporation (“Buyer”), with its principal place of business located at 101 Middlesex Tpke, Ste 6, PMB 326, Burlington Massachusetts 01803, Attn: Richard Stamm, e-mail:Richard.Stamm@Agrify.com, and Mack Molding Co. (“Supplier”), with a principal place of business at 608 Warm Brook Road, Arlington, Vermont 05250, Attn: Joan Magrath, e-mail: joan.magrath@mack.com.</w:t>
      </w:r>
    </w:p>
    <w:p>
      <w:pPr>
        <w:spacing w:after="0" w:line="187" w:lineRule="exact"/>
        <w:rPr>
          <w:sz w:val="20"/>
          <w:szCs w:val="20"/>
          <w:color w:val="auto"/>
        </w:rPr>
      </w:pPr>
    </w:p>
    <w:p>
      <w:pPr>
        <w:jc w:val="both"/>
        <w:ind w:left="340" w:hanging="332"/>
        <w:spacing w:after="0" w:line="285" w:lineRule="auto"/>
        <w:tabs>
          <w:tab w:leader="none" w:pos="34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Scope</w:t>
      </w:r>
      <w:r>
        <w:rPr>
          <w:rFonts w:ascii="Arial" w:cs="Arial" w:eastAsia="Arial" w:hAnsi="Arial"/>
          <w:sz w:val="16"/>
          <w:szCs w:val="16"/>
          <w:color w:val="auto"/>
        </w:rPr>
        <w:t>. This Agreement sets forth the terms and conditions under which Supplier will manufacture and supply certain custom made commercial cultivation systems to Buyer as set forth on Exhibit A (hereinafter collectively referred to as “Products”). Other products may be added by the parties to Exhibit A from time to time. The scope of this Agreement shall include, procurement of Materials (as hereinafter defined) and supplier management (transferred products are pre-qualified and approved) cost management, manufacturing, inventory management and order fulfillment as needed. In addition, Supplier will provide parts to support service as defined by Buyer at agreed upon prices while Products are active in production and for six</w:t>
      </w:r>
    </w:p>
    <w:p>
      <w:pPr>
        <w:spacing w:after="0" w:line="1" w:lineRule="exact"/>
        <w:rPr>
          <w:rFonts w:ascii="Arial" w:cs="Arial" w:eastAsia="Arial" w:hAnsi="Arial"/>
          <w:sz w:val="16"/>
          <w:szCs w:val="16"/>
          <w:color w:val="auto"/>
        </w:rPr>
      </w:pPr>
    </w:p>
    <w:p>
      <w:pPr>
        <w:jc w:val="both"/>
        <w:ind w:left="340" w:hanging="8"/>
        <w:spacing w:after="0" w:line="255" w:lineRule="auto"/>
        <w:tabs>
          <w:tab w:leader="none" w:pos="65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months thereafter based on component/material availability. Products shall be manufactured to Buyer’s Specifications. As used herein, “Specifications” means the bill of material (BOM), drawings, standards and/or samples of each Product provided by Buyer to Supplier in writing, together with the Acceptance Criteria (as hereinafter defined).</w:t>
      </w:r>
    </w:p>
    <w:p>
      <w:pPr>
        <w:spacing w:after="0" w:line="189" w:lineRule="exact"/>
        <w:rPr>
          <w:rFonts w:ascii="Arial" w:cs="Arial" w:eastAsia="Arial" w:hAnsi="Arial"/>
          <w:sz w:val="18"/>
          <w:szCs w:val="18"/>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Purchase Terms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The price set forth on the face of a Purchase Order (as hereinafter defined) shall in no event be increased without Buyer’s express consent, either initial oral consent subsequently confirmed in writing or prior written consent, given by a duly authorized agent of Buyer. If the price on the face of a Purchase Order is incorrect, Supplier must immediately notify Buyer before processing such Purchase Order. Supplier may notify Buyer in writing or orally of the incorrect price, but if said notice is oral, Supplier shall confirm this price correction in writing.</w:t>
      </w:r>
    </w:p>
    <w:p>
      <w:pPr>
        <w:spacing w:after="0" w:line="187"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2"/>
          <w:numId w:val="123"/>
        </w:numPr>
        <w:rPr>
          <w:rFonts w:ascii="Arial" w:cs="Arial" w:eastAsia="Arial" w:hAnsi="Arial"/>
          <w:sz w:val="17"/>
          <w:szCs w:val="17"/>
          <w:color w:val="auto"/>
        </w:rPr>
      </w:pPr>
      <w:r>
        <w:rPr>
          <w:rFonts w:ascii="Arial" w:cs="Arial" w:eastAsia="Arial" w:hAnsi="Arial"/>
          <w:sz w:val="17"/>
          <w:szCs w:val="17"/>
          <w:color w:val="auto"/>
        </w:rPr>
        <w:t>Pricing, Minimum Purchase Requirement; Minimum Purchase Volume. Unless otherwise stated, the prices are based on quotation for Product, based on specific product revision, quality requirements (See Agrify document QUAL-0002 Revision A), quantities and delivery schedule, and shall be calculated as set forth on Exhibit A. Buyer and Supplier acknowledge and agree that the pricing formula and cost structure for the Products is based on Buyer purchasing a minimum of at least [****] Products per year during the Term (the “Minimum Purchase Requirement”). Notwithstanding anything to the contrary in this Agreement, in the event that Buyer does not meet the Minimum Purchase Requirement during any year during the Term, Supplier reserves the right to charge a reasonable re-start or set-up fee upon Buyer’s placement of a Purchase Order in the subsequent year and upon [****] days prior written notice to Buyer. In addition, Buyer acknowledges and agrees that upon the completion of the [****] Product by Supplier for Buyer under this Agreement, Buyer shall cooperate and negotiate in good faith with Supplier to mutually agree on the minimum percentage of Buyer’s requirements for Products that Buyer shall order from Supplier.</w:t>
      </w:r>
    </w:p>
    <w:p>
      <w:pPr>
        <w:spacing w:after="0" w:line="185" w:lineRule="exact"/>
        <w:rPr>
          <w:rFonts w:ascii="Arial" w:cs="Arial" w:eastAsia="Arial" w:hAnsi="Arial"/>
          <w:sz w:val="17"/>
          <w:szCs w:val="17"/>
          <w:color w:val="auto"/>
        </w:rPr>
      </w:pPr>
    </w:p>
    <w:p>
      <w:pPr>
        <w:jc w:val="both"/>
        <w:ind w:left="1300" w:hanging="320"/>
        <w:spacing w:after="0" w:line="271" w:lineRule="auto"/>
        <w:tabs>
          <w:tab w:leader="none" w:pos="1300" w:val="left"/>
        </w:tabs>
        <w:numPr>
          <w:ilvl w:val="2"/>
          <w:numId w:val="123"/>
        </w:numPr>
        <w:rPr>
          <w:rFonts w:ascii="Arial" w:cs="Arial" w:eastAsia="Arial" w:hAnsi="Arial"/>
          <w:sz w:val="17"/>
          <w:szCs w:val="17"/>
          <w:color w:val="auto"/>
        </w:rPr>
      </w:pPr>
      <w:r>
        <w:rPr>
          <w:rFonts w:ascii="Arial" w:cs="Arial" w:eastAsia="Arial" w:hAnsi="Arial"/>
          <w:sz w:val="17"/>
          <w:szCs w:val="17"/>
          <w:u w:val="single" w:color="auto"/>
          <w:color w:val="auto"/>
        </w:rPr>
        <w:t>Taxes and Payment Terms.</w:t>
      </w:r>
      <w:r>
        <w:rPr>
          <w:rFonts w:ascii="Arial" w:cs="Arial" w:eastAsia="Arial" w:hAnsi="Arial"/>
          <w:sz w:val="17"/>
          <w:szCs w:val="17"/>
          <w:color w:val="auto"/>
        </w:rPr>
        <w:t xml:space="preserve"> Buyer shall pay sales or use tax, if any is due. Unless otherwise stated, the prices do not include sales or use taxes applicable to the Products. Any government-imposed taxes or tariffs applicable to procured Material imposed after the date of relevant Purchase Order will be passed on to Buyer. Payment terms and Credit limit shall be as set forth on Exhibit B hereto, as may be updated by mutual written agreement of the parties from time to time. Payment terms and credit line shall be established based on financial reporting and net worth. Buyer will provide financial reporting (balance sheet, net worth, profit and loss statement as available) at agreed upon frequency however no less than [****] per year. Supplier reserves the right to alter payment terms in the future based on payment history and any credit line in such a way that disfavors Buyer if Supplier believes, in its sole and reasonable discretion, that Buyer’s business or financial condition has changed in a materially adverse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7" w:name="page248"/>
    <w:bookmarkEnd w:id="247"/>
    <w:p>
      <w:pPr>
        <w:jc w:val="both"/>
        <w:ind w:left="1300" w:hanging="320"/>
        <w:spacing w:after="0" w:line="272" w:lineRule="auto"/>
        <w:tabs>
          <w:tab w:leader="none" w:pos="1300"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Forecasts.</w:t>
      </w:r>
      <w:r>
        <w:rPr>
          <w:rFonts w:ascii="Arial" w:cs="Arial" w:eastAsia="Arial" w:hAnsi="Arial"/>
          <w:sz w:val="17"/>
          <w:szCs w:val="17"/>
          <w:color w:val="auto"/>
        </w:rPr>
        <w:t xml:space="preserve"> Buyer will provide Supplier with a non-binding, rolling 12-month forecast for planning purpose only (“Forecast”). Supplier agrees to work with Buyer to meet forecasted amounts and to accommodate fluctuations in Forecast. The Forecasts shall represent reasonable estimates for planning purposes only and do not obligate Buyer in any way, unless otherwise agreed in writing. If Buyer requests a quantity of a Product in excess of the forecasted quantity or within quoted lead-time Supplier shall use commercially reasonable efforts to accommodate such request without expedite fees. In the event Supplier’s efforts to accommodate Buyer’s request would require expedite fees, Supplier shall promptly advise the Buyer of any and all anticipated expedite fees (including labor overtime, material expedite fees and/or expedite shipping fees) for Buyer’s consideration and written approval.</w:t>
      </w:r>
    </w:p>
    <w:p>
      <w:pPr>
        <w:spacing w:after="0" w:line="177" w:lineRule="exact"/>
        <w:rPr>
          <w:rFonts w:ascii="Arial" w:cs="Arial" w:eastAsia="Arial" w:hAnsi="Arial"/>
          <w:sz w:val="17"/>
          <w:szCs w:val="17"/>
          <w:color w:val="auto"/>
        </w:rPr>
      </w:pPr>
    </w:p>
    <w:p>
      <w:pPr>
        <w:jc w:val="both"/>
        <w:ind w:left="1300" w:hanging="320"/>
        <w:spacing w:after="0" w:line="285" w:lineRule="auto"/>
        <w:tabs>
          <w:tab w:leader="none" w:pos="1300"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Purchase Orders.</w:t>
      </w:r>
      <w:r>
        <w:rPr>
          <w:rFonts w:ascii="Arial" w:cs="Arial" w:eastAsia="Arial" w:hAnsi="Arial"/>
          <w:sz w:val="16"/>
          <w:szCs w:val="16"/>
          <w:color w:val="auto"/>
        </w:rPr>
        <w:t xml:space="preserve"> Purchases under this Agreement shall be made with purchase orders (“Purchase Orders”) issued by Buyer, and Buyer shall be liable under this Agreement for no more than the amount set forth in the individual Purchase Orders, unless otherwise agreed. All purchases made by Buyer shall be subject to this Agreement and the parties intend for the express terms and conditions contained in this Agreement (including any Attachments hereto) to exclusively govern and control each of the parties’ respective rights and obligations regarding the subject matter of this Agreement, and this Agreement is expressly limited to such terms and conditions. Without limitation of the foregoing, to the extent that any Purchase Order, confirmation, acceptance or any similar document, contains terms that conflict with or are inconsistent with this Agreement, the terms of this Agreement shall govern, with exception to any pricing terms, payment terms, and delivery terms defined in such Purchase Order mutually agreed to in writing signed by both of the parties. Any attempt to modify, supersede, supplement or otherwise alter this Agreement, will not modify this Agreement or be binding on the parties unless such terms have been fully approved in a signed writing by authorized representatives of both parties. Material procurement will be based on price, lead-time, MOQ (minimum order quantity), EOQ (economic order quantity) and retention time, as mutually agreed. Selective components may have a separate written agreement between the parties to secure Material which have extended lead-time, require an MOQ or an advantageous EOQ. Buyer will approve in writing the procurement of Material in excess of that referred to in the Purchase Order and will be responsible for payment to Supplier for the Material that is not used, consumed, or otherwise accounted for in a usage report within [****] months after purchase, unless otherwise agreed. In the case of such purchase, in the event Material is stored to consume, Buyer shall receive a credit for any subsequent usage of the Material by Supplier. Material that is obsolete and inactive will be shipped to Buyer, unless otherwise agreed.</w:t>
      </w:r>
    </w:p>
    <w:p>
      <w:pPr>
        <w:spacing w:after="0" w:line="392"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Title; Risk of Loss</w:t>
      </w:r>
      <w:r>
        <w:rPr>
          <w:rFonts w:ascii="Arial" w:cs="Arial" w:eastAsia="Arial" w:hAnsi="Arial"/>
          <w:sz w:val="18"/>
          <w:szCs w:val="18"/>
          <w:color w:val="auto"/>
        </w:rPr>
        <w:t>. Title to the Products shall transfer from Supplier to Buyer at the later of (i) shipment to Buyer pursuant to Section 5 or (ii) payment by Buyer for the Products. Risk of loss related to the Product shall transfer from Supplier to Buyer at the time the Products are shipped pursuant to Section 5, unless otherwise agreed by the parties in writing.</w:t>
      </w:r>
    </w:p>
    <w:p>
      <w:pPr>
        <w:spacing w:after="0" w:line="183" w:lineRule="exact"/>
        <w:rPr>
          <w:rFonts w:ascii="Arial" w:cs="Arial" w:eastAsia="Arial" w:hAnsi="Arial"/>
          <w:sz w:val="18"/>
          <w:szCs w:val="18"/>
          <w:color w:val="auto"/>
        </w:rPr>
      </w:pPr>
    </w:p>
    <w:p>
      <w:pPr>
        <w:jc w:val="both"/>
        <w:ind w:left="340" w:hanging="332"/>
        <w:spacing w:after="0" w:line="269" w:lineRule="auto"/>
        <w:tabs>
          <w:tab w:leader="none" w:pos="340"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Production Planning, Order Fulfillment and Changes.</w:t>
      </w:r>
      <w:r>
        <w:rPr>
          <w:rFonts w:ascii="Arial" w:cs="Arial" w:eastAsia="Arial" w:hAnsi="Arial"/>
          <w:sz w:val="17"/>
          <w:szCs w:val="17"/>
          <w:color w:val="auto"/>
        </w:rPr>
        <w:t xml:space="preserve"> In addition to the Forecast, Buyer will provide monthly production planning requirements (“Buyer’s Production Schedule”), and monthly schedule for specific shipping requirements (“Buyer’s Shipping Schedule”). Supplier’s production and build schedule shall align with Buyer’s Production Schedule, and Supplier shall ship Products in accordance with Buyer’s Shipping Schedule. Supplier will use commercially reasonable efforts to meet any unplanned requirements within 30 days of due date. Supplier shall ship Products in accordance with the quantities, ship dates, and delivery location specified in the written Purchase Order or in another written document provided to Supplier by an authorized representative of the Buyer. Beyond a two-week firm window, Supplier shall accommodate requests by Buyer to delay shipments of Products provided the delay is defined and does not exceed [****] days from the date Product is completed. Buyer has the right to make changes, additions or alterations to items, timing, destination, Specification, drawings or design. Supplier must notify Buyer within [****] business days of receipt of request if any of the adjustments affect price, timing or terms, and any such changes will only be binding if agreed to in writing by Buyer. Conversely, Supplier shall not make any changes in design, packaging, processing, marking, shipping, or delivery unless agreed to in writing by an authorized Buyer employee.</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8" w:name="page249"/>
    <w:bookmarkEnd w:id="248"/>
    <w:p>
      <w:pPr>
        <w:jc w:val="both"/>
        <w:ind w:left="340" w:hanging="332"/>
        <w:spacing w:after="0" w:line="271" w:lineRule="auto"/>
        <w:tabs>
          <w:tab w:leader="none" w:pos="340"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Inventory Management and Retention.</w:t>
      </w:r>
      <w:r>
        <w:rPr>
          <w:rFonts w:ascii="Arial" w:cs="Arial" w:eastAsia="Arial" w:hAnsi="Arial"/>
          <w:sz w:val="17"/>
          <w:szCs w:val="17"/>
          <w:color w:val="auto"/>
        </w:rPr>
        <w:t xml:space="preserve"> Supplier will procure Material based on Buyer’s Purchase Order and agreed quantity and retention time. Supplier will inspect and receive Material based on agreed inspection standard. Supplier will retain Material inventory to support planned production schedule as provided by Buyer. Materials inventoried for more than [****] months without any usage of such Material type will be purchased by Buyer. Notwithstanding the foregoing, Supplier shall maintain a min/max safety stock of [****] to [****] finished Products at all times. Buyer will purchase finished Products produced to support Buyer’s Production Schedule, if in Supplier’s inventory for more than [****] days, unless otherwise agreed by the parties. The parties will review inventory for disposition and retention quarterly. Supplier may store Buyer-owned inventory, subject to a separate storage agreement substantially in the form attached hereto as Exhibit C. Supplier will provide monthly reporting to Buyer if Buyer BOM Sourced Content is used, listing units shipped and resulting remaining inventory balance.</w:t>
      </w:r>
    </w:p>
    <w:p>
      <w:pPr>
        <w:spacing w:after="0" w:line="178" w:lineRule="exact"/>
        <w:rPr>
          <w:rFonts w:ascii="Arial" w:cs="Arial" w:eastAsia="Arial" w:hAnsi="Arial"/>
          <w:sz w:val="17"/>
          <w:szCs w:val="17"/>
          <w:color w:val="auto"/>
        </w:rPr>
      </w:pPr>
    </w:p>
    <w:p>
      <w:pPr>
        <w:jc w:val="both"/>
        <w:ind w:left="340" w:hanging="332"/>
        <w:spacing w:after="0" w:line="287" w:lineRule="auto"/>
        <w:tabs>
          <w:tab w:leader="none" w:pos="34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Packing and Shipping</w:t>
      </w:r>
      <w:r>
        <w:rPr>
          <w:rFonts w:ascii="Arial" w:cs="Arial" w:eastAsia="Arial" w:hAnsi="Arial"/>
          <w:sz w:val="16"/>
          <w:szCs w:val="16"/>
          <w:color w:val="auto"/>
        </w:rPr>
        <w:t>. Supplier shall package, mark and otherwise prepare all Products in accordance with Buyer’s Specification and instructions. Supplier shall ship the Products by Supplier’s shipping agents to the destination provided by Buyer unless otherwise agreed by the parties in writing. Shipment are Incoterm FCA unless otherwise agreed by the parties in writing. Upon Buyer’s reasonable request, Supplier shall ship the Products to Buyer at Supplier’s warehouse, or another designated location, and Supplier will store the Products on Buyer’s behalf pursuant to a storage agreement substantially in the form attached hereto as Exhibit C. If Supplier shipped in excess or in error of Buyer’s order, return freight will be paid solely by Supplier, if return is required. All physical Products shall be packaged in a manner to protect from damage during transit and approved by Buyer. All shipping documents as provided by Supplier, invoices and related documents shall be marked with Buyer’s PO number and/or comply with the shipping instructions found in the Purchase Order or other Buyer provided shipping related documentation. Supplier shall appropriately label containers of all Products which are known to constitute a health, poison, fire, environmental, safety or explosion hazard. Buyer’s records will be accepted as final and conclusive with respect to all shipments which are not accompanied by invoices or shipping documents indicating quantities shipped or if adequate proof of delivery is not provided. Shipments must be made in the quantities specified on the Purchase Order or other Buyer provided written shipping related documentation and any over shipments may be rejected by Buyer in its sole discretion.</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Obligations, Assignments, Change of Control.</w:t>
      </w:r>
    </w:p>
    <w:p>
      <w:pPr>
        <w:spacing w:after="0" w:line="225" w:lineRule="exact"/>
        <w:rPr>
          <w:rFonts w:ascii="Arial" w:cs="Arial" w:eastAsia="Arial" w:hAnsi="Arial"/>
          <w:sz w:val="18"/>
          <w:szCs w:val="18"/>
          <w:color w:val="auto"/>
        </w:rPr>
      </w:pPr>
    </w:p>
    <w:p>
      <w:pPr>
        <w:jc w:val="both"/>
        <w:ind w:left="1300" w:hanging="320"/>
        <w:spacing w:after="0" w:line="284" w:lineRule="auto"/>
        <w:tabs>
          <w:tab w:leader="none" w:pos="1300"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Change Notification</w:t>
      </w:r>
      <w:r>
        <w:rPr>
          <w:rFonts w:ascii="Arial" w:cs="Arial" w:eastAsia="Arial" w:hAnsi="Arial"/>
          <w:sz w:val="16"/>
          <w:szCs w:val="16"/>
          <w:color w:val="auto"/>
        </w:rPr>
        <w:t>. Each party shall provide the other party with written notice of any name change, corporate reorganization, consolidation, merger, or acquisition or sale of the party’s company or a substantial part thereof no less than 60 days prior to such event. Neither party may assign, delegate or subcontract any of its rights or obligations under this Agreement without the prior written consent of the other. Notwithstanding the foregoing, Buyer may assign its rights and obligations under this Agreement upon a Change of Control, provided that the assignee assumes all of Buyer’s rights and obligations under this Agreement upon such assignment, and provided that Supplier shall have the right to revisit and change payment terms upon such an assignment in the event that Supplier deems, in its sole discretion, Buyer’s successor by assignment to have a lesser creditworthiness than Buyer. As used herein, a “Change of Control” means</w:t>
      </w:r>
    </w:p>
    <w:p>
      <w:pPr>
        <w:spacing w:after="0" w:line="2" w:lineRule="exact"/>
        <w:rPr>
          <w:rFonts w:ascii="Arial" w:cs="Arial" w:eastAsia="Arial" w:hAnsi="Arial"/>
          <w:sz w:val="16"/>
          <w:szCs w:val="16"/>
          <w:color w:val="auto"/>
        </w:rPr>
      </w:pPr>
    </w:p>
    <w:p>
      <w:pPr>
        <w:jc w:val="both"/>
        <w:ind w:left="1300"/>
        <w:spacing w:after="0" w:line="269" w:lineRule="auto"/>
        <w:rPr>
          <w:rFonts w:ascii="Arial" w:cs="Arial" w:eastAsia="Arial" w:hAnsi="Arial"/>
          <w:sz w:val="16"/>
          <w:szCs w:val="16"/>
          <w:color w:val="auto"/>
        </w:rPr>
      </w:pPr>
      <w:r>
        <w:rPr>
          <w:rFonts w:ascii="Arial" w:cs="Arial" w:eastAsia="Arial" w:hAnsi="Arial"/>
          <w:sz w:val="17"/>
          <w:szCs w:val="17"/>
          <w:color w:val="auto"/>
        </w:rPr>
        <w:t>(i) any consolidation or merger of a party or any of its direct or indirect parent companies with or into any other corporation or other entity or person, or any other corporate reorganization, in which the stockholders of such party or such parent company immediately prior to such consolidation, merger or reorganization, own less than 50% of the voting power of the surviving entity immediately after such consolidation, merger or reorganization; or (B) any transaction or series of related transactions to which a party or any of its direct or indirect parent companies is a party in which in excess of fifty percent (50%) of such party’s or such parent’s voting power is transferred; and (ii) any sale, lease or other disposition of all or substantially all of the assets of a party relating to this Agreement, or a sale or exclusive license of all or substantially all of a party’s intellectual property licensed under this Agreement.</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9" w:name="page250"/>
    <w:bookmarkEnd w:id="249"/>
    <w:p>
      <w:pPr>
        <w:jc w:val="both"/>
        <w:ind w:left="1300" w:hanging="320"/>
        <w:spacing w:after="0" w:line="255"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Continuous Improvement on Total Cost.</w:t>
      </w:r>
      <w:r>
        <w:rPr>
          <w:rFonts w:ascii="Arial" w:cs="Arial" w:eastAsia="Arial" w:hAnsi="Arial"/>
          <w:sz w:val="18"/>
          <w:szCs w:val="18"/>
          <w:color w:val="auto"/>
        </w:rPr>
        <w:t xml:space="preserve"> Supplier commits to work with Buyer to pursue continuous improvement in product efficiencies, cost and quality. Savings shall be [****] between Buyer and Supplier if initiated by Supplier, savings initiated by Buyer will be passed on [****]%. Buyer must approve any change to the product, process, component or supply prior to implementation. Buyer is responsible for Buyer defined qualification cost required to implement change. Buyer will reimburse Supplier for any procured Material deemed obsolete due to a change prior to the implementation of the change, provided material was authorized to buy. Supplier will make best effort to return and/or cancel order obligations.</w:t>
      </w:r>
    </w:p>
    <w:p>
      <w:pPr>
        <w:spacing w:after="0" w:line="192"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Performance Business Review.</w:t>
      </w:r>
      <w:r>
        <w:rPr>
          <w:rFonts w:ascii="Arial" w:cs="Arial" w:eastAsia="Arial" w:hAnsi="Arial"/>
          <w:sz w:val="18"/>
          <w:szCs w:val="18"/>
          <w:color w:val="auto"/>
        </w:rPr>
        <w:t xml:space="preserve"> The parties shall conduct meetings, at an established frequency, to discuss and review the following: (i) delivery, service and quality performance; (ii) continuous improvement goals and objectives; (iii) market conditions, planning and Forecast; (iv) future business outlook and (v) financial and business health.</w:t>
      </w:r>
    </w:p>
    <w:p>
      <w:pPr>
        <w:spacing w:after="0" w:line="183" w:lineRule="exact"/>
        <w:rPr>
          <w:rFonts w:ascii="Arial" w:cs="Arial" w:eastAsia="Arial" w:hAnsi="Arial"/>
          <w:sz w:val="18"/>
          <w:szCs w:val="18"/>
          <w:color w:val="auto"/>
        </w:rPr>
      </w:pPr>
    </w:p>
    <w:p>
      <w:pPr>
        <w:jc w:val="both"/>
        <w:ind w:left="1300" w:hanging="320"/>
        <w:spacing w:after="0" w:line="254"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Manufacturing Site; UL Certification.</w:t>
      </w:r>
      <w:r>
        <w:rPr>
          <w:rFonts w:ascii="Arial" w:cs="Arial" w:eastAsia="Arial" w:hAnsi="Arial"/>
          <w:sz w:val="18"/>
          <w:szCs w:val="18"/>
          <w:color w:val="auto"/>
        </w:rPr>
        <w:t xml:space="preserve"> Supplier’s facility will meet state and federal laws, regulation and agency requirements for labor and safety and operate in compliance with applicable environmental, occupational health and safety laws and regulations in all material respects, including obtaining and maintaining UL508A certification (Underwriters Laboratories) (“UL Certification”) of Supplier’s facility. Supplier agrees to use commercially reasonable efforts to keep current with the industry advancements and technology developments in order to maintain competitive advantage. Upon signature of this Agreement, Supplier will begin the UL Certification process. By its signature below, Buyer agrees to pay Supplier’s costs for training for such UL508A certification plus the initial annual fee incurred in obtaining the initial UL Certification. Supplier shall be responsible for payment of the annual UL Certification fee for periods after the initial UL Certification period.</w:t>
      </w:r>
    </w:p>
    <w:p>
      <w:pPr>
        <w:spacing w:after="0" w:line="191" w:lineRule="exact"/>
        <w:rPr>
          <w:rFonts w:ascii="Arial" w:cs="Arial" w:eastAsia="Arial" w:hAnsi="Arial"/>
          <w:sz w:val="18"/>
          <w:szCs w:val="18"/>
          <w:color w:val="auto"/>
        </w:rPr>
      </w:pPr>
    </w:p>
    <w:p>
      <w:pPr>
        <w:jc w:val="both"/>
        <w:ind w:left="1300" w:hanging="320"/>
        <w:spacing w:after="0" w:line="254"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Importer of Record; Customs Compliance</w:t>
      </w:r>
      <w:r>
        <w:rPr>
          <w:rFonts w:ascii="Arial" w:cs="Arial" w:eastAsia="Arial" w:hAnsi="Arial"/>
          <w:sz w:val="18"/>
          <w:szCs w:val="18"/>
          <w:color w:val="auto"/>
        </w:rPr>
        <w:t>. In the event any Material to be used, supplied, or consumed by Supplier for the Products is imported into the United States (“Imported Goods”), Supplier shall be the “Importer of Record” of such Imported Goods. As the Importer of Record, Supplier shall be responsible for all aspects of the Imported Goods including, without limitation (a) customs and other regulatory clearance of Imported Goods, (b) payment of all standard or general tariffs, duties, customs, fees, expenses and charges payable in connection with the importation and delivery of the Imported Goods, and (c) keeping all records, documents, correspondence and tracking information required by applicable laws, rules and regulations arising out of or in connection with the importation or delivery of the Imported Goods.</w:t>
      </w:r>
    </w:p>
    <w:p>
      <w:pPr>
        <w:spacing w:after="0" w:line="194" w:lineRule="exact"/>
        <w:rPr>
          <w:rFonts w:ascii="Arial" w:cs="Arial" w:eastAsia="Arial" w:hAnsi="Arial"/>
          <w:sz w:val="18"/>
          <w:szCs w:val="18"/>
          <w:color w:val="auto"/>
        </w:rPr>
      </w:pPr>
    </w:p>
    <w:p>
      <w:pPr>
        <w:ind w:left="340" w:hanging="332"/>
        <w:spacing w:after="0"/>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Term; Termination.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take effect on the Effective Date and shall expire on the fifth anniversary of the Effective Date.</w:t>
      </w:r>
    </w:p>
    <w:p>
      <w:pPr>
        <w:spacing w:after="0" w:line="225" w:lineRule="exact"/>
        <w:rPr>
          <w:rFonts w:ascii="Arial" w:cs="Arial" w:eastAsia="Arial" w:hAnsi="Arial"/>
          <w:sz w:val="18"/>
          <w:szCs w:val="18"/>
          <w:color w:val="auto"/>
        </w:rPr>
      </w:pPr>
    </w:p>
    <w:p>
      <w:pPr>
        <w:jc w:val="both"/>
        <w:ind w:left="1300" w:hanging="320"/>
        <w:spacing w:after="0" w:line="291" w:lineRule="auto"/>
        <w:tabs>
          <w:tab w:leader="none" w:pos="1300"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xml:space="preserve"> This Agreement may be terminated by a party upon written notice to the other party for “cause” upon the occurrence of one or more of the following events: (i) any material breach in the observance or performance of any term or provision of this Agreement which has not been cured or had a cure plan presented (cure plan to be approved by the non-defaulting party in its sole discretion) within 90 calendar days of written notice thereof; or (ii) if the other party shall be insolvent or take action or be the subject of any action seeking bankruptcy, insolvency, administration, receivership, arrangement among creditors, or other similar action or shall suffer any such similar action without obtaining dismissal of such action within 60 calendar days after the taking thereof. Upon the occurrence and written notice thereof, without acceptable remedy within the cure period (if any), this Agreement shall terminate.</w:t>
      </w:r>
    </w:p>
    <w:p>
      <w:pPr>
        <w:spacing w:after="0" w:line="166"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xml:space="preserve"> Notwithstanding anything to the contrary in this Agreement, either party may terminate this Agreement by written notice to the other, with or without cause, within one hundred and twenty (120) days after Supplier’s completion of the [****] Product for Buyer, such termination to be effective upon thirty (30) days of the other party’s receipt of such notice. For example, if Supplier completes the [****] Product on December 31, 2021, either party may terminate this Agreement by providing the other written notice of the desire to terminate on or before April 30, 2022, and such termination shall be effective upon thirty (30) days of the other party’s receipt of that notice of intent to terminate.</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0" w:name="page251"/>
    <w:bookmarkEnd w:id="250"/>
    <w:p>
      <w:pPr>
        <w:jc w:val="both"/>
        <w:ind w:left="1300" w:hanging="320"/>
        <w:spacing w:after="0" w:line="273" w:lineRule="auto"/>
        <w:tabs>
          <w:tab w:leader="none" w:pos="1300"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Obligation with Termination.</w:t>
      </w:r>
      <w:r>
        <w:rPr>
          <w:rFonts w:ascii="Arial" w:cs="Arial" w:eastAsia="Arial" w:hAnsi="Arial"/>
          <w:sz w:val="17"/>
          <w:szCs w:val="17"/>
          <w:color w:val="auto"/>
        </w:rPr>
        <w:t xml:space="preserve"> Upon termination of this Agreement for any reason, Buyer’s liability to Supplier shall be for payment for (i) Materials and inventory which conform to the Specifications (components, work in process and finished goods). If Buyer’s owned equipment (tools, dies, fixtures, test equipment) requires shipment upon termination, Buyer will also be responsible for the reasonable expense of disassembly and preparation for shipment as required by Buyer. Upon termination, Buyer will have an opportunity to make one final purchase of Product in reasonable amounts mutually agreed by the parties prior to the effective date of termination. Final shipment of tools, equipment or Products will require payment in full prior to shipment.</w:t>
      </w:r>
    </w:p>
    <w:p>
      <w:pPr>
        <w:spacing w:after="0" w:line="177" w:lineRule="exact"/>
        <w:rPr>
          <w:rFonts w:ascii="Arial" w:cs="Arial" w:eastAsia="Arial" w:hAnsi="Arial"/>
          <w:sz w:val="17"/>
          <w:szCs w:val="17"/>
          <w:color w:val="auto"/>
        </w:rPr>
      </w:pPr>
    </w:p>
    <w:p>
      <w:pPr>
        <w:ind w:left="340" w:hanging="332"/>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Quality Assurance.</w:t>
      </w:r>
    </w:p>
    <w:p>
      <w:pPr>
        <w:spacing w:after="0" w:line="225"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Acceptance Criteria</w:t>
      </w:r>
      <w:r>
        <w:rPr>
          <w:rFonts w:ascii="Arial" w:cs="Arial" w:eastAsia="Arial" w:hAnsi="Arial"/>
          <w:sz w:val="18"/>
          <w:szCs w:val="18"/>
          <w:color w:val="auto"/>
        </w:rPr>
        <w:t>. For purposes of this Agreement, “Acceptance Criteria” means (i) the mutually agreed upon written quality standard established for the manufacturing of the Products. Supplier will not make any modification to the Products without prior written consent from Buyer. Supplier shall not change the Acceptance Criteria except with Buyer’s prior written approval. Supplier shall not ship any Product that has had such changes made until change documentation is received and approved and (if required) a new Purchase Order has been issued.</w:t>
      </w:r>
    </w:p>
    <w:p>
      <w:pPr>
        <w:spacing w:after="0" w:line="187" w:lineRule="exact"/>
        <w:rPr>
          <w:rFonts w:ascii="Arial" w:cs="Arial" w:eastAsia="Arial" w:hAnsi="Arial"/>
          <w:sz w:val="18"/>
          <w:szCs w:val="18"/>
          <w:color w:val="auto"/>
        </w:rPr>
      </w:pPr>
    </w:p>
    <w:p>
      <w:pPr>
        <w:jc w:val="both"/>
        <w:ind w:left="1300" w:hanging="320"/>
        <w:spacing w:after="0" w:line="286" w:lineRule="auto"/>
        <w:tabs>
          <w:tab w:leader="none" w:pos="1300" w:val="left"/>
        </w:tabs>
        <w:numPr>
          <w:ilvl w:val="1"/>
          <w:numId w:val="130"/>
        </w:numPr>
        <w:rPr>
          <w:rFonts w:ascii="Arial" w:cs="Arial" w:eastAsia="Arial" w:hAnsi="Arial"/>
          <w:sz w:val="17"/>
          <w:szCs w:val="17"/>
          <w:color w:val="auto"/>
        </w:rPr>
      </w:pPr>
      <w:r>
        <w:rPr>
          <w:rFonts w:ascii="Arial" w:cs="Arial" w:eastAsia="Arial" w:hAnsi="Arial"/>
          <w:sz w:val="17"/>
          <w:szCs w:val="17"/>
          <w:u w:val="single" w:color="auto"/>
          <w:color w:val="auto"/>
        </w:rPr>
        <w:t>Change Management</w:t>
      </w:r>
      <w:r>
        <w:rPr>
          <w:rFonts w:ascii="Arial" w:cs="Arial" w:eastAsia="Arial" w:hAnsi="Arial"/>
          <w:sz w:val="17"/>
          <w:szCs w:val="17"/>
          <w:color w:val="auto"/>
        </w:rPr>
        <w:t>. Supplier shall use their document control system for change management and record retention. Buyer will provide Supplier with documentation to inform and detail changes required to the Products. All changes will be evaluated for impact to components, inventory, production process and quality assurance. An ECO change protocol will be establish as mutually agreed.</w:t>
      </w:r>
    </w:p>
    <w:p>
      <w:pPr>
        <w:spacing w:after="0" w:line="165" w:lineRule="exact"/>
        <w:rPr>
          <w:rFonts w:ascii="Arial" w:cs="Arial" w:eastAsia="Arial" w:hAnsi="Arial"/>
          <w:sz w:val="17"/>
          <w:szCs w:val="17"/>
          <w:color w:val="auto"/>
        </w:rPr>
      </w:pPr>
    </w:p>
    <w:p>
      <w:pPr>
        <w:jc w:val="both"/>
        <w:ind w:left="1300" w:hanging="320"/>
        <w:spacing w:after="0" w:line="259" w:lineRule="auto"/>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Inspection and Test Equipment Control</w:t>
      </w:r>
      <w:r>
        <w:rPr>
          <w:rFonts w:ascii="Arial" w:cs="Arial" w:eastAsia="Arial" w:hAnsi="Arial"/>
          <w:sz w:val="18"/>
          <w:szCs w:val="18"/>
          <w:color w:val="auto"/>
        </w:rPr>
        <w:t>. Supplier shall use their calibration system for control of inspection and test equipment, including Buyer provided equipment. Calibration standards shall be traceable to National Institute for Standards and Technology or other recognized bodies recognized by national or international standards. Where this is not possible, Supplier shall use an independent, reproducible standard.</w:t>
      </w:r>
    </w:p>
    <w:p>
      <w:pPr>
        <w:spacing w:after="0" w:line="186" w:lineRule="exact"/>
        <w:rPr>
          <w:rFonts w:ascii="Arial" w:cs="Arial" w:eastAsia="Arial" w:hAnsi="Arial"/>
          <w:sz w:val="18"/>
          <w:szCs w:val="18"/>
          <w:color w:val="auto"/>
        </w:rPr>
      </w:pPr>
    </w:p>
    <w:p>
      <w:pPr>
        <w:jc w:val="both"/>
        <w:ind w:left="1300" w:hanging="320"/>
        <w:spacing w:after="0" w:line="254" w:lineRule="auto"/>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Raw Materials</w:t>
      </w:r>
      <w:r>
        <w:rPr>
          <w:rFonts w:ascii="Arial" w:cs="Arial" w:eastAsia="Arial" w:hAnsi="Arial"/>
          <w:sz w:val="18"/>
          <w:szCs w:val="18"/>
          <w:color w:val="auto"/>
        </w:rPr>
        <w:t>. Supplier shall confirm raw materials and components (“Materials”) used to manufacture Products meet all applicable Specifications and are procured from mutually agreed upon specified sources. Supplier shall not amend, change or supplement any of the following without Buyer’s prior written consent: (i) the Specifications; (ii) the source of Materials; or (iii) the manufacturing test of the Products. Any change in any of the foregoing shall, in each case, comply with all applicable laws, regulations and agency requirements. If mutually agreed, to enable Supplier to competitively bid and achieve cost savings, Supplier and Buyer may define Material by category for procurement as follows: (A) Buyer directs source, (B) custom components may be resourced, requires Buyers approval, and (C) open source.</w:t>
      </w:r>
    </w:p>
    <w:p>
      <w:pPr>
        <w:spacing w:after="0" w:line="194"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1"/>
          <w:numId w:val="130"/>
        </w:numPr>
        <w:rPr>
          <w:rFonts w:ascii="Arial" w:cs="Arial" w:eastAsia="Arial" w:hAnsi="Arial"/>
          <w:sz w:val="17"/>
          <w:szCs w:val="17"/>
          <w:color w:val="auto"/>
        </w:rPr>
      </w:pPr>
      <w:r>
        <w:rPr>
          <w:rFonts w:ascii="Arial" w:cs="Arial" w:eastAsia="Arial" w:hAnsi="Arial"/>
          <w:sz w:val="17"/>
          <w:szCs w:val="17"/>
          <w:u w:val="single" w:color="auto"/>
          <w:color w:val="auto"/>
        </w:rPr>
        <w:t>Inspection; Non-Conforming Products</w:t>
      </w:r>
      <w:r>
        <w:rPr>
          <w:rFonts w:ascii="Arial" w:cs="Arial" w:eastAsia="Arial" w:hAnsi="Arial"/>
          <w:sz w:val="17"/>
          <w:szCs w:val="17"/>
          <w:color w:val="auto"/>
        </w:rPr>
        <w:t>. All Products shall be received subject to Buyer’s right of inspection and rejection. Buyer shall have [****] days after delivery of Products to conduct its inspection of such Products to confirm whether the Products correspond to the quantity and type of Products ordered and whether there is any externally recognizable transportation damage, visible physical defects, or other deficiencies. Buyer shall give Supplier prompt notice of any such damage or defects. Defective Product will be held for receipt of instruction and will be returned, as Supplier so directs, at Supplier’s expense, or repaired on site, in each case, in accordance with the procedures set forth in Section 10.c. below. Payment for Products on a Purchase Order prior to inspection shall not constitute acceptance thereof or a waiver of a breach of warranty and is without prejudice to any claim(s) of Buyer. Supplier shall inspect all Products prior to shipment to ensure conformance with mutually agreed Acceptance Criteria. Upon notice to Supplier of non-conforming Products in compliance with this Section 8.e., Supplier shall have [****] days to cure non-conforming Products if conforming Products can be delivered in a mutually agreed upon time frame. If Supplier is unable to provide the Products as requested, Supplier will use commercial best efforts to provide replacement Products in a timely manner.</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1" w:name="page252"/>
    <w:bookmarkEnd w:id="251"/>
    <w:p>
      <w:pPr>
        <w:jc w:val="both"/>
        <w:ind w:left="1300" w:hanging="320"/>
        <w:spacing w:after="0" w:line="288" w:lineRule="auto"/>
        <w:tabs>
          <w:tab w:leader="none" w:pos="1300"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Quality System Audit</w:t>
      </w:r>
      <w:r>
        <w:rPr>
          <w:rFonts w:ascii="Arial" w:cs="Arial" w:eastAsia="Arial" w:hAnsi="Arial"/>
          <w:sz w:val="16"/>
          <w:szCs w:val="16"/>
          <w:color w:val="auto"/>
        </w:rPr>
        <w:t>. Buyer reserves the right to audit Supplier’s facilities and records subject to the following conditions: (a) Buyer shall be entitled to conduct a full quality system audit each year unless otherwise agreed or Buyer can demonstrate that Supplier has materially breached this Agreement; (b) Buyer audits shall be conducted with reasonable advance notice and at reasonably convenient times during normal business hours; (c) all information gathered and data reviewed during any such audit shall be “Confidential Information” subject to the provisions of this Agreement; and (d) the scope of each such audit may include the systems, processes, and records related to Supplier’s performance of its obligations under this Agreement. Said audit shall not include review of Supplier’s financial records. Supplier shall cooperate with Buyer in the performance of such audit. Observations and conclusions of an audit will be issued to and promptly discussed with Supplier and corrective action shall be implemented by Supplier, at Supplier’s expense, in a timely manner, as mutually agreed; however Buyer may, in its sole discretion, accept Products from Supplier prior to Supplier’s completion of the corrective action. Buyer may visit in normal course of business as mutually agreed.</w:t>
      </w:r>
    </w:p>
    <w:p>
      <w:pPr>
        <w:spacing w:after="0" w:line="168" w:lineRule="exact"/>
        <w:rPr>
          <w:rFonts w:ascii="Arial" w:cs="Arial" w:eastAsia="Arial" w:hAnsi="Arial"/>
          <w:sz w:val="16"/>
          <w:szCs w:val="16"/>
          <w:color w:val="auto"/>
        </w:rPr>
      </w:pPr>
    </w:p>
    <w:p>
      <w:pPr>
        <w:jc w:val="both"/>
        <w:ind w:left="1300" w:hanging="320"/>
        <w:spacing w:after="0" w:line="254"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Records Retention; Monthly Reports</w:t>
      </w:r>
      <w:r>
        <w:rPr>
          <w:rFonts w:ascii="Arial" w:cs="Arial" w:eastAsia="Arial" w:hAnsi="Arial"/>
          <w:sz w:val="18"/>
          <w:szCs w:val="18"/>
          <w:color w:val="auto"/>
        </w:rPr>
        <w:t>. Supplier agrees to maintain complete and accurate records regarding matters hereunder including Supplier’s compliance with its obligations under this Agreement for seven (7) years. Supplier agrees to retain documentation/records, of CTP (critical to performance) materials for traceability and for duration of this Agreement. Buyer has defined CTP components and features on Buyer’s process Specifications or Buyer’s engineering prints. In the event of any dispute arising with respect to this Agreement, the retention period lasts until the resolution of the dispute becomes final and non-appealable and all obligations of the parties are fully satisfied. Supplier shall provide a [****], or at some other frequency as mutually agreed, report in connection with Supplier’s performance of its obligations under this Agreement, excluding any financial records of Supplier, and with such other content as Buyer and Supplier mutually agree.</w:t>
      </w:r>
    </w:p>
    <w:p>
      <w:pPr>
        <w:spacing w:after="0" w:line="191"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Deliveries</w:t>
      </w:r>
      <w:r>
        <w:rPr>
          <w:rFonts w:ascii="Arial" w:cs="Arial" w:eastAsia="Arial" w:hAnsi="Arial"/>
          <w:sz w:val="18"/>
          <w:szCs w:val="18"/>
          <w:color w:val="auto"/>
        </w:rPr>
        <w:t>. The terms of delivery shall be as stated on each respective Purchase Order and confirmed by Supplier. Time of delivery is of the essence for each order and Supplier will use commercial best efforts to meet orders. In the event that any of the Products delivered hereunder (i) are delivered on a date [****] business days later than the date specified on the Purchase Order and (ii) such late delivery was caused by a delay in whole or part by Supplier or on Supplier’s behalf, then Buyer may, in addition to any other rights and remedies available to Buyer, (A) rescind an order in whole or in part for those Products impacted by such delay, (B) refuse to accept delivery of the Products impacted by such delay and/or (C) return all or any part of the Products impacted by such delay. If due to delivery delays, Buyer finds it necessary to call upon Supplier for premium transportation the responsibility for the price differential between the specified transportation and the premium transportation shall be paid by Supplier. Products which are delivered more than [****] days in advance of date specified herein are delivered at the risk of Supplier and may, at Buyer’s option, be returned at Supplier’s expense for proper delivery and/or have payment therefore withheld by Buyer until the date that the Products are actually scheduled for delivery.</w:t>
      </w:r>
    </w:p>
    <w:p>
      <w:pPr>
        <w:spacing w:after="0" w:line="194" w:lineRule="exact"/>
        <w:rPr>
          <w:rFonts w:ascii="Arial" w:cs="Arial" w:eastAsia="Arial" w:hAnsi="Arial"/>
          <w:sz w:val="18"/>
          <w:szCs w:val="18"/>
          <w:color w:val="auto"/>
        </w:rPr>
      </w:pPr>
    </w:p>
    <w:p>
      <w:pPr>
        <w:ind w:left="340" w:hanging="332"/>
        <w:spacing w:after="0"/>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Supplier’s Warranties; Remedies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Warranties</w:t>
      </w:r>
      <w:r>
        <w:rPr>
          <w:rFonts w:ascii="Arial" w:cs="Arial" w:eastAsia="Arial" w:hAnsi="Arial"/>
          <w:sz w:val="18"/>
          <w:szCs w:val="18"/>
          <w:color w:val="auto"/>
        </w:rPr>
        <w:t>. Supplier hereby represents, warrants and guarantees as follows:</w:t>
      </w:r>
    </w:p>
    <w:p>
      <w:pPr>
        <w:spacing w:after="0" w:line="225" w:lineRule="exact"/>
        <w:rPr>
          <w:rFonts w:ascii="Arial" w:cs="Arial" w:eastAsia="Arial" w:hAnsi="Arial"/>
          <w:sz w:val="18"/>
          <w:szCs w:val="18"/>
          <w:color w:val="auto"/>
        </w:rPr>
      </w:pPr>
    </w:p>
    <w:p>
      <w:pPr>
        <w:jc w:val="both"/>
        <w:ind w:left="1620" w:hanging="316"/>
        <w:spacing w:after="0" w:line="289" w:lineRule="auto"/>
        <w:tabs>
          <w:tab w:leader="none" w:pos="1620" w:val="left"/>
        </w:tabs>
        <w:numPr>
          <w:ilvl w:val="2"/>
          <w:numId w:val="132"/>
        </w:numPr>
        <w:rPr>
          <w:rFonts w:ascii="Arial" w:cs="Arial" w:eastAsia="Arial" w:hAnsi="Arial"/>
          <w:sz w:val="16"/>
          <w:szCs w:val="16"/>
          <w:color w:val="auto"/>
        </w:rPr>
      </w:pPr>
      <w:r>
        <w:rPr>
          <w:rFonts w:ascii="Arial" w:cs="Arial" w:eastAsia="Arial" w:hAnsi="Arial"/>
          <w:sz w:val="16"/>
          <w:szCs w:val="16"/>
          <w:color w:val="auto"/>
        </w:rPr>
        <w:t>That all Products, for a period of [****] months from the date of shipment of the Products (the “Warranty Period”), shall: (i) be free from defects in workmanship and material; (ii) conform to the Specifications; (iii) be free of any claim of any third party; and (iv) be manufactured in accordance with generally accepted good manufacturing (cGMP) and quality practices. Procured component warranty will apply if different than [****] months, and if assignable to Buyer, less manufacturing time. This warranty shall not be deemed waived either by reason of Buyer’s acceptance of Products or by payment for them and shall survive delivery for the Warranty Period. Supplier will not be responsible for, and this warranty will not apply to, any defects in the Products (i) arising out of Buyer design or Specifications; (ii) arising out of the use of Materials or components that Buyer furnished to Supplier or directed Supplier to use; (ii) which results from normal wear and tear, environmental pollution, improper maintenance or repair, or neglect; (iv) which result from failure to properly store Products; or (v) any other cause beyond Supplier’s reasonable control.</w:t>
      </w:r>
    </w:p>
    <w:p>
      <w:pPr>
        <w:spacing w:after="0" w:line="193" w:lineRule="exact"/>
        <w:rPr>
          <w:rFonts w:ascii="Arial" w:cs="Arial" w:eastAsia="Arial" w:hAnsi="Arial"/>
          <w:sz w:val="16"/>
          <w:szCs w:val="16"/>
          <w:color w:val="auto"/>
        </w:rPr>
      </w:pPr>
    </w:p>
    <w:p>
      <w:pPr>
        <w:ind w:left="1620" w:hanging="316"/>
        <w:spacing w:after="0"/>
        <w:tabs>
          <w:tab w:leader="none" w:pos="162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That Supplier has good marketable title to the Products, free from liens.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2" w:name="page253"/>
    <w:bookmarkEnd w:id="252"/>
    <w:p>
      <w:pPr>
        <w:jc w:val="both"/>
        <w:ind w:left="1300" w:hanging="320"/>
        <w:spacing w:after="0" w:line="259"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DISCLAIMER</w:t>
      </w:r>
      <w:r>
        <w:rPr>
          <w:rFonts w:ascii="Arial" w:cs="Arial" w:eastAsia="Arial" w:hAnsi="Arial"/>
          <w:sz w:val="18"/>
          <w:szCs w:val="18"/>
          <w:color w:val="auto"/>
        </w:rPr>
        <w:t>. THE WARRANTIES SET FORTH ABOVE ARE EXCLUSIVE AND IN LIEU OF ANY OTHER WARRANTIES, EXPRESS OR IMPLIED INCLUDING BUT NOT LIMITED TO ANY IMPLIED WARRANTY OF MERCHANTABILITY OR FITNESS FOR A PARTICULAR PURPOSE. NO COURSE OF DEALING AND NO PRODUCT DESCRIPTION SHALL BE DEEMED A WARRANTY OF ANY GOODS DELIVERABLE BY SUPPLIER.</w:t>
      </w:r>
    </w:p>
    <w:p>
      <w:pPr>
        <w:spacing w:after="0" w:line="186" w:lineRule="exact"/>
        <w:rPr>
          <w:rFonts w:ascii="Arial" w:cs="Arial" w:eastAsia="Arial" w:hAnsi="Arial"/>
          <w:sz w:val="18"/>
          <w:szCs w:val="18"/>
          <w:color w:val="auto"/>
        </w:rPr>
      </w:pPr>
    </w:p>
    <w:p>
      <w:pPr>
        <w:jc w:val="both"/>
        <w:ind w:left="1300" w:hanging="320"/>
        <w:spacing w:after="0" w:line="290" w:lineRule="auto"/>
        <w:tabs>
          <w:tab w:leader="none" w:pos="1300"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As mutually agreed, Supplier’s responsibility for breach of the warranties in Section 10.a.i. is limited to repair, replacement or provide price paid credit. Product cannot be returned without prior authorization and must reference authorization number provided by Supplier CCR#, which will not be unreasonably withheld, conditioned or delayed by Supplier. Products that are deemed by the Parties to be impractical to return due to size or location may be serviced by Supplier, or, in Supplier’s sole discretion, third parties contracted to provide service by Supplier, on site, in each case, at Supplier’s expense. In the event that Buyer elects to have Products services or repaired by its own employees or contractors, any costs related to the same must be approved and agreed to by Supplier prior to such services or repairs being performed. Supplier will supply replacements for defective components at no charge. Such repaired or replaced Product shall be returned to a site reasonably designated by Buyer at Supplier’s expense.</w:t>
      </w:r>
    </w:p>
    <w:p>
      <w:pPr>
        <w:spacing w:after="0" w:line="165" w:lineRule="exact"/>
        <w:rPr>
          <w:rFonts w:ascii="Arial" w:cs="Arial" w:eastAsia="Arial" w:hAnsi="Arial"/>
          <w:sz w:val="16"/>
          <w:szCs w:val="16"/>
          <w:color w:val="auto"/>
        </w:rPr>
      </w:pPr>
    </w:p>
    <w:p>
      <w:pPr>
        <w:ind w:left="340" w:hanging="332"/>
        <w:spacing w:after="0"/>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See Exhibit D for MNDA dated April 22, 2020 and executed between the parties, which MNDA is binding upon the parties and incorporated by reference into this Agreement. By their signatures below, the parties hereby agree that the term of the MNDA is hereby amended to extend it to run concurrently with the term of this Agreement, and that the term INFORMATION (as defined in the MNDA) shall include the terms and conditions of this Agreement. For clarity, the obligation to maintain INFORMATION (as defined in the MNDA) in confidence shall survive the termination or expiration of this Agreement for a period of three (3) years, as provided in Section 1)b) of the MNDA. Notwithstanding anything to the contrary in the MNDA, either Party may use the other Party’s name with the other Party’s prior consent to communicate the existence of a strategic partnership relationship between the Parties.</w:t>
      </w:r>
    </w:p>
    <w:p>
      <w:pPr>
        <w:spacing w:after="0" w:line="194"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Guaranty of Supply</w:t>
      </w:r>
      <w:r>
        <w:rPr>
          <w:rFonts w:ascii="Arial" w:cs="Arial" w:eastAsia="Arial" w:hAnsi="Arial"/>
          <w:sz w:val="18"/>
          <w:szCs w:val="18"/>
          <w:color w:val="auto"/>
        </w:rPr>
        <w:t>. In the event that Supplier is unable or otherwise fails or will fail, for any reason (unless due to a Force Majeure Event (as hereinafter defined) to supply a Product in accordance with the quantities and/or delivery dates specified by Buyer in a firm Purchase Order, Supplier shall promptly inform Buyer verbally with a confirmation in writing. If Supplier is able to supply some but not all of Buyer’s orders for Products, then Supplier shall supply such partial quantities of Product. Supplier shall have a period of 90 days to cure such failure or present a plan to supply by itself or through the use of a third party manufacturer approved by Buyer pursuant to the terms of this Agreement. If Supplier is still unable to fully supply Buyer’s Product demands, then Buyer may terminate this Agreement as defined in Section 7 of this Agreement in addition to any remedy provided elsewhere herein or by law.</w:t>
      </w:r>
    </w:p>
    <w:p>
      <w:pPr>
        <w:spacing w:after="0" w:line="194" w:lineRule="exact"/>
        <w:rPr>
          <w:rFonts w:ascii="Arial" w:cs="Arial" w:eastAsia="Arial" w:hAnsi="Arial"/>
          <w:sz w:val="18"/>
          <w:szCs w:val="18"/>
          <w:color w:val="auto"/>
        </w:rPr>
      </w:pPr>
    </w:p>
    <w:p>
      <w:pPr>
        <w:ind w:left="340" w:hanging="332"/>
        <w:spacing w:after="0"/>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SUPPLIER’S LIABILITY FOR ANY CLAIM OF ANY KIND FOR ANY LOSS OR DAMAGE ARISING OUT OF, CONNECTED WITH OR RESULTING FROM THIS AGREEMENT, OR FROM THE PERFORMANCE OR BREACH THEREOF, SHALL IN NO CASE, EXCEPT IN THE CASE OF SUPPLIER’S GROSS NEGLIGENCE, WILLFUL MISCONDUCT OR FOR SUPPLIER’S VIOLATIONS OF SUPPLIER’S OBLIGATIONS UNDER SECTION 12 (CONFIDENTIALITY) AND SECTION 15(INDEMNIFICATION), EXCEED [****].</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3" w:name="page254"/>
    <w:bookmarkEnd w:id="253"/>
    <w:p>
      <w:pPr>
        <w:jc w:val="both"/>
        <w:ind w:left="1300" w:hanging="320"/>
        <w:spacing w:after="0" w:line="257" w:lineRule="auto"/>
        <w:tabs>
          <w:tab w:leader="none" w:pos="13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BUYER’S LIABILITY FOR ANY CLAIM OF ANY KIND FOR ANY LOSS OR DAMAGE ARISING OUT OF, CONNECTED WITH, OR RESULTING FROM THIS AGREEMENT, OR FROM THE PERFORMANCE OR BREACH THEREOF, SHALL IN NO CASE, EXCEPT IN THE CASE OF BUYER’S GROSS NEGLIGENCE, WILLFUL MISCONDUCT, OR FOR BUYER’S VIOLATION OF BUYER’S OBLIGATIONS UNDER SECTION 12 (CONFIDENTIALITY) AND SECTION 15 (INDEMNIFICATION), EXCEED [****].</w:t>
      </w:r>
    </w:p>
    <w:p>
      <w:pPr>
        <w:spacing w:after="0" w:line="187"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IN NO EVENT SHALL EITHER PARTY BE OBLIGATED TO THE OTHER PARTY FOR ANY INDIRECT, SPECIAL, CONSEQUENTIAL OR INCIDENTAL DAMAGES, INCLUDING WITHOUT LIMITATION DAMAGES FOR LOSS OF REVENUE, PROFIT OR GOODWILL, FOR ANTICIPATED PROFITS OR FOR SPECIAL, INDIRECT, INCIDENTAL OR CONSEQUENTIAL DAMAGES ARISING OUT OF, CONNECTED WITH, OR RESULTING FROM THIS AGREEMENT, REGARDLESS OF WHETHER THE PARTY WAS ADVISED OF THE POSSIBILITY OF SUCH DAMAGES.</w:t>
      </w:r>
    </w:p>
    <w:p>
      <w:pPr>
        <w:spacing w:after="0" w:line="187" w:lineRule="exact"/>
        <w:rPr>
          <w:rFonts w:ascii="Arial" w:cs="Arial" w:eastAsia="Arial" w:hAnsi="Arial"/>
          <w:sz w:val="18"/>
          <w:szCs w:val="18"/>
          <w:color w:val="auto"/>
        </w:rPr>
      </w:pPr>
    </w:p>
    <w:p>
      <w:pPr>
        <w:ind w:left="1300" w:hanging="320"/>
        <w:spacing w:after="0"/>
        <w:tabs>
          <w:tab w:leader="none" w:pos="130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Any action resulting from any breach by either party as to the Products delivered and/or due hereunder must be commenced within one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(1) year after the cause of action has accrued.</w:t>
      </w:r>
    </w:p>
    <w:p>
      <w:pPr>
        <w:spacing w:after="0" w:line="210" w:lineRule="exact"/>
        <w:rPr>
          <w:rFonts w:ascii="Arial" w:cs="Arial" w:eastAsia="Arial" w:hAnsi="Arial"/>
          <w:sz w:val="16"/>
          <w:szCs w:val="16"/>
          <w:color w:val="auto"/>
        </w:rPr>
      </w:pPr>
    </w:p>
    <w:p>
      <w:pPr>
        <w:ind w:left="340" w:hanging="332"/>
        <w:spacing w:after="0"/>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20"/>
        <w:spacing w:after="0" w:line="290" w:lineRule="auto"/>
        <w:tabs>
          <w:tab w:leader="none" w:pos="130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Supplier shall defend, indemnify, and hold harmless Buyer, its officers, employees, agents, representatives, or affiliates from any claim, suit, loss, cost, damage, expense (including, without limitation, the costs and expenses incurred in the defense suits or actions alleging such liability) from (i) any third-party claims, resulting from, or in connection with the infringement, misappropriation or dilution of the intellectual property rights of any third party, including without limitation any copyright, patent, trademark, trade secret, or other intellectual property rights by Supplier’s Background IP (as hereinafter defined) (said indemnification shall not apply in the event that such infringement arises in whole or in part from Buyer’s infringement of said third party’s intellectual property), (ii) any injury to persons, real property or tangible personal property loss at Supplier’s facility during the manufacturing process of any of the Products. In such case, Buyer agrees to cooperate reasonably with Supplier, at Supplier’s expense, in the defense or settlement thereof.</w:t>
      </w:r>
    </w:p>
    <w:p>
      <w:pPr>
        <w:spacing w:after="0" w:line="165" w:lineRule="exact"/>
        <w:rPr>
          <w:rFonts w:ascii="Arial" w:cs="Arial" w:eastAsia="Arial" w:hAnsi="Arial"/>
          <w:sz w:val="16"/>
          <w:szCs w:val="16"/>
          <w:color w:val="auto"/>
        </w:rPr>
      </w:pPr>
    </w:p>
    <w:p>
      <w:pPr>
        <w:jc w:val="both"/>
        <w:ind w:left="1300" w:hanging="320"/>
        <w:spacing w:after="0" w:line="254" w:lineRule="auto"/>
        <w:tabs>
          <w:tab w:leader="none" w:pos="13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Buyer shall defend, indemnify, and hold harmless Supplier, its officers, employees, agents, representatives, or affiliates from (i) any third-party claims, resulting from, or in connection with the infringement, misappropriation or dilution of the intellectual property rights of any third party, including without limitation any copyright, patent, trademark, trade secret or other intellectual property rights by Buyer’s IP (as hereinafter defined) and the Improvements (as hereinafter defined) or otherwise, related to the design or Specifications of the Products; and (ii) any third party claim, injury to persons or animal, real property or tangible personal property related to the design, Specifications, use, functionality and safety of such Products. In such case, Supplier agrees to cooperate reasonably with Buyer, at Buyer’s expense, in the defense or settlement thereof.</w:t>
      </w:r>
    </w:p>
    <w:p>
      <w:pPr>
        <w:spacing w:after="0" w:line="194"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 such case, each party agrees to give the other prompt notice of each such claim, and each agrees to cooperate reasonably with other in the defense or settlement thereof.</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4" w:name="page255"/>
    <w:bookmarkEnd w:id="254"/>
    <w:p>
      <w:pPr>
        <w:ind w:left="340" w:hanging="332"/>
        <w:spacing w:after="0"/>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Insurance.</w:t>
      </w:r>
    </w:p>
    <w:p>
      <w:pPr>
        <w:spacing w:after="0" w:line="225"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During the Term of this Agreement, each party shall, at its expense, at a minimum, maintain the following insurance coverage on a primary basis with the limits of liability indicated and provide the other party with an insurance certificate showing such coverage.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Type of Coverage</w:t>
            </w:r>
          </w:p>
        </w:tc>
        <w:tc>
          <w:tcPr>
            <w:tcW w:w="22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Amount of Coverage</w:t>
            </w:r>
          </w:p>
        </w:tc>
      </w:tr>
      <w:tr>
        <w:trPr>
          <w:trHeight w:val="243"/>
        </w:trPr>
        <w:tc>
          <w:tcPr>
            <w:tcW w:w="5740" w:type="dxa"/>
            <w:vAlign w:val="bottom"/>
            <w:gridSpan w:val="2"/>
          </w:tcPr>
          <w:p>
            <w:pPr>
              <w:spacing w:after="0"/>
              <w:rPr>
                <w:sz w:val="20"/>
                <w:szCs w:val="20"/>
                <w:color w:val="auto"/>
              </w:rPr>
            </w:pPr>
            <w:r>
              <w:rPr>
                <w:rFonts w:ascii="Arial" w:cs="Arial" w:eastAsia="Arial" w:hAnsi="Arial"/>
                <w:sz w:val="18"/>
                <w:szCs w:val="18"/>
                <w:color w:val="auto"/>
              </w:rPr>
              <w:t>Workers’ Compensation</w:t>
            </w:r>
          </w:p>
        </w:tc>
        <w:tc>
          <w:tcPr>
            <w:tcW w:w="5500" w:type="dxa"/>
            <w:vAlign w:val="bottom"/>
          </w:tcPr>
          <w:p>
            <w:pPr>
              <w:spacing w:after="0"/>
              <w:rPr>
                <w:sz w:val="20"/>
                <w:szCs w:val="20"/>
                <w:color w:val="auto"/>
              </w:rPr>
            </w:pPr>
            <w:r>
              <w:rPr>
                <w:rFonts w:ascii="Arial" w:cs="Arial" w:eastAsia="Arial" w:hAnsi="Arial"/>
                <w:sz w:val="18"/>
                <w:szCs w:val="18"/>
                <w:color w:val="auto"/>
              </w:rPr>
              <w:t>Statutory</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Employers’ Liability</w:t>
            </w:r>
          </w:p>
        </w:tc>
        <w:tc>
          <w:tcPr>
            <w:tcW w:w="550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Commercial / General Liability</w:t>
            </w:r>
          </w:p>
        </w:tc>
        <w:tc>
          <w:tcPr>
            <w:tcW w:w="5500" w:type="dxa"/>
            <w:vAlign w:val="bottom"/>
          </w:tcPr>
          <w:p>
            <w:pPr>
              <w:spacing w:after="0"/>
              <w:rPr>
                <w:sz w:val="23"/>
                <w:szCs w:val="23"/>
                <w:color w:val="auto"/>
              </w:rPr>
            </w:pP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Bodily Injury / Property</w:t>
            </w:r>
          </w:p>
        </w:tc>
        <w:tc>
          <w:tcPr>
            <w:tcW w:w="5500" w:type="dxa"/>
            <w:vAlign w:val="bottom"/>
          </w:tcPr>
          <w:p>
            <w:pPr>
              <w:spacing w:after="0"/>
              <w:rPr>
                <w:sz w:val="20"/>
                <w:szCs w:val="20"/>
                <w:color w:val="auto"/>
              </w:rPr>
            </w:pPr>
            <w:r>
              <w:rPr>
                <w:rFonts w:ascii="Arial" w:cs="Arial" w:eastAsia="Arial" w:hAnsi="Arial"/>
                <w:sz w:val="18"/>
                <w:szCs w:val="18"/>
                <w:color w:val="auto"/>
              </w:rPr>
              <w:t>$[****] each occurrence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Damages / Personal Injury</w:t>
            </w:r>
          </w:p>
        </w:tc>
        <w:tc>
          <w:tcPr>
            <w:tcW w:w="5500" w:type="dxa"/>
            <w:vAlign w:val="bottom"/>
          </w:tcPr>
          <w:p>
            <w:pPr>
              <w:spacing w:after="0"/>
              <w:rPr>
                <w:sz w:val="20"/>
                <w:szCs w:val="20"/>
                <w:color w:val="auto"/>
              </w:rPr>
            </w:pPr>
            <w:r>
              <w:rPr>
                <w:rFonts w:ascii="Arial" w:cs="Arial" w:eastAsia="Arial" w:hAnsi="Arial"/>
                <w:sz w:val="18"/>
                <w:szCs w:val="18"/>
                <w:color w:val="auto"/>
              </w:rPr>
              <w:t>$[****] aggregate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Automobile Liability (if services being provided)</w:t>
            </w:r>
          </w:p>
        </w:tc>
        <w:tc>
          <w:tcPr>
            <w:tcW w:w="5500" w:type="dxa"/>
            <w:vAlign w:val="bottom"/>
          </w:tcPr>
          <w:p>
            <w:pPr>
              <w:spacing w:after="0"/>
              <w:rPr>
                <w:sz w:val="23"/>
                <w:szCs w:val="23"/>
                <w:color w:val="auto"/>
              </w:rPr>
            </w:pP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Bodily Injury</w:t>
            </w:r>
          </w:p>
        </w:tc>
        <w:tc>
          <w:tcPr>
            <w:tcW w:w="5500" w:type="dxa"/>
            <w:vAlign w:val="bottom"/>
          </w:tcPr>
          <w:p>
            <w:pPr>
              <w:spacing w:after="0"/>
              <w:rPr>
                <w:sz w:val="20"/>
                <w:szCs w:val="20"/>
                <w:color w:val="auto"/>
              </w:rPr>
            </w:pPr>
            <w:r>
              <w:rPr>
                <w:rFonts w:ascii="Arial" w:cs="Arial" w:eastAsia="Arial" w:hAnsi="Arial"/>
                <w:sz w:val="18"/>
                <w:szCs w:val="18"/>
                <w:color w:val="auto"/>
              </w:rPr>
              <w:t>$[****] each person, each accident</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Property Damage</w:t>
            </w:r>
          </w:p>
        </w:tc>
        <w:tc>
          <w:tcPr>
            <w:tcW w:w="5500" w:type="dxa"/>
            <w:vAlign w:val="bottom"/>
          </w:tcPr>
          <w:p>
            <w:pPr>
              <w:spacing w:after="0"/>
              <w:rPr>
                <w:sz w:val="20"/>
                <w:szCs w:val="20"/>
                <w:color w:val="auto"/>
              </w:rPr>
            </w:pPr>
            <w:r>
              <w:rPr>
                <w:rFonts w:ascii="Arial" w:cs="Arial" w:eastAsia="Arial" w:hAnsi="Arial"/>
                <w:sz w:val="18"/>
                <w:szCs w:val="18"/>
                <w:color w:val="auto"/>
              </w:rPr>
              <w:t>$[****] each person, each accident</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Umbrella Liability</w:t>
            </w:r>
          </w:p>
        </w:tc>
        <w:tc>
          <w:tcPr>
            <w:tcW w:w="5500" w:type="dxa"/>
            <w:vAlign w:val="bottom"/>
          </w:tcPr>
          <w:p>
            <w:pPr>
              <w:spacing w:after="0"/>
              <w:rPr>
                <w:sz w:val="20"/>
                <w:szCs w:val="20"/>
                <w:color w:val="auto"/>
              </w:rPr>
            </w:pPr>
            <w:r>
              <w:rPr>
                <w:rFonts w:ascii="Arial" w:cs="Arial" w:eastAsia="Arial" w:hAnsi="Arial"/>
                <w:sz w:val="18"/>
                <w:szCs w:val="18"/>
                <w:color w:val="auto"/>
              </w:rPr>
              <w:t>$[****] per occurrence/aggregate</w:t>
            </w:r>
          </w:p>
        </w:tc>
      </w:tr>
    </w:tbl>
    <w:p>
      <w:pPr>
        <w:spacing w:after="0" w:line="229" w:lineRule="exact"/>
        <w:rPr>
          <w:sz w:val="20"/>
          <w:szCs w:val="20"/>
          <w:color w:val="auto"/>
        </w:rPr>
      </w:pPr>
    </w:p>
    <w:p>
      <w:pPr>
        <w:ind w:left="340" w:hanging="332"/>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jc w:val="both"/>
        <w:ind w:left="1300" w:hanging="320"/>
        <w:spacing w:after="0" w:line="286" w:lineRule="auto"/>
        <w:tabs>
          <w:tab w:leader="none" w:pos="1300"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Arbitration and Governing Law.</w:t>
      </w:r>
      <w:r>
        <w:rPr>
          <w:rFonts w:ascii="Arial" w:cs="Arial" w:eastAsia="Arial" w:hAnsi="Arial"/>
          <w:sz w:val="16"/>
          <w:szCs w:val="16"/>
          <w:color w:val="auto"/>
        </w:rPr>
        <w:t xml:space="preserve"> Any dispute, claim, or controversy between the parties arising out of or in connection with this Agreement shall be settled by binding arbitration under the Commercial Arbitration Rules of the American Arbitration Association (the “AAA”). Upon a request to arbitrate, the parties shall obtain a list of 6 arbitrators from the AAA that have practiced in the commercial or business field for at least five years. Within ten days of receipt of the AAA list, the parties shall agree on an arbitrator. In the event the parties cannot agree on a single arbitrator within the ten day period, each party shall select one arbitrator, and the arbitrators selected by the parties shall appoint a third arbitrator. The arbitration proceeding shall be governed by the laws of The Commonwealth of Massachusetts. The cost of such arbitration shall be borne equally between the parties; however, each party shall be responsible for its own attorney fees. Any judgment upon the award rendered by the arbitration may be entered in any court having jurisdiction thereof. This arbitration clause shall survive the termination of this Agreement. The foregoing arbitration clause shall not preclude a party’s right to seek pre-trial preliminary injunctive relief before competent courts of appropriate jurisdiction with respect to any alleged breach of confidentiality obligations hereunder or the intellectual property rights of the other party. This Agreement is governed by and shall be interpreted and construed in accordance with the laws of The Commonwealth of Massachusetts. The parties agree that this Agreement shall not be subject to the United Nations Convention on the International Sale of Goods.</w:t>
      </w:r>
    </w:p>
    <w:p>
      <w:pPr>
        <w:spacing w:after="0" w:line="173" w:lineRule="exact"/>
        <w:rPr>
          <w:rFonts w:ascii="Arial" w:cs="Arial" w:eastAsia="Arial" w:hAnsi="Arial"/>
          <w:sz w:val="16"/>
          <w:szCs w:val="16"/>
          <w:color w:val="auto"/>
        </w:rPr>
      </w:pPr>
    </w:p>
    <w:p>
      <w:pPr>
        <w:jc w:val="both"/>
        <w:ind w:left="1300" w:hanging="320"/>
        <w:spacing w:after="0" w:line="257" w:lineRule="auto"/>
        <w:tabs>
          <w:tab w:leader="none" w:pos="1300"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xml:space="preserve"> Supplier agrees that the Products, including all packaging thereof, shipped pursuant to an order shall have been produced in material compliance with and meet the minimum standards of all applicable federal, state and local laws, regulations, rules, guides, ordinances and/or standards, including customs and trade compliance as detailed in Section 6(e). Each of the parties agrees that it will perform its respective obligations under this Agreement in a manner materially consistent with the requirements of all applicable U.S. laws and regulations.</w:t>
      </w:r>
    </w:p>
    <w:p>
      <w:pPr>
        <w:spacing w:after="0" w:line="187"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xml:space="preserve"> Nothing in this Agreement shall create or be deemed to create a partnership or the relationship of principal and agent or employer and employee between the Parties. Neither Party has the authority or power to bind, to contract in the name of or to create a liability for the other in any way or for any purpose.</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permitted successors and assigns.</w:t>
      </w:r>
    </w:p>
    <w:p>
      <w:pPr>
        <w:spacing w:after="0" w:line="170" w:lineRule="exact"/>
        <w:rPr>
          <w:rFonts w:ascii="Arial" w:cs="Arial" w:eastAsia="Arial" w:hAnsi="Arial"/>
          <w:sz w:val="18"/>
          <w:szCs w:val="18"/>
          <w:color w:val="auto"/>
        </w:rPr>
      </w:pPr>
    </w:p>
    <w:p>
      <w:pPr>
        <w:jc w:val="both"/>
        <w:ind w:left="1300" w:hanging="320"/>
        <w:spacing w:after="0" w:line="296" w:lineRule="auto"/>
        <w:tabs>
          <w:tab w:leader="none" w:pos="1300"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Entire Agreement; Severability.</w:t>
      </w:r>
      <w:r>
        <w:rPr>
          <w:rFonts w:ascii="Arial" w:cs="Arial" w:eastAsia="Arial" w:hAnsi="Arial"/>
          <w:sz w:val="16"/>
          <w:szCs w:val="16"/>
          <w:color w:val="auto"/>
        </w:rPr>
        <w:t xml:space="preserve"> This Agreement, together with any Purchase Order and the Exhibits attached hereto and made a part hereof constitute the entire understanding of the parties with respect to the subject matter hereof, superseding any and all previous understandings, contracts and agreements, written and oral and this Agreement may only be waived, modified, or amended in a writing signed by the parties. The terms of this Agreement shall prevail over the terms of any other documents or agreement between the parties. If any portion of this Agreement is held to be unenforceable, the remaining portions remain in full force and effect.</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5" w:name="page256"/>
    <w:bookmarkEnd w:id="255"/>
    <w:p>
      <w:pPr>
        <w:ind w:left="320" w:hanging="320"/>
        <w:spacing w:after="0" w:line="277" w:lineRule="auto"/>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Any waiver by either party of a breach of any provision of this Agreement will not be construed to be a waiver of any other breach or any other provision of this Agreement. Any waiver must be in writing.</w:t>
      </w:r>
    </w:p>
    <w:p>
      <w:pPr>
        <w:spacing w:after="0" w:line="170" w:lineRule="exact"/>
        <w:rPr>
          <w:rFonts w:ascii="Arial" w:cs="Arial" w:eastAsia="Arial" w:hAnsi="Arial"/>
          <w:sz w:val="18"/>
          <w:szCs w:val="18"/>
          <w:color w:val="auto"/>
        </w:rPr>
      </w:pPr>
    </w:p>
    <w:p>
      <w:pPr>
        <w:jc w:val="both"/>
        <w:ind w:left="320" w:hanging="320"/>
        <w:spacing w:after="0" w:line="270" w:lineRule="auto"/>
        <w:tabs>
          <w:tab w:leader="none" w:pos="320"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All notices required to be given under this Agreement must be given in writing to the respective parties at the addresses shown on the first page of this Agreement or such other address as either party may designate by written notice pursuant hereto. Notices shall be deemed effectively given: (a) upon personal delivery to the party to be notified; (b) when received when sent by e-mail by the party to be notified; provided, however, that notices given by e-mail shall not be effective unless either (i) a duplicate copy of such e-mail notice is promptly given by one of the other methods described in this Section 17.g., or (ii) the receiving party delivers a written confirmation of receipt for such notice either by e-mail or any other method described in this Section 17.g.; (c) one business day after deposit with a reputable overnight courier, prepaid for overnight delivery; or (d) three business days after deposit with the U.S. Post Office, postage prepaid, certified with return receipt requested. Notwithstanding the foregoing, any notices under Section 7.b. shall be given by a method other than e-mail.</w:t>
      </w:r>
    </w:p>
    <w:p>
      <w:pPr>
        <w:spacing w:after="0" w:line="180" w:lineRule="exact"/>
        <w:rPr>
          <w:rFonts w:ascii="Arial" w:cs="Arial" w:eastAsia="Arial" w:hAnsi="Arial"/>
          <w:sz w:val="17"/>
          <w:szCs w:val="17"/>
          <w:color w:val="auto"/>
        </w:rPr>
      </w:pPr>
    </w:p>
    <w:p>
      <w:pPr>
        <w:ind w:left="320" w:hanging="320"/>
        <w:spacing w:after="0" w:line="277" w:lineRule="auto"/>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waiver by a party of any default or other breach of this Agreement by the other party shall not constitute a waiver of any subsequent default or other breach.</w:t>
      </w:r>
    </w:p>
    <w:p>
      <w:pPr>
        <w:spacing w:after="0" w:line="170" w:lineRule="exact"/>
        <w:rPr>
          <w:rFonts w:ascii="Arial" w:cs="Arial" w:eastAsia="Arial" w:hAnsi="Arial"/>
          <w:sz w:val="18"/>
          <w:szCs w:val="18"/>
          <w:color w:val="auto"/>
        </w:rPr>
      </w:pPr>
    </w:p>
    <w:p>
      <w:pPr>
        <w:ind w:left="320" w:hanging="320"/>
        <w:spacing w:after="0" w:line="277" w:lineRule="auto"/>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Captions; Headings</w:t>
      </w:r>
      <w:r>
        <w:rPr>
          <w:rFonts w:ascii="Arial" w:cs="Arial" w:eastAsia="Arial" w:hAnsi="Arial"/>
          <w:sz w:val="18"/>
          <w:szCs w:val="18"/>
          <w:color w:val="auto"/>
        </w:rPr>
        <w:t>. The captions in an order are for convenience only and shall not limit or otherwise affect any of the terms or conditions of an order.</w:t>
      </w:r>
    </w:p>
    <w:p>
      <w:pPr>
        <w:spacing w:after="0" w:line="170" w:lineRule="exact"/>
        <w:rPr>
          <w:rFonts w:ascii="Arial" w:cs="Arial" w:eastAsia="Arial" w:hAnsi="Arial"/>
          <w:sz w:val="18"/>
          <w:szCs w:val="18"/>
          <w:color w:val="auto"/>
        </w:rPr>
      </w:pPr>
    </w:p>
    <w:p>
      <w:pPr>
        <w:jc w:val="both"/>
        <w:ind w:left="320" w:hanging="320"/>
        <w:spacing w:after="0" w:line="270" w:lineRule="auto"/>
        <w:tabs>
          <w:tab w:leader="none" w:pos="320"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Force Majeure</w:t>
      </w:r>
      <w:r>
        <w:rPr>
          <w:rFonts w:ascii="Arial" w:cs="Arial" w:eastAsia="Arial" w:hAnsi="Arial"/>
          <w:sz w:val="17"/>
          <w:szCs w:val="17"/>
          <w:color w:val="auto"/>
        </w:rPr>
        <w:t>. If the performance by either party of any non-monetary obligation under this Agreement is delayed or prevented in whole or in part by any cause not reasonably within its control (including, without limitation, acts of God, natural disasters or catastrophic events such as epidemics, pandemics, nuclear accidents, fire, flood, typhoons or earthquakes, war, civil disturbances, accidents, damage to its facilities, labor disputes, embargos, acts of any governmental body not attributable to such party’s failure to comply with this Agreement (each a “Force Majeure Event”)), it shall be excused, discharged, and released of performance to the extent and only for the duration that such performance is so limited or prevented. Each party shall use its reasonable efforts to minimize the duration and consequences of any failure of or delay in performance resulting from such a Force Majeure Event. If the Force Majeure Event continues for a cumulative period of ninety days or more, either party may terminate this Agreement and/or any Purchase Order by giving the other party thirty days prior written notice.</w:t>
      </w:r>
    </w:p>
    <w:p>
      <w:pPr>
        <w:spacing w:after="0" w:line="180" w:lineRule="exact"/>
        <w:rPr>
          <w:rFonts w:ascii="Arial" w:cs="Arial" w:eastAsia="Arial" w:hAnsi="Arial"/>
          <w:sz w:val="17"/>
          <w:szCs w:val="17"/>
          <w:color w:val="auto"/>
        </w:rPr>
      </w:pPr>
    </w:p>
    <w:p>
      <w:pPr>
        <w:jc w:val="both"/>
        <w:ind w:left="320" w:hanging="320"/>
        <w:spacing w:after="0" w:line="263" w:lineRule="auto"/>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benefits solely the parties and their respective permitted successors and assigns and nothing in this Agreement, express, or implied, confers on any other person or entity any legal or equitable right, benefit or remedy of any nature whatsoever under or by reason of this Agreement.</w:t>
      </w:r>
    </w:p>
    <w:p>
      <w:pPr>
        <w:spacing w:after="0" w:line="183" w:lineRule="exact"/>
        <w:rPr>
          <w:rFonts w:ascii="Arial" w:cs="Arial" w:eastAsia="Arial" w:hAnsi="Arial"/>
          <w:sz w:val="18"/>
          <w:szCs w:val="18"/>
          <w:color w:val="auto"/>
        </w:rPr>
      </w:pPr>
    </w:p>
    <w:p>
      <w:pPr>
        <w:ind w:left="320" w:hanging="320"/>
        <w:spacing w:after="0" w:line="308" w:lineRule="auto"/>
        <w:tabs>
          <w:tab w:leader="none" w:pos="320"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following provisions of this Agreement shall survive the expiration or termination of this Agreement in accordance with the respective terms thereof: Sections 7.c., Section 10, Section 12, Section 14, Section 15, and Sections 17 – 19.</w:t>
      </w:r>
    </w:p>
    <w:p>
      <w:pPr>
        <w:spacing w:after="0" w:line="25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800" w:right="339" w:bottom="1440" w:gutter="0" w:footer="0" w:header="0"/>
        </w:sectPr>
      </w:pPr>
    </w:p>
    <w:bookmarkStart w:id="256" w:name="page257"/>
    <w:bookmarkEnd w:id="256"/>
    <w:p>
      <w:pPr>
        <w:ind w:left="340" w:hanging="332"/>
        <w:spacing w:after="0"/>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20"/>
        <w:spacing w:after="0" w:line="287" w:lineRule="auto"/>
        <w:tabs>
          <w:tab w:leader="none" w:pos="130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In order for Supplier to be able to manufacture Products or otherwise fulfill its obligations hereunder Buyer may provide Supplier with information containing intellectual property rights held directly by the Buyer or through licenses to Buyer by third parties (“Buyer’s IP”). Supplier undertakes to treat such Buyer’s IP confidential in accordance with the confidentiality requirements in the MNDA attached hereto as Exhibit B executed by and between the parties. Buyer retains all rights, ownership, title and interest in Buyer’s IP including any Buyer Specifications, as well as in all modifications, enhancements, improvements and derivatives related thereto (collectively “Improvements”) to the Products, whether created by Buyer or Supplier. Buyer hereby grants to Supplier a limited, non-exclusive, non-assignable, non-sublicensable right and license to use the Buyer’s IP, including the Specifications and Improvements and such other information solely for the purposes of manufacturing Products for the account of Buyer and otherwise carrying out its obligations hereunder. For clarity, Supplier shall retain full ownership of and title to any inventions (whether or not patentable), know-how, technology and other intellectual property rights belonging to it prior to the Effective Date or which are independently developed by Supplier outside the scope of this Agreement, without reference to or the use of Buyer’s inventions or Buyer’s IP (whether or not patentable), know-how, or technology, including any improvements thereto regardless of creator (“Supplier’s Background IP”).</w:t>
      </w:r>
    </w:p>
    <w:p>
      <w:pPr>
        <w:spacing w:after="0" w:line="167" w:lineRule="exact"/>
        <w:rPr>
          <w:rFonts w:ascii="Arial" w:cs="Arial" w:eastAsia="Arial" w:hAnsi="Arial"/>
          <w:sz w:val="16"/>
          <w:szCs w:val="16"/>
          <w:color w:val="auto"/>
        </w:rPr>
      </w:pPr>
    </w:p>
    <w:p>
      <w:pPr>
        <w:jc w:val="both"/>
        <w:ind w:left="1300" w:hanging="320"/>
        <w:spacing w:after="0" w:line="259"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Supplier shall not sell or disclose any Products that have been customized or produced by Supplier in accordance with Buyer’s Specifications to any third party without Buyer’s consent. Notwithstanding the foregoing, Buyer acknowledges and agrees that Supplier is free to enter into and have similar agreements with others, and to conduct its business in whatever way it chooses, subject only insofar as concerns the Buyer and Buyer’s IP, to the other provisions of this Agreement.</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Buyer’s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20"/>
        <w:spacing w:after="0" w:line="275" w:lineRule="auto"/>
        <w:tabs>
          <w:tab w:leader="none" w:pos="130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All tooling, dies, parts, schedules, and Specifications and all reproductions thereof, any other property furnished to Supplier by Buyer or paid for by Buyer, shall be (i) the property of Buyer, (ii) clearly identified as Buyer’s property by Supplier, and (iii) used only in filling orders from Buyer or its designee (“Buyer’s Property”). All tooling provided or acquired by Buyer in the course of this Agreement may not be used for any other customer unless first purchased by Supplier from Buyer. Supplier shall maintain tooling in good operating condition and free from damage for the duration of this Agreement except for normal wear within expected life.</w:t>
      </w:r>
    </w:p>
    <w:p>
      <w:pPr>
        <w:spacing w:after="0" w:line="176" w:lineRule="exact"/>
        <w:rPr>
          <w:rFonts w:ascii="Arial" w:cs="Arial" w:eastAsia="Arial" w:hAnsi="Arial"/>
          <w:sz w:val="17"/>
          <w:szCs w:val="17"/>
          <w:color w:val="auto"/>
        </w:rPr>
      </w:pPr>
    </w:p>
    <w:p>
      <w:pPr>
        <w:jc w:val="both"/>
        <w:ind w:left="1300" w:hanging="320"/>
        <w:spacing w:after="0" w:line="254"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Supplier shall absorb the [****] costs (“[***] Cost”) in connection with this Agreement;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should Supplier be required to purchase unique or specific tooling, dies, parts, machinery, or any other property (“Unique Equipment”) to fulfill Supplier’s obligations hereunder, Supplier shall request Buyer’s written approval, which approval shall not be unreasonably withheld. If Buyer does not approve such purchase, Buyer and Supplier shall negotiate and cooperate in good faith regarding Supplier’s manufacture of the Products without such Unique Equipment. Buyer, upon approving Supplier’s requested purchase, shall reimburse Supplier [****] of the Unique Equipment purchased, and such purchased Unique Equipment shall then be considered Buyer’s Property and subject to Section 19(a) above.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7" w:name="page258"/>
    <w:bookmarkEnd w:id="257"/>
    <w:p>
      <w:pPr>
        <w:ind w:left="660"/>
        <w:spacing w:after="0"/>
        <w:rPr>
          <w:sz w:val="20"/>
          <w:szCs w:val="20"/>
          <w:color w:val="auto"/>
        </w:rPr>
      </w:pPr>
      <w:r>
        <w:rPr>
          <w:rFonts w:ascii="Arial" w:cs="Arial" w:eastAsia="Arial" w:hAnsi="Arial"/>
          <w:sz w:val="17"/>
          <w:szCs w:val="17"/>
          <w:color w:val="auto"/>
        </w:rPr>
        <w:t>IN WITNESS WHEREOF, the parties have caused this Agreement to be signed by their duly authorized officers on the Effective Date.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Agrify Corporation</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Mack Molding Company</w:t>
            </w:r>
          </w:p>
        </w:tc>
      </w:tr>
      <w:tr>
        <w:trPr>
          <w:trHeight w:val="479"/>
        </w:trPr>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tcPr>
          <w:p>
            <w:pPr>
              <w:ind w:left="980"/>
              <w:spacing w:after="0"/>
              <w:rPr>
                <w:sz w:val="20"/>
                <w:szCs w:val="20"/>
                <w:color w:val="auto"/>
              </w:rPr>
            </w:pPr>
            <w:r>
              <w:rPr>
                <w:rFonts w:ascii="Arial" w:cs="Arial" w:eastAsia="Arial" w:hAnsi="Arial"/>
                <w:sz w:val="18"/>
                <w:szCs w:val="18"/>
                <w:color w:val="auto"/>
              </w:rPr>
              <w:t>Signature</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40" w:type="dxa"/>
            <w:vAlign w:val="bottom"/>
          </w:tcPr>
          <w:p>
            <w:pPr>
              <w:ind w:left="1060"/>
              <w:spacing w:after="0"/>
              <w:rPr>
                <w:sz w:val="20"/>
                <w:szCs w:val="20"/>
                <w:color w:val="auto"/>
              </w:rPr>
            </w:pPr>
            <w:r>
              <w:rPr>
                <w:rFonts w:ascii="Arial" w:cs="Arial" w:eastAsia="Arial" w:hAnsi="Arial"/>
                <w:sz w:val="18"/>
                <w:szCs w:val="18"/>
                <w:color w:val="auto"/>
              </w:rPr>
              <w:t>Signature</w:t>
            </w:r>
          </w:p>
        </w:tc>
      </w:tr>
      <w:tr>
        <w:trPr>
          <w:trHeight w:val="688"/>
        </w:trPr>
        <w:tc>
          <w:tcPr>
            <w:tcW w:w="4500" w:type="dxa"/>
            <w:vAlign w:val="bottom"/>
            <w:gridSpan w:val="3"/>
          </w:tcPr>
          <w:p>
            <w:pPr>
              <w:spacing w:after="0"/>
              <w:rPr>
                <w:sz w:val="20"/>
                <w:szCs w:val="20"/>
                <w:color w:val="auto"/>
              </w:rPr>
            </w:pPr>
            <w:r>
              <w:rPr>
                <w:rFonts w:ascii="Arial" w:cs="Arial" w:eastAsia="Arial" w:hAnsi="Arial"/>
                <w:sz w:val="18"/>
                <w:szCs w:val="18"/>
                <w:color w:val="auto"/>
              </w:rPr>
              <w:t>Print Name: Niv Krikov</w:t>
            </w:r>
          </w:p>
        </w:tc>
        <w:tc>
          <w:tcPr>
            <w:tcW w:w="100" w:type="dxa"/>
            <w:vAlign w:val="bottom"/>
          </w:tcPr>
          <w:p>
            <w:pPr>
              <w:spacing w:after="0"/>
              <w:rPr>
                <w:sz w:val="24"/>
                <w:szCs w:val="24"/>
                <w:color w:val="auto"/>
              </w:rPr>
            </w:pPr>
          </w:p>
        </w:tc>
        <w:tc>
          <w:tcPr>
            <w:tcW w:w="6640" w:type="dxa"/>
            <w:vAlign w:val="bottom"/>
            <w:gridSpan w:val="3"/>
          </w:tcPr>
          <w:p>
            <w:pPr>
              <w:ind w:left="2080"/>
              <w:spacing w:after="0"/>
              <w:rPr>
                <w:sz w:val="20"/>
                <w:szCs w:val="20"/>
                <w:color w:val="auto"/>
              </w:rPr>
            </w:pPr>
            <w:r>
              <w:rPr>
                <w:rFonts w:ascii="Arial" w:cs="Arial" w:eastAsia="Arial" w:hAnsi="Arial"/>
                <w:sz w:val="18"/>
                <w:szCs w:val="18"/>
                <w:color w:val="auto"/>
              </w:rPr>
              <w:t>Print Name:</w:t>
            </w:r>
          </w:p>
        </w:tc>
      </w:tr>
      <w:tr>
        <w:trPr>
          <w:trHeight w:val="27"/>
        </w:trPr>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0" w:type="dxa"/>
            <w:vAlign w:val="bottom"/>
            <w:gridSpan w:val="2"/>
          </w:tcPr>
          <w:p>
            <w:pPr>
              <w:spacing w:after="0"/>
              <w:rPr>
                <w:sz w:val="2"/>
                <w:szCs w:val="2"/>
                <w:color w:val="auto"/>
              </w:rPr>
            </w:pPr>
          </w:p>
        </w:tc>
        <w:tc>
          <w:tcPr>
            <w:tcW w:w="3640" w:type="dxa"/>
            <w:vAlign w:val="bottom"/>
            <w:shd w:val="clear" w:color="auto" w:fill="000000"/>
          </w:tcPr>
          <w:p>
            <w:pPr>
              <w:spacing w:after="0"/>
              <w:rPr>
                <w:sz w:val="2"/>
                <w:szCs w:val="2"/>
                <w:color w:val="auto"/>
              </w:rPr>
            </w:pPr>
          </w:p>
        </w:tc>
      </w:tr>
      <w:tr>
        <w:trPr>
          <w:trHeight w:val="439"/>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2"/>
          </w:tcPr>
          <w:p>
            <w:pPr>
              <w:ind w:left="28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6640" w:type="dxa"/>
            <w:vAlign w:val="bottom"/>
            <w:gridSpan w:val="3"/>
          </w:tcPr>
          <w:p>
            <w:pPr>
              <w:ind w:left="2080"/>
              <w:spacing w:after="0"/>
              <w:rPr>
                <w:sz w:val="20"/>
                <w:szCs w:val="20"/>
                <w:color w:val="auto"/>
              </w:rPr>
            </w:pPr>
            <w:r>
              <w:rPr>
                <w:rFonts w:ascii="Arial" w:cs="Arial" w:eastAsia="Arial" w:hAnsi="Arial"/>
                <w:sz w:val="18"/>
                <w:szCs w:val="18"/>
                <w:color w:val="auto"/>
              </w:rPr>
              <w:t>Title:</w:t>
            </w:r>
          </w:p>
        </w:tc>
      </w:tr>
      <w:tr>
        <w:trPr>
          <w:trHeight w:val="574"/>
        </w:trPr>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12</w:t>
            </w:r>
          </w:p>
        </w:tc>
        <w:tc>
          <w:tcPr>
            <w:tcW w:w="840" w:type="dxa"/>
            <w:vAlign w:val="bottom"/>
            <w:tcBorders>
              <w:bottom w:val="single" w:sz="8" w:color="auto"/>
            </w:tcBorders>
          </w:tcPr>
          <w:p>
            <w:pPr>
              <w:spacing w:after="0"/>
              <w:rPr>
                <w:sz w:val="24"/>
                <w:szCs w:val="24"/>
                <w:color w:val="auto"/>
              </w:rPr>
            </w:pPr>
          </w:p>
        </w:tc>
        <w:tc>
          <w:tcPr>
            <w:tcW w:w="36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w:t>
      </w:r>
    </w:p>
    <w:p>
      <w:pPr>
        <w:spacing w:after="0" w:line="229" w:lineRule="exact"/>
        <w:rPr>
          <w:sz w:val="20"/>
          <w:szCs w:val="20"/>
          <w:color w:val="auto"/>
        </w:rPr>
      </w:pPr>
    </w:p>
    <w:p>
      <w:pPr>
        <w:ind w:firstLine="842"/>
        <w:spacing w:after="0" w:line="277" w:lineRule="auto"/>
        <w:rPr>
          <w:sz w:val="20"/>
          <w:szCs w:val="20"/>
          <w:color w:val="auto"/>
        </w:rPr>
      </w:pPr>
      <w:r>
        <w:rPr>
          <w:rFonts w:ascii="Arial" w:cs="Arial" w:eastAsia="Arial" w:hAnsi="Arial"/>
          <w:sz w:val="18"/>
          <w:szCs w:val="18"/>
          <w:color w:val="auto"/>
        </w:rPr>
        <w:t>Product cost shall equal, for each unit, the sum of the Landed Cost, Mark-Up, Mack Made Content, Line Fallout, and Labor (“Product Cost”) as defined below and demonstrated in the sample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780" w:hanging="448"/>
        <w:spacing w:after="0"/>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“Buyer BOM Sourced Content” shall mean parts and/or assemblies supplied to Supplier by Buyer.</w:t>
      </w:r>
    </w:p>
    <w:p>
      <w:pPr>
        <w:spacing w:after="0" w:line="225" w:lineRule="exact"/>
        <w:rPr>
          <w:rFonts w:ascii="Arial" w:cs="Arial" w:eastAsia="Arial" w:hAnsi="Arial"/>
          <w:sz w:val="18"/>
          <w:szCs w:val="18"/>
          <w:color w:val="auto"/>
        </w:rPr>
      </w:pPr>
    </w:p>
    <w:p>
      <w:pPr>
        <w:ind w:left="780" w:hanging="448"/>
        <w:spacing w:after="0"/>
        <w:tabs>
          <w:tab w:leader="none" w:pos="7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“Supplier BOM Sourced Content” shall mean parts and/or assemblies purchased by Supplier from third party sources (not made by Buyer).</w:t>
      </w:r>
    </w:p>
    <w:p>
      <w:pPr>
        <w:spacing w:after="0" w:line="236" w:lineRule="exact"/>
        <w:rPr>
          <w:rFonts w:ascii="Arial" w:cs="Arial" w:eastAsia="Arial" w:hAnsi="Arial"/>
          <w:sz w:val="17"/>
          <w:szCs w:val="17"/>
          <w:color w:val="auto"/>
        </w:rPr>
      </w:pPr>
    </w:p>
    <w:p>
      <w:pPr>
        <w:jc w:val="both"/>
        <w:ind w:left="780" w:hanging="448"/>
        <w:spacing w:after="0" w:line="286" w:lineRule="auto"/>
        <w:tabs>
          <w:tab w:leader="none" w:pos="7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“Inbound Freight” shall mean the cost of freight shipping and any standard or general tariff and applicable fees for the BOM Sourced Content, but does not include the Section 301 (Trade Act of 1974) Trade Remedies to be Assessed on Certain Products from China import penalty tariff. The Inbound Freight value is calculated by multiplying the Supplier BOM Sourced Content value by [****]%.</w:t>
      </w:r>
    </w:p>
    <w:p>
      <w:pPr>
        <w:spacing w:after="0" w:line="165" w:lineRule="exact"/>
        <w:rPr>
          <w:rFonts w:ascii="Arial" w:cs="Arial" w:eastAsia="Arial" w:hAnsi="Arial"/>
          <w:sz w:val="17"/>
          <w:szCs w:val="17"/>
          <w:color w:val="auto"/>
        </w:rPr>
      </w:pPr>
    </w:p>
    <w:p>
      <w:pPr>
        <w:ind w:left="780" w:hanging="448"/>
        <w:spacing w:after="0"/>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“Labor” shall mean the assembly labor and test labor required for Supplier to produce the Products.</w:t>
      </w:r>
    </w:p>
    <w:p>
      <w:pPr>
        <w:spacing w:after="0" w:line="225" w:lineRule="exact"/>
        <w:rPr>
          <w:rFonts w:ascii="Arial" w:cs="Arial" w:eastAsia="Arial" w:hAnsi="Arial"/>
          <w:sz w:val="18"/>
          <w:szCs w:val="18"/>
          <w:color w:val="auto"/>
        </w:rPr>
      </w:pPr>
    </w:p>
    <w:p>
      <w:pPr>
        <w:ind w:left="780" w:hanging="448"/>
        <w:spacing w:after="0"/>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“Landed Cost” shall mean the sum of the Supplier BOM Sourced Content value and the Inbound Freight value.</w:t>
      </w:r>
    </w:p>
    <w:p>
      <w:pPr>
        <w:spacing w:after="0" w:line="225" w:lineRule="exact"/>
        <w:rPr>
          <w:rFonts w:ascii="Arial" w:cs="Arial" w:eastAsia="Arial" w:hAnsi="Arial"/>
          <w:sz w:val="18"/>
          <w:szCs w:val="18"/>
          <w:color w:val="auto"/>
        </w:rPr>
      </w:pPr>
    </w:p>
    <w:p>
      <w:pPr>
        <w:ind w:left="780" w:hanging="448"/>
        <w:spacing w:after="0" w:line="277" w:lineRule="auto"/>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“Line Fallout” shall mean the percentage of anticipated defects by Supplier for all parts and/or assemblies. Line Fallout is calculated by subtracting Total BOM Material Content divided by ([****]) by the Total BOM Material Content.</w:t>
      </w:r>
    </w:p>
    <w:p>
      <w:pPr>
        <w:spacing w:after="0" w:line="170" w:lineRule="exact"/>
        <w:rPr>
          <w:rFonts w:ascii="Arial" w:cs="Arial" w:eastAsia="Arial" w:hAnsi="Arial"/>
          <w:sz w:val="18"/>
          <w:szCs w:val="18"/>
          <w:color w:val="auto"/>
        </w:rPr>
      </w:pPr>
    </w:p>
    <w:p>
      <w:pPr>
        <w:ind w:left="780" w:hanging="448"/>
        <w:spacing w:after="0"/>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“Total BOM Material Content” shall mean is the sum of Landed Cost, Mark-up, and Mack Made Content.</w:t>
      </w:r>
    </w:p>
    <w:p>
      <w:pPr>
        <w:spacing w:after="0" w:line="225" w:lineRule="exact"/>
        <w:rPr>
          <w:rFonts w:ascii="Arial" w:cs="Arial" w:eastAsia="Arial" w:hAnsi="Arial"/>
          <w:sz w:val="18"/>
          <w:szCs w:val="18"/>
          <w:color w:val="auto"/>
        </w:rPr>
      </w:pPr>
    </w:p>
    <w:p>
      <w:pPr>
        <w:jc w:val="both"/>
        <w:ind w:left="780" w:hanging="448"/>
        <w:spacing w:after="0" w:line="257" w:lineRule="auto"/>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“Mack Made Content” shall mean the cost of parts manufactured or supplied by Supplier plus the cost of such parts’ powder coating or external secondary operations, exclusive of the Supplier BOM Sourced Content, and the cost of powder coating or external secondary operations of certain Buyer BOM Sourced Content. The value for such Mack Made Content should not be commercially unreasonable and shall be comparable with the [****] established after completion of the first Purchase Order hereunder, such [****] to be mutually agreed to in writing by Supplier and Buyer.</w:t>
      </w:r>
    </w:p>
    <w:p>
      <w:pPr>
        <w:spacing w:after="0" w:line="187" w:lineRule="exact"/>
        <w:rPr>
          <w:rFonts w:ascii="Arial" w:cs="Arial" w:eastAsia="Arial" w:hAnsi="Arial"/>
          <w:sz w:val="18"/>
          <w:szCs w:val="18"/>
          <w:color w:val="auto"/>
        </w:rPr>
      </w:pPr>
    </w:p>
    <w:p>
      <w:pPr>
        <w:ind w:left="780" w:hanging="448"/>
        <w:spacing w:after="0" w:line="277" w:lineRule="auto"/>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“Mark-Up” shall mean the Landed Cost, multiplied by [****]% for first year of the Agreement and [****]% for the remaining years of the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SAMPLE PRICING MODEL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Supplier BOM Sourced Content*</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8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Inbound Freight</w:t>
            </w:r>
          </w:p>
        </w:tc>
        <w:tc>
          <w:tcPr>
            <w:tcW w:w="1220" w:type="dxa"/>
            <w:vAlign w:val="bottom"/>
            <w:tcBorders>
              <w:bottom w:val="single" w:sz="8" w:color="CCEEFF"/>
            </w:tcBorders>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Landed Cost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Mark-Up</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Mack Made Content*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Fallout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w:t>
            </w:r>
          </w:p>
        </w:tc>
        <w:tc>
          <w:tcPr>
            <w:tcW w:w="13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Flat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Cost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30" w:lineRule="exact"/>
        <w:rPr>
          <w:sz w:val="20"/>
          <w:szCs w:val="20"/>
          <w:color w:val="auto"/>
        </w:rPr>
      </w:pPr>
    </w:p>
    <w:p>
      <w:pPr>
        <w:ind w:left="5480" w:right="2840" w:hanging="5472"/>
        <w:spacing w:after="0" w:line="653" w:lineRule="auto"/>
        <w:tabs>
          <w:tab w:leader="none" w:pos="32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values shown for these categories are just sample values to demonstrate the calculation of the Product Cost.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9" w:name="page260"/>
    <w:bookmarkEnd w:id="259"/>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 Terms, Credit Limit and Billing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Initial payment terms are NET [****] from date of shipment from Supplier to Buyers’ designated location and Buyer’s receipt of an invoice for such Products shipped. At Effective Date, credit limit established of $[****] which includes Supplier open orders for procured material that Supplier is obligated to pay, inventory that includes components, work in process, and finished goods as well as receivables with a receivable limit of $[****].</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invoicing for finished Product, each [****] Supplier shall invoice Buyer for The Section 301 (Trade Act of 1974) Trade Remedies to be Assessed on Certain Products from China import penalty tariff at cost plus a fixed fee of [****] percent ([****]%).</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 in which (i) a shipment occurs from Supplier to Buyer and (ii) Buyer BOM Sourced Content is used, Supplier shall provide a credit memo for such Buyer BOM Sourced Content, less the [****]% overhead markup.</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0" w:name="page261"/>
    <w:bookmarkEnd w:id="260"/>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Storage Agreement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Mutual Non-disclosure and Confidentiality Agreement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Wholly-owned subsidiaries</w:t>
      </w: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TriGrow Systems, LLC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AGM Service Company LLC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Ariafy Finance, LLC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Agxiom, LLC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Harbor Mountain Holdings, LLC</w:t>
      </w:r>
    </w:p>
    <w:p>
      <w:pPr>
        <w:spacing w:after="0" w:line="225" w:lineRule="exact"/>
        <w:rPr>
          <w:sz w:val="20"/>
          <w:szCs w:val="20"/>
          <w:color w:val="auto"/>
        </w:rPr>
      </w:pPr>
    </w:p>
    <w:p>
      <w:pPr>
        <w:jc w:val="right"/>
        <w:ind w:right="9080"/>
        <w:spacing w:after="0"/>
        <w:rPr>
          <w:sz w:val="20"/>
          <w:szCs w:val="20"/>
          <w:color w:val="auto"/>
        </w:rPr>
      </w:pPr>
      <w:r>
        <w:rPr>
          <w:rFonts w:ascii="Arial" w:cs="Arial" w:eastAsia="Arial" w:hAnsi="Arial"/>
          <w:sz w:val="16"/>
          <w:szCs w:val="16"/>
          <w:u w:val="single" w:color="auto"/>
          <w:color w:val="auto"/>
        </w:rPr>
        <w:t>75% owned subsidiary</w:t>
      </w:r>
      <w:r>
        <w:rPr>
          <w:rFonts w:ascii="Arial" w:cs="Arial" w:eastAsia="Arial" w:hAnsi="Arial"/>
          <w:sz w:val="16"/>
          <w:szCs w:val="16"/>
          <w:color w:val="auto"/>
        </w:rPr>
        <w:t>:</w:t>
      </w:r>
    </w:p>
    <w:p>
      <w:pPr>
        <w:spacing w:after="0" w:line="248" w:lineRule="exact"/>
        <w:rPr>
          <w:sz w:val="20"/>
          <w:szCs w:val="20"/>
          <w:color w:val="auto"/>
        </w:rPr>
      </w:pPr>
    </w:p>
    <w:p>
      <w:pPr>
        <w:jc w:val="right"/>
        <w:ind w:right="9080"/>
        <w:spacing w:after="0"/>
        <w:rPr>
          <w:sz w:val="20"/>
          <w:szCs w:val="20"/>
          <w:color w:val="auto"/>
        </w:rPr>
      </w:pPr>
      <w:r>
        <w:rPr>
          <w:rFonts w:ascii="Arial" w:cs="Arial" w:eastAsia="Arial" w:hAnsi="Arial"/>
          <w:sz w:val="18"/>
          <w:szCs w:val="18"/>
          <w:color w:val="auto"/>
        </w:rPr>
        <w:t>Agrify Brands, LLC</w:t>
      </w:r>
    </w:p>
    <w:p>
      <w:pPr>
        <w:spacing w:after="0" w:line="225" w:lineRule="exact"/>
        <w:rPr>
          <w:sz w:val="20"/>
          <w:szCs w:val="20"/>
          <w:color w:val="auto"/>
        </w:rPr>
      </w:pPr>
    </w:p>
    <w:p>
      <w:pPr>
        <w:jc w:val="right"/>
        <w:ind w:right="9080"/>
        <w:spacing w:after="0"/>
        <w:rPr>
          <w:sz w:val="20"/>
          <w:szCs w:val="20"/>
          <w:color w:val="auto"/>
        </w:rPr>
      </w:pPr>
      <w:r>
        <w:rPr>
          <w:rFonts w:ascii="Arial" w:cs="Arial" w:eastAsia="Arial" w:hAnsi="Arial"/>
          <w:sz w:val="16"/>
          <w:szCs w:val="16"/>
          <w:u w:val="single" w:color="auto"/>
          <w:color w:val="auto"/>
        </w:rPr>
        <w:t>60% owned subsidiary</w:t>
      </w:r>
      <w:r>
        <w:rPr>
          <w:rFonts w:ascii="Arial" w:cs="Arial" w:eastAsia="Arial" w:hAnsi="Arial"/>
          <w:sz w:val="16"/>
          <w:szCs w:val="16"/>
          <w:color w:val="auto"/>
        </w:rPr>
        <w:t>:</w:t>
      </w:r>
    </w:p>
    <w:p>
      <w:pPr>
        <w:spacing w:after="0" w:line="248" w:lineRule="exact"/>
        <w:rPr>
          <w:sz w:val="20"/>
          <w:szCs w:val="20"/>
          <w:color w:val="auto"/>
        </w:rPr>
      </w:pPr>
    </w:p>
    <w:p>
      <w:pPr>
        <w:jc w:val="right"/>
        <w:ind w:right="9060"/>
        <w:spacing w:after="0"/>
        <w:rPr>
          <w:sz w:val="20"/>
          <w:szCs w:val="20"/>
          <w:color w:val="auto"/>
        </w:rPr>
      </w:pPr>
      <w:r>
        <w:rPr>
          <w:rFonts w:ascii="Arial" w:cs="Arial" w:eastAsia="Arial" w:hAnsi="Arial"/>
          <w:sz w:val="18"/>
          <w:szCs w:val="18"/>
          <w:color w:val="auto"/>
        </w:rPr>
        <w:t>Agrify-Valiant, LLC</w:t>
      </w:r>
    </w:p>
    <w:p>
      <w:pPr>
        <w:sectPr>
          <w:pgSz w:w="11900" w:h="16838" w:orient="portrait"/>
          <w:cols w:equalWidth="0" w:num="1">
            <w:col w:w="10760"/>
          </w:cols>
          <w:pgMar w:left="760" w:top="121" w:right="379" w:bottom="1440" w:gutter="0" w:footer="0" w:header="0"/>
        </w:sectPr>
      </w:pPr>
    </w:p>
    <w:bookmarkStart w:id="263" w:name="page264"/>
    <w:bookmarkEnd w:id="263"/>
    <w:p>
      <w:pPr>
        <w:jc w:val="right"/>
        <w:spacing w:after="0"/>
        <w:rPr>
          <w:sz w:val="20"/>
          <w:szCs w:val="20"/>
          <w:color w:val="auto"/>
        </w:rPr>
      </w:pPr>
      <w:r>
        <w:rPr>
          <w:rFonts w:ascii="Arial" w:cs="Arial" w:eastAsia="Arial" w:hAnsi="Arial"/>
          <w:sz w:val="22"/>
          <w:szCs w:val="22"/>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consent to the inclusion in this Registration Statement of Agrify Corporation on Form S-1 (File No. 333-251616), which includes an explanatory paragraph as to the Company’s ability to continue as a Going Concern, of our report dated March 19, 2020 (except for Note 13, as to which is dated January 12, 2021), with respect to our audits of the consolidated financial statements of Agrify Corporation and Subsidiary as of December 31, 2019 and 2018 and for the two years in the period ended December 31, 2019, which report appears in the Prospectus, which is part of this Registration Statement. We also consent to the reference to our Firm under the heading “Experts” in such Prospectus.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Melville,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12, 2021</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1)"/>
      <w:numFmt w:val="decimal"/>
      <w:start w:val="1"/>
    </w:lvl>
  </w:abstractNum>
  <w:abstractNum w:abstractNumId="1">
    <w:nsid w:val="42C296BD"/>
    <w:multiLevelType w:val="hybridMultilevel"/>
    <w:lvl w:ilvl="0">
      <w:lvlJc w:val="left"/>
      <w:lvlText w:val="(%1)"/>
      <w:numFmt w:val="decimal"/>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1)"/>
      <w:numFmt w:val="decimal"/>
      <w:start w:val="1"/>
    </w:lvl>
    <w:lvl w:ilvl="1">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1."/>
      <w:numFmt w:val="lowerLetter"/>
      <w:start w:val="1"/>
    </w:lvl>
  </w:abstractNum>
  <w:abstractNum w:abstractNumId="12">
    <w:nsid w:val="42963E5A"/>
    <w:multiLevelType w:val="hybridMultilevel"/>
    <w:lvl w:ilvl="0">
      <w:lvlJc w:val="left"/>
      <w:lvlText w:val="(%1)"/>
      <w:numFmt w:val="decimal"/>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1"/>
      <w:numFmt w:val="upperLetter"/>
      <w:start w:val="68"/>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
      <w:numFmt w:val="bullet"/>
      <w:start w:val="1"/>
    </w:lvl>
  </w:abstractNum>
  <w:abstractNum w:abstractNumId="43">
    <w:nsid w:val="CC1016F"/>
    <w:multiLevelType w:val="hybridMultilevel"/>
    <w:lvl w:ilvl="0">
      <w:lvlJc w:val="left"/>
      <w:lvlText w:val="•"/>
      <w:numFmt w:val="bullet"/>
      <w:start w:val="1"/>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1)"/>
      <w:numFmt w:val="decimal"/>
      <w:start w:val="1"/>
    </w:lvl>
  </w:abstractNum>
  <w:abstractNum w:abstractNumId="47">
    <w:nsid w:val="7F01579B"/>
    <w:multiLevelType w:val="hybridMultilevel"/>
    <w:lvl w:ilvl="0">
      <w:lvlJc w:val="left"/>
      <w:lvlText w:val="(%1)"/>
      <w:numFmt w:val="decimal"/>
      <w:start w:val="1"/>
    </w:lvl>
  </w:abstractNum>
  <w:abstractNum w:abstractNumId="48">
    <w:nsid w:val="49DA307D"/>
    <w:multiLevelType w:val="hybridMultilevel"/>
    <w:lvl w:ilvl="0">
      <w:lvlJc w:val="left"/>
      <w:lvlText w:val="(%1)"/>
      <w:numFmt w:val="decimal"/>
      <w:start w:val="3"/>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
      <w:numFmt w:val="bullet"/>
      <w:start w:val="1"/>
    </w:lvl>
  </w:abstractNum>
  <w:abstractNum w:abstractNumId="51">
    <w:nsid w:val="50801EE1"/>
    <w:multiLevelType w:val="hybridMultilevel"/>
    <w:lvl w:ilvl="0">
      <w:lvlJc w:val="left"/>
      <w:lvlText w:val="*"/>
      <w:numFmt w:val="bullet"/>
      <w:start w:val="1"/>
    </w:lvl>
  </w:abstractNum>
  <w:abstractNum w:abstractNumId="52">
    <w:nsid w:val="488AC1A"/>
    <w:multiLevelType w:val="hybridMultilevel"/>
    <w:lvl w:ilvl="0">
      <w:lvlJc w:val="left"/>
      <w:lvlText w:val="(%1)"/>
      <w:numFmt w:val="decimal"/>
      <w:start w:val="1"/>
    </w:lvl>
  </w:abstractNum>
  <w:abstractNum w:abstractNumId="53">
    <w:nsid w:val="5FB8011C"/>
    <w:multiLevelType w:val="hybridMultilevel"/>
    <w:lvl w:ilvl="0">
      <w:lvlJc w:val="left"/>
      <w:lvlText w:val="(%1)"/>
      <w:numFmt w:val="decimal"/>
      <w:start w:val="2"/>
    </w:lvl>
    <w:lvl w:ilvl="1">
      <w:lvlJc w:val="left"/>
      <w:lvlText w:val="(%2)"/>
      <w:numFmt w:val="lowerRoman"/>
      <w:start w:val="3"/>
    </w:lvl>
  </w:abstractNum>
  <w:abstractNum w:abstractNumId="54">
    <w:nsid w:val="6AA78F7F"/>
    <w:multiLevelType w:val="hybridMultilevel"/>
    <w:lvl w:ilvl="0">
      <w:lvlJc w:val="left"/>
      <w:lvlText w:val="%1"/>
      <w:numFmt w:val="decimal"/>
      <w:start w:val="1"/>
    </w:lvl>
    <w:lvl w:ilvl="1">
      <w:lvlJc w:val="left"/>
      <w:lvlText w:val="(%2)"/>
      <w:numFmt w:val="lowerRoman"/>
      <w:start w:val="2"/>
    </w:lvl>
  </w:abstractNum>
  <w:abstractNum w:abstractNumId="55">
    <w:nsid w:val="7672BD23"/>
    <w:multiLevelType w:val="hybridMultilevel"/>
    <w:lvl w:ilvl="0">
      <w:lvlJc w:val="left"/>
      <w:lvlText w:val="(%1)"/>
      <w:numFmt w:val="decimal"/>
      <w:start w:val="6"/>
    </w:lvl>
    <w:lvl w:ilvl="1">
      <w:lvlJc w:val="left"/>
      <w:lvlText w:val="%2"/>
      <w:numFmt w:val="lowerRoman"/>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
      <w:numFmt w:val="bullet"/>
      <w:start w:val="1"/>
    </w:lvl>
  </w:abstractNum>
  <w:abstractNum w:abstractNumId="60">
    <w:nsid w:val="73A1821B"/>
    <w:multiLevelType w:val="hybridMultilevel"/>
    <w:lvl w:ilvl="0">
      <w:lvlJc w:val="left"/>
      <w:lvlText w:val="•"/>
      <w:numFmt w:val="bullet"/>
      <w:start w:val="1"/>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1)"/>
      <w:numFmt w:val="lowerRoman"/>
      <w:start w:val="1"/>
    </w:lvl>
  </w:abstractNum>
  <w:abstractNum w:abstractNumId="64">
    <w:nsid w:val="14FCE74E"/>
    <w:multiLevelType w:val="hybridMultilevel"/>
    <w:lvl w:ilvl="0">
      <w:lvlJc w:val="left"/>
      <w:lvlText w:val="%1."/>
      <w:numFmt w:val="decimal"/>
      <w:start w:val="1"/>
    </w:lvl>
  </w:abstractNum>
  <w:abstractNum w:abstractNumId="65">
    <w:nsid w:val="6A3DD3E8"/>
    <w:multiLevelType w:val="hybridMultilevel"/>
    <w:lvl w:ilvl="0">
      <w:lvlJc w:val="left"/>
      <w:lvlText w:val="%1."/>
      <w:numFmt w:val="lowerLetter"/>
      <w:start w:val="1"/>
    </w:lvl>
  </w:abstractNum>
  <w:abstractNum w:abstractNumId="66">
    <w:nsid w:val="71C91298"/>
    <w:multiLevelType w:val="hybridMultilevel"/>
    <w:lvl w:ilvl="0">
      <w:lvlJc w:val="left"/>
      <w:lvlText w:val="%1."/>
      <w:numFmt w:val="lowerLetter"/>
      <w:start w:val="1"/>
    </w:lvl>
  </w:abstractNum>
  <w:abstractNum w:abstractNumId="67">
    <w:nsid w:val="9DAF632"/>
    <w:multiLevelType w:val="hybridMultilevel"/>
    <w:lvl w:ilvl="0">
      <w:lvlJc w:val="left"/>
      <w:lvlText w:val="["/>
      <w:numFmt w:val="bullet"/>
      <w:start w:val="1"/>
    </w:lvl>
  </w:abstractNum>
  <w:abstractNum w:abstractNumId="68">
    <w:nsid w:val="53299938"/>
    <w:multiLevelType w:val="hybridMultilevel"/>
    <w:lvl w:ilvl="0">
      <w:lvlJc w:val="left"/>
      <w:lvlText w:val="(%1)"/>
      <w:numFmt w:val="lowerRoman"/>
      <w:start w:val="1"/>
    </w:lvl>
  </w:abstractNum>
  <w:abstractNum w:abstractNumId="69">
    <w:nsid w:val="1FBFE8E0"/>
    <w:multiLevelType w:val="hybridMultilevel"/>
    <w:lvl w:ilvl="0">
      <w:lvlJc w:val="left"/>
      <w:lvlText w:val="•"/>
      <w:numFmt w:val="bullet"/>
      <w:start w:val="1"/>
    </w:lvl>
  </w:abstractNum>
  <w:abstractNum w:abstractNumId="70">
    <w:nsid w:val="5092CA79"/>
    <w:multiLevelType w:val="hybridMultilevel"/>
    <w:lvl w:ilvl="0">
      <w:lvlJc w:val="left"/>
      <w:lvlText w:val="*"/>
      <w:numFmt w:val="bullet"/>
      <w:start w:val="1"/>
    </w:lvl>
  </w:abstractNum>
  <w:abstractNum w:abstractNumId="71">
    <w:nsid w:val="1D545C4D"/>
    <w:multiLevelType w:val="hybridMultilevel"/>
    <w:lvl w:ilvl="0">
      <w:lvlJc w:val="left"/>
      <w:lvlText w:val="(%1)"/>
      <w:numFmt w:val="decimal"/>
      <w:start w:val="1"/>
    </w:lvl>
  </w:abstractNum>
  <w:abstractNum w:abstractNumId="72">
    <w:nsid w:val="59ADEA3D"/>
    <w:multiLevelType w:val="hybridMultilevel"/>
    <w:lvl w:ilvl="0">
      <w:lvlJc w:val="left"/>
      <w:lvlText w:val="(%1)"/>
      <w:numFmt w:val="upperLetter"/>
      <w:start w:val="1"/>
    </w:lvl>
  </w:abstractNum>
  <w:abstractNum w:abstractNumId="73">
    <w:nsid w:val="288F1A34"/>
    <w:multiLevelType w:val="hybridMultilevel"/>
    <w:lvl w:ilvl="0">
      <w:lvlJc w:val="left"/>
      <w:lvlText w:val="(%1)"/>
      <w:numFmt w:val="upperLetter"/>
      <w:start w:val="1"/>
    </w:lvl>
  </w:abstractNum>
  <w:abstractNum w:abstractNumId="74">
    <w:nsid w:val="2A155DBC"/>
    <w:multiLevelType w:val="hybridMultilevel"/>
    <w:lvl w:ilvl="0">
      <w:lvlJc w:val="left"/>
      <w:lvlText w:val="(%1)"/>
      <w:numFmt w:val="upperLetter"/>
      <w:start w:val="2"/>
    </w:lvl>
  </w:abstractNum>
  <w:abstractNum w:abstractNumId="75">
    <w:nsid w:val="1D9F6E5F"/>
    <w:multiLevelType w:val="hybridMultilevel"/>
    <w:lvl w:ilvl="0">
      <w:lvlJc w:val="left"/>
      <w:lvlText w:val="(%1)"/>
      <w:numFmt w:val="upperLetter"/>
      <w:start w:val="1"/>
    </w:lvl>
  </w:abstractNum>
  <w:abstractNum w:abstractNumId="76">
    <w:nsid w:val="97E1B4E"/>
    <w:multiLevelType w:val="hybridMultilevel"/>
    <w:lvl w:ilvl="0">
      <w:lvlJc w:val="left"/>
      <w:lvlText w:val="(%1)"/>
      <w:numFmt w:val="upperLetter"/>
      <w:start w:val="2"/>
    </w:lvl>
  </w:abstractNum>
  <w:abstractNum w:abstractNumId="77">
    <w:nsid w:val="51088277"/>
    <w:multiLevelType w:val="hybridMultilevel"/>
    <w:lvl w:ilvl="0">
      <w:lvlJc w:val="left"/>
      <w:lvlText w:val="(%1)"/>
      <w:numFmt w:val="upperLetter"/>
      <w:start w:val="1"/>
    </w:lvl>
  </w:abstractNum>
  <w:abstractNum w:abstractNumId="78">
    <w:nsid w:val="1CA0C5FA"/>
    <w:multiLevelType w:val="hybridMultilevel"/>
    <w:lvl w:ilvl="0">
      <w:lvlJc w:val="left"/>
      <w:lvlText w:val="%1"/>
      <w:numFmt w:val="upperLetter"/>
      <w:start w:val="1"/>
    </w:lvl>
    <w:lvl w:ilvl="1">
      <w:lvlJc w:val="left"/>
      <w:lvlText w:val="(%2)"/>
      <w:numFmt w:val="lowerRoman"/>
      <w:start w:val="1"/>
    </w:lvl>
  </w:abstractNum>
  <w:abstractNum w:abstractNumId="79">
    <w:nsid w:val="53584BCB"/>
    <w:multiLevelType w:val="hybridMultilevel"/>
    <w:lvl w:ilvl="0">
      <w:lvlJc w:val="left"/>
      <w:lvlText w:val="(%1)"/>
      <w:numFmt w:val="upperLetter"/>
      <w:start w:val="3"/>
    </w:lvl>
    <w:lvl w:ilvl="1">
      <w:lvlJc w:val="left"/>
      <w:lvlText w:val="(%2)"/>
      <w:numFmt w:val="lowerRoman"/>
      <w:start w:val="1"/>
    </w:lvl>
  </w:abstractNum>
  <w:abstractNum w:abstractNumId="80">
    <w:nsid w:val="415E286C"/>
    <w:multiLevelType w:val="hybridMultilevel"/>
    <w:lvl w:ilvl="0">
      <w:lvlJc w:val="left"/>
      <w:lvlText w:val="%1"/>
      <w:numFmt w:val="upperLetter"/>
      <w:start w:val="1"/>
    </w:lvl>
    <w:lvl w:ilvl="1">
      <w:lvlJc w:val="left"/>
      <w:lvlText w:val="(%2)"/>
      <w:numFmt w:val="lowerRoman"/>
      <w:start w:val="2"/>
    </w:lvl>
  </w:abstractNum>
  <w:abstractNum w:abstractNumId="81">
    <w:nsid w:val="7C58FD05"/>
    <w:multiLevelType w:val="hybridMultilevel"/>
    <w:lvl w:ilvl="0">
      <w:lvlJc w:val="left"/>
      <w:lvlText w:val="(%1)"/>
      <w:numFmt w:val="upperLetter"/>
      <w:start w:val="4"/>
    </w:lvl>
    <w:lvl w:ilvl="1">
      <w:lvlJc w:val="left"/>
      <w:lvlText w:val="(%2)"/>
      <w:numFmt w:val="lowerRoman"/>
      <w:start w:val="1"/>
    </w:lvl>
  </w:abstractNum>
  <w:abstractNum w:abstractNumId="82">
    <w:nsid w:val="23D86AAC"/>
    <w:multiLevelType w:val="hybridMultilevel"/>
    <w:lvl w:ilvl="0">
      <w:lvlJc w:val="left"/>
      <w:lvlText w:val="(%1)"/>
      <w:numFmt w:val="lowerRoman"/>
      <w:start w:val="2"/>
    </w:lvl>
  </w:abstractNum>
  <w:abstractNum w:abstractNumId="83">
    <w:nsid w:val="45E6D486"/>
    <w:multiLevelType w:val="hybridMultilevel"/>
    <w:lvl w:ilvl="0">
      <w:lvlJc w:val="left"/>
      <w:lvlText w:val="(%1)"/>
      <w:numFmt w:val="decimal"/>
      <w:start w:val="1"/>
    </w:lvl>
  </w:abstractNum>
  <w:abstractNum w:abstractNumId="84">
    <w:nsid w:val="5C10FE21"/>
    <w:multiLevelType w:val="hybridMultilevel"/>
    <w:lvl w:ilvl="0">
      <w:lvlJc w:val="left"/>
      <w:lvlText w:val="%1"/>
      <w:numFmt w:val="upperLetter"/>
      <w:start w:val="1"/>
    </w:lvl>
    <w:lvl w:ilvl="1">
      <w:lvlJc w:val="left"/>
      <w:lvlText w:val="(%2)"/>
      <w:numFmt w:val="lowerRoman"/>
      <w:start w:val="3"/>
    </w:lvl>
  </w:abstractNum>
  <w:abstractNum w:abstractNumId="85">
    <w:nsid w:val="E7FFA2B"/>
    <w:multiLevelType w:val="hybridMultilevel"/>
    <w:lvl w:ilvl="0">
      <w:lvlJc w:val="left"/>
      <w:lvlText w:val="(%1)"/>
      <w:numFmt w:val="upperLetter"/>
      <w:start w:val="2"/>
    </w:lvl>
    <w:lvl w:ilvl="1">
      <w:lvlJc w:val="left"/>
      <w:lvlText w:val="(%2)"/>
      <w:numFmt w:val="lowerRoman"/>
      <w:start w:val="5"/>
    </w:lvl>
  </w:abstractNum>
  <w:abstractNum w:abstractNumId="86">
    <w:nsid w:val="3C5991AA"/>
    <w:multiLevelType w:val="hybridMultilevel"/>
    <w:lvl w:ilvl="0">
      <w:lvlJc w:val="left"/>
      <w:lvlText w:val="(%1)"/>
      <w:numFmt w:val="upperLetter"/>
      <w:start w:val="6"/>
    </w:lvl>
  </w:abstractNum>
  <w:abstractNum w:abstractNumId="87">
    <w:nsid w:val="4BD8591A"/>
    <w:multiLevelType w:val="hybridMultilevel"/>
    <w:lvl w:ilvl="0">
      <w:lvlJc w:val="left"/>
      <w:lvlText w:val="%1."/>
      <w:numFmt w:val="decimal"/>
      <w:start w:val="1"/>
    </w:lvl>
  </w:abstractNum>
  <w:abstractNum w:abstractNumId="88">
    <w:nsid w:val="78DF6A55"/>
    <w:multiLevelType w:val="hybridMultilevel"/>
    <w:lvl w:ilvl="0">
      <w:lvlJc w:val="left"/>
      <w:lvlText w:val="%1."/>
      <w:numFmt w:val="decimal"/>
      <w:start w:val="3"/>
    </w:lvl>
  </w:abstractNum>
  <w:abstractNum w:abstractNumId="89">
    <w:nsid w:val="39B7AAA2"/>
    <w:multiLevelType w:val="hybridMultilevel"/>
    <w:lvl w:ilvl="0">
      <w:lvlJc w:val="left"/>
      <w:lvlText w:val="1"/>
      <w:numFmt w:val="bullet"/>
      <w:start w:val="1"/>
    </w:lvl>
  </w:abstractNum>
  <w:abstractNum w:abstractNumId="90">
    <w:nsid w:val="2B0D8DBE"/>
    <w:multiLevelType w:val="hybridMultilevel"/>
    <w:lvl w:ilvl="0">
      <w:lvlJc w:val="left"/>
      <w:lvlText w:val="%1"/>
      <w:numFmt w:val="lowerRoman"/>
      <w:start w:val="1"/>
    </w:lvl>
    <w:lvl w:ilvl="1">
      <w:lvlJc w:val="left"/>
      <w:lvlText w:val="%2."/>
      <w:numFmt w:val="decimal"/>
      <w:start w:val="4"/>
    </w:lvl>
  </w:abstractNum>
  <w:abstractNum w:abstractNumId="91">
    <w:nsid w:val="6C80EC70"/>
    <w:multiLevelType w:val="hybridMultilevel"/>
    <w:lvl w:ilvl="0">
      <w:lvlJc w:val="left"/>
      <w:lvlText w:val="(%1)"/>
      <w:numFmt w:val="lowerRoman"/>
      <w:start w:val="6"/>
    </w:lvl>
    <w:lvl w:ilvl="1">
      <w:lvlJc w:val="left"/>
      <w:lvlText w:val="%2."/>
      <w:numFmt w:val="decimal"/>
      <w:start w:val="5"/>
    </w:lvl>
  </w:abstractNum>
  <w:abstractNum w:abstractNumId="92">
    <w:nsid w:val="379E21B5"/>
    <w:multiLevelType w:val="hybridMultilevel"/>
    <w:lvl w:ilvl="0">
      <w:lvlJc w:val="left"/>
      <w:lvlText w:val="(%1)"/>
      <w:numFmt w:val="lowerLetter"/>
      <w:start w:val="1"/>
    </w:lvl>
  </w:abstractNum>
  <w:abstractNum w:abstractNumId="93">
    <w:nsid w:val="69E373"/>
    <w:multiLevelType w:val="hybridMultilevel"/>
    <w:lvl w:ilvl="0">
      <w:lvlJc w:val="left"/>
      <w:lvlText w:val="%1."/>
      <w:numFmt w:val="decimal"/>
      <w:start w:val="7"/>
    </w:lvl>
  </w:abstractNum>
  <w:abstractNum w:abstractNumId="94">
    <w:nsid w:val="2C27173B"/>
    <w:multiLevelType w:val="hybridMultilevel"/>
    <w:lvl w:ilvl="0">
      <w:lvlJc w:val="left"/>
      <w:lvlText w:val="(%1)"/>
      <w:numFmt w:val="lowerLetter"/>
      <w:start w:val="1"/>
    </w:lvl>
    <w:lvl w:ilvl="1">
      <w:lvlJc w:val="left"/>
      <w:lvlText w:val="(%2)"/>
      <w:numFmt w:val="lowerRoman"/>
      <w:start w:val="1"/>
    </w:lvl>
  </w:abstractNum>
  <w:abstractNum w:abstractNumId="95">
    <w:nsid w:val="4C9B090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96">
    <w:nsid w:val="6AA7B75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97">
    <w:nsid w:val="1DF029D3"/>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98">
    <w:nsid w:val="5675FF36"/>
    <w:multiLevelType w:val="hybridMultilevel"/>
    <w:lvl w:ilvl="0">
      <w:lvlJc w:val="left"/>
      <w:lvlText w:val="%1."/>
      <w:numFmt w:val="decimal"/>
      <w:start w:val="9"/>
    </w:lvl>
  </w:abstractNum>
  <w:abstractNum w:abstractNumId="99">
    <w:nsid w:val="3DD15094"/>
    <w:multiLevelType w:val="hybridMultilevel"/>
    <w:lvl w:ilvl="0">
      <w:lvlJc w:val="left"/>
      <w:lvlText w:val="(%1)"/>
      <w:numFmt w:val="lowerLetter"/>
      <w:start w:val="1"/>
    </w:lvl>
  </w:abstractNum>
  <w:abstractNum w:abstractNumId="100">
    <w:nsid w:val="3DB012B3"/>
    <w:multiLevelType w:val="hybridMultilevel"/>
    <w:lvl w:ilvl="0">
      <w:lvlJc w:val="left"/>
      <w:lvlText w:val="(%1)"/>
      <w:numFmt w:val="lowerLetter"/>
      <w:start w:val="2"/>
    </w:lvl>
  </w:abstractNum>
  <w:abstractNum w:abstractNumId="101">
    <w:nsid w:val="2708C9AF"/>
    <w:multiLevelType w:val="hybridMultilevel"/>
    <w:lvl w:ilvl="0">
      <w:lvlJc w:val="left"/>
      <w:lvlText w:val="(%1)"/>
      <w:numFmt w:val="lowerLetter"/>
      <w:start w:val="1"/>
    </w:lvl>
  </w:abstractNum>
  <w:abstractNum w:abstractNumId="102">
    <w:nsid w:val="5B25ACE2"/>
    <w:multiLevelType w:val="hybridMultilevel"/>
    <w:lvl w:ilvl="0">
      <w:lvlJc w:val="left"/>
      <w:lvlText w:val="(%1)"/>
      <w:numFmt w:val="lowerLetter"/>
      <w:start w:val="6"/>
    </w:lvl>
    <w:lvl w:ilvl="1">
      <w:lvlJc w:val="left"/>
      <w:lvlText w:val="(%2)"/>
      <w:numFmt w:val="lowerRoman"/>
      <w:start w:val="1"/>
    </w:lvl>
  </w:abstractNum>
  <w:abstractNum w:abstractNumId="103">
    <w:nsid w:val="175DFCF0"/>
    <w:multiLevelType w:val="hybridMultilevel"/>
    <w:lvl w:ilvl="0">
      <w:lvlJc w:val="left"/>
      <w:lvlText w:val="(%1)"/>
      <w:numFmt w:val="lowerRoman"/>
      <w:start w:val="6"/>
    </w:lvl>
  </w:abstractNum>
  <w:abstractNum w:abstractNumId="104">
    <w:nsid w:val="4F97E3E4"/>
    <w:multiLevelType w:val="hybridMultilevel"/>
    <w:lvl w:ilvl="0">
      <w:lvlJc w:val="left"/>
      <w:lvlText w:val="%1."/>
      <w:numFmt w:val="decimal"/>
      <w:start w:val="11"/>
    </w:lvl>
  </w:abstractNum>
  <w:abstractNum w:abstractNumId="105">
    <w:nsid w:val="53B0A9E"/>
    <w:multiLevelType w:val="hybridMultilevel"/>
    <w:lvl w:ilvl="0">
      <w:lvlJc w:val="left"/>
      <w:lvlText w:val="%1"/>
      <w:numFmt w:val="lowerRoman"/>
      <w:start w:val="1"/>
    </w:lvl>
    <w:lvl w:ilvl="1">
      <w:lvlJc w:val="left"/>
      <w:lvlText w:val="%2."/>
      <w:numFmt w:val="decimal"/>
      <w:start w:val="12"/>
    </w:lvl>
  </w:abstractNum>
  <w:abstractNum w:abstractNumId="106">
    <w:nsid w:val="34FD6B4F"/>
    <w:multiLevelType w:val="hybridMultilevel"/>
    <w:lvl w:ilvl="0">
      <w:lvlJc w:val="left"/>
      <w:lvlText w:val="(%1)"/>
      <w:numFmt w:val="lowerRoman"/>
      <w:start w:val="1"/>
    </w:lvl>
    <w:lvl w:ilvl="1">
      <w:lvlJc w:val="left"/>
      <w:lvlText w:val="%2."/>
      <w:numFmt w:val="decimal"/>
      <w:start w:val="13"/>
    </w:lvl>
  </w:abstractNum>
  <w:abstractNum w:abstractNumId="107">
    <w:nsid w:val="5915FF32"/>
    <w:multiLevelType w:val="hybridMultilevel"/>
    <w:lvl w:ilvl="0">
      <w:lvlJc w:val="left"/>
      <w:lvlText w:val="%1."/>
      <w:numFmt w:val="decimal"/>
      <w:start w:val="14"/>
    </w:lvl>
  </w:abstractNum>
  <w:abstractNum w:abstractNumId="108">
    <w:nsid w:val="56438D15"/>
    <w:multiLevelType w:val="hybridMultilevel"/>
    <w:lvl w:ilvl="0">
      <w:lvlJc w:val="left"/>
      <w:lvlText w:val="%1."/>
      <w:numFmt w:val="decimal"/>
      <w:start w:val="16"/>
    </w:lvl>
  </w:abstractNum>
  <w:abstractNum w:abstractNumId="109">
    <w:nsid w:val="519E3149"/>
    <w:multiLevelType w:val="hybridMultilevel"/>
    <w:lvl w:ilvl="0">
      <w:lvlJc w:val="left"/>
      <w:lvlText w:val="%1."/>
      <w:numFmt w:val="decimal"/>
      <w:start w:val="17"/>
    </w:lvl>
  </w:abstractNum>
  <w:abstractNum w:abstractNumId="110">
    <w:nsid w:val="2C6E4AFD"/>
    <w:multiLevelType w:val="hybridMultilevel"/>
    <w:lvl w:ilvl="0">
      <w:lvlJc w:val="left"/>
      <w:lvlText w:val="%1."/>
      <w:numFmt w:val="decimal"/>
      <w:start w:val="18"/>
    </w:lvl>
  </w:abstractNum>
  <w:abstractNum w:abstractNumId="111">
    <w:nsid w:val="17A1B582"/>
    <w:multiLevelType w:val="hybridMultilevel"/>
    <w:lvl w:ilvl="0">
      <w:lvlJc w:val="left"/>
      <w:lvlText w:val="(%1)"/>
      <w:numFmt w:val="lowerLetter"/>
      <w:start w:val="1"/>
    </w:lvl>
    <w:lvl w:ilvl="1">
      <w:lvlJc w:val="left"/>
      <w:lvlText w:val="(%2)"/>
      <w:numFmt w:val="lowerRoman"/>
      <w:start w:val="1"/>
    </w:lvl>
  </w:abstractNum>
  <w:abstractNum w:abstractNumId="112">
    <w:nsid w:val="4DF72E4E"/>
    <w:multiLevelType w:val="hybridMultilevel"/>
    <w:lvl w:ilvl="0">
      <w:lvlJc w:val="left"/>
      <w:lvlText w:val="(%1)"/>
      <w:numFmt w:val="lowerLetter"/>
      <w:start w:val="1"/>
    </w:lvl>
  </w:abstractNum>
  <w:abstractNum w:abstractNumId="113">
    <w:nsid w:val="5046B5A9"/>
    <w:multiLevelType w:val="hybridMultilevel"/>
    <w:lvl w:ilvl="0">
      <w:lvlJc w:val="left"/>
      <w:lvlText w:val="(%1)"/>
      <w:numFmt w:val="lowerLetter"/>
      <w:start w:val="4"/>
    </w:lvl>
  </w:abstractNum>
  <w:abstractNum w:abstractNumId="114">
    <w:nsid w:val="5D888A08"/>
    <w:multiLevelType w:val="hybridMultilevel"/>
    <w:lvl w:ilvl="0">
      <w:lvlJc w:val="left"/>
      <w:lvlText w:val="(%1)"/>
      <w:numFmt w:val="lowerLetter"/>
      <w:start w:val="10"/>
    </w:lvl>
  </w:abstractNum>
  <w:abstractNum w:abstractNumId="115">
    <w:nsid w:val="2A082C70"/>
    <w:multiLevelType w:val="hybridMultilevel"/>
    <w:lvl w:ilvl="0">
      <w:lvlJc w:val="left"/>
      <w:lvlText w:val="(%1)"/>
      <w:numFmt w:val="lowerLetter"/>
      <w:start w:val="1"/>
    </w:lvl>
  </w:abstractNum>
  <w:abstractNum w:abstractNumId="116">
    <w:nsid w:val="5EC6AFD4"/>
    <w:multiLevelType w:val="hybridMultilevel"/>
    <w:lvl w:ilvl="0">
      <w:lvlJc w:val="left"/>
      <w:lvlText w:val="(%1)"/>
      <w:numFmt w:val="lowerLetter"/>
      <w:start w:val="4"/>
    </w:lvl>
  </w:abstractNum>
  <w:abstractNum w:abstractNumId="117">
    <w:nsid w:val="19E21BB2"/>
    <w:multiLevelType w:val="hybridMultilevel"/>
    <w:lvl w:ilvl="0">
      <w:lvlJc w:val="left"/>
      <w:lvlText w:val="(%1)"/>
      <w:numFmt w:val="lowerLetter"/>
      <w:start w:val="1"/>
    </w:lvl>
  </w:abstractNum>
  <w:abstractNum w:abstractNumId="118">
    <w:nsid w:val="75E0858A"/>
    <w:multiLevelType w:val="hybridMultilevel"/>
    <w:lvl w:ilvl="0">
      <w:lvlJc w:val="left"/>
      <w:lvlText w:val="(%1)"/>
      <w:numFmt w:val="lowerLetter"/>
      <w:start w:val="1"/>
    </w:lvl>
  </w:abstractNum>
  <w:abstractNum w:abstractNumId="119">
    <w:nsid w:val="57A61A29"/>
    <w:multiLevelType w:val="hybridMultilevel"/>
    <w:lvl w:ilvl="0">
      <w:lvlJc w:val="left"/>
      <w:lvlText w:val="(%1)"/>
      <w:numFmt w:val="lowerLetter"/>
      <w:start w:val="2"/>
    </w:lvl>
    <w:lvl w:ilvl="1">
      <w:lvlJc w:val="left"/>
      <w:lvlText w:val="(%2)"/>
      <w:numFmt w:val="decimal"/>
      <w:start w:val="1"/>
    </w:lvl>
  </w:abstractNum>
  <w:abstractNum w:abstractNumId="120">
    <w:nsid w:val="5399C654"/>
    <w:multiLevelType w:val="hybridMultilevel"/>
    <w:lvl w:ilvl="0">
      <w:lvlJc w:val="left"/>
      <w:lvlText w:val="(%1)"/>
      <w:numFmt w:val="lowerLetter"/>
      <w:start w:val="5"/>
    </w:lvl>
  </w:abstractNum>
  <w:abstractNum w:abstractNumId="121">
    <w:nsid w:val="20EE1348"/>
    <w:multiLevelType w:val="hybridMultilevel"/>
    <w:lvl w:ilvl="0">
      <w:lvlJc w:val="left"/>
      <w:lvlText w:val="(%1)"/>
      <w:numFmt w:val="lowerLetter"/>
      <w:start w:val="1"/>
    </w:lvl>
  </w:abstractNum>
  <w:abstractNum w:abstractNumId="122">
    <w:nsid w:val="4427069A"/>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23">
    <w:nsid w:val="B37E80A"/>
    <w:multiLevelType w:val="hybridMultilevel"/>
    <w:lvl w:ilvl="0">
      <w:lvlJc w:val="left"/>
      <w:lvlText w:val="%1"/>
      <w:numFmt w:val="decimal"/>
      <w:start w:val="1"/>
    </w:lvl>
    <w:lvl w:ilvl="1">
      <w:lvlJc w:val="left"/>
      <w:lvlText w:val="%2."/>
      <w:numFmt w:val="lowerLetter"/>
      <w:start w:val="4"/>
    </w:lvl>
  </w:abstractNum>
  <w:abstractNum w:abstractNumId="124">
    <w:nsid w:val="2157F6BC"/>
    <w:multiLevelType w:val="hybridMultilevel"/>
    <w:lvl w:ilvl="0">
      <w:lvlJc w:val="left"/>
      <w:lvlText w:val="%1."/>
      <w:numFmt w:val="decimal"/>
      <w:start w:val="3"/>
    </w:lvl>
    <w:lvl w:ilvl="1">
      <w:lvlJc w:val="left"/>
      <w:lvlText w:val="%2"/>
      <w:numFmt w:val="lowerLetter"/>
      <w:start w:val="1"/>
    </w:lvl>
  </w:abstractNum>
  <w:abstractNum w:abstractNumId="125">
    <w:nsid w:val="704E1DD5"/>
    <w:multiLevelType w:val="hybridMultilevel"/>
    <w:lvl w:ilvl="0">
      <w:lvlJc w:val="left"/>
      <w:lvlText w:val="%1."/>
      <w:numFmt w:val="decimal"/>
      <w:start w:val="4"/>
    </w:lvl>
    <w:lvl w:ilvl="1">
      <w:lvlJc w:val="left"/>
      <w:lvlText w:val="%2."/>
      <w:numFmt w:val="lowerLetter"/>
      <w:start w:val="1"/>
    </w:lvl>
  </w:abstractNum>
  <w:abstractNum w:abstractNumId="126">
    <w:nsid w:val="57D2F10E"/>
    <w:multiLevelType w:val="hybridMultilevel"/>
    <w:lvl w:ilvl="0">
      <w:lvlJc w:val="left"/>
      <w:lvlText w:val="%1"/>
      <w:numFmt w:val="decimal"/>
      <w:start w:val="1"/>
    </w:lvl>
    <w:lvl w:ilvl="1">
      <w:lvlJc w:val="left"/>
      <w:lvlText w:val="%2."/>
      <w:numFmt w:val="lowerLetter"/>
      <w:start w:val="2"/>
    </w:lvl>
  </w:abstractNum>
  <w:abstractNum w:abstractNumId="127">
    <w:nsid w:val="BFFAE18"/>
    <w:multiLevelType w:val="hybridMultilevel"/>
    <w:lvl w:ilvl="0">
      <w:lvlJc w:val="left"/>
      <w:lvlText w:val="%1."/>
      <w:numFmt w:val="decimal"/>
      <w:start w:val="7"/>
    </w:lvl>
    <w:lvl w:ilvl="1">
      <w:lvlJc w:val="left"/>
      <w:lvlText w:val="%2."/>
      <w:numFmt w:val="lowerLetter"/>
      <w:start w:val="1"/>
    </w:lvl>
  </w:abstractNum>
  <w:abstractNum w:abstractNumId="128">
    <w:nsid w:val="E3E47A8"/>
    <w:multiLevelType w:val="hybridMultilevel"/>
    <w:lvl w:ilvl="0">
      <w:lvlJc w:val="left"/>
      <w:lvlText w:val="%1"/>
      <w:numFmt w:val="decimal"/>
      <w:start w:val="1"/>
    </w:lvl>
    <w:lvl w:ilvl="1">
      <w:lvlJc w:val="left"/>
      <w:lvlText w:val="%2."/>
      <w:numFmt w:val="lowerLetter"/>
      <w:start w:val="4"/>
    </w:lvl>
  </w:abstractNum>
  <w:abstractNum w:abstractNumId="129">
    <w:nsid w:val="2E48F044"/>
    <w:multiLevelType w:val="hybridMultilevel"/>
    <w:lvl w:ilvl="0">
      <w:lvlJc w:val="left"/>
      <w:lvlText w:val="%1."/>
      <w:numFmt w:val="decimal"/>
      <w:start w:val="8"/>
    </w:lvl>
    <w:lvl w:ilvl="1">
      <w:lvlJc w:val="left"/>
      <w:lvlText w:val="%2."/>
      <w:numFmt w:val="lowerLetter"/>
      <w:start w:val="1"/>
    </w:lvl>
  </w:abstractNum>
  <w:abstractNum w:abstractNumId="130">
    <w:nsid w:val="49D0FEA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31">
    <w:nsid w:val="4BEE5A5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32">
    <w:nsid w:val="5551B9F3"/>
    <w:multiLevelType w:val="hybridMultilevel"/>
    <w:lvl w:ilvl="0">
      <w:lvlJc w:val="left"/>
      <w:lvlText w:val="%1"/>
      <w:numFmt w:val="decimal"/>
      <w:start w:val="1"/>
    </w:lvl>
    <w:lvl w:ilvl="1">
      <w:lvlJc w:val="left"/>
      <w:lvlText w:val="%2."/>
      <w:numFmt w:val="lowerLetter"/>
      <w:start w:val="2"/>
    </w:lvl>
  </w:abstractNum>
  <w:abstractNum w:abstractNumId="133">
    <w:nsid w:val="24F6AB8E"/>
    <w:multiLevelType w:val="hybridMultilevel"/>
    <w:lvl w:ilvl="0">
      <w:lvlJc w:val="left"/>
      <w:lvlText w:val="%1."/>
      <w:numFmt w:val="decimal"/>
      <w:start w:val="11"/>
    </w:lvl>
    <w:lvl w:ilvl="1">
      <w:lvlJc w:val="left"/>
      <w:lvlText w:val="%2."/>
      <w:numFmt w:val="lowerLetter"/>
      <w:start w:val="1"/>
    </w:lvl>
  </w:abstractNum>
  <w:abstractNum w:abstractNumId="134">
    <w:nsid w:val="634C574C"/>
    <w:multiLevelType w:val="hybridMultilevel"/>
    <w:lvl w:ilvl="0">
      <w:lvlJc w:val="left"/>
      <w:lvlText w:val="%1"/>
      <w:numFmt w:val="decimal"/>
      <w:start w:val="1"/>
    </w:lvl>
    <w:lvl w:ilvl="1">
      <w:lvlJc w:val="left"/>
      <w:lvlText w:val="%2."/>
      <w:numFmt w:val="lowerLetter"/>
      <w:start w:val="2"/>
    </w:lvl>
  </w:abstractNum>
  <w:abstractNum w:abstractNumId="135">
    <w:nsid w:val="24E99DD7"/>
    <w:multiLevelType w:val="hybridMultilevel"/>
    <w:lvl w:ilvl="0">
      <w:lvlJc w:val="left"/>
      <w:lvlText w:val="%1."/>
      <w:numFmt w:val="decimal"/>
      <w:start w:val="15"/>
    </w:lvl>
    <w:lvl w:ilvl="1">
      <w:lvlJc w:val="left"/>
      <w:lvlText w:val="%2."/>
      <w:numFmt w:val="lowerLetter"/>
      <w:start w:val="1"/>
    </w:lvl>
  </w:abstractNum>
  <w:abstractNum w:abstractNumId="136">
    <w:nsid w:val="2A31B62D"/>
    <w:multiLevelType w:val="hybridMultilevel"/>
    <w:lvl w:ilvl="0">
      <w:lvlJc w:val="left"/>
      <w:lvlText w:val="%1."/>
      <w:numFmt w:val="decimal"/>
      <w:start w:val="16"/>
    </w:lvl>
  </w:abstractNum>
  <w:abstractNum w:abstractNumId="137">
    <w:nsid w:val="1849C29B"/>
    <w:multiLevelType w:val="hybridMultilevel"/>
    <w:lvl w:ilvl="0">
      <w:lvlJc w:val="left"/>
      <w:lvlText w:val="%1."/>
      <w:numFmt w:val="decimal"/>
      <w:start w:val="17"/>
    </w:lvl>
    <w:lvl w:ilvl="1">
      <w:lvlJc w:val="left"/>
      <w:lvlText w:val="%2."/>
      <w:numFmt w:val="lowerLetter"/>
      <w:start w:val="1"/>
    </w:lvl>
  </w:abstractNum>
  <w:abstractNum w:abstractNumId="138">
    <w:nsid w:val="7DFF9D09"/>
    <w:multiLevelType w:val="hybridMultilevel"/>
    <w:lvl w:ilvl="0">
      <w:lvlJc w:val="left"/>
      <w:lvlText w:val="%1."/>
      <w:numFmt w:val="lowerLetter"/>
      <w:start w:val="6"/>
    </w:lvl>
  </w:abstractNum>
  <w:abstractNum w:abstractNumId="139">
    <w:nsid w:val="754342"/>
    <w:multiLevelType w:val="hybridMultilevel"/>
    <w:lvl w:ilvl="0">
      <w:lvlJc w:val="left"/>
      <w:lvlText w:val="%1."/>
      <w:numFmt w:val="decimal"/>
      <w:start w:val="18"/>
    </w:lvl>
    <w:lvl w:ilvl="1">
      <w:lvlJc w:val="left"/>
      <w:lvlText w:val="%2."/>
      <w:numFmt w:val="lowerLetter"/>
      <w:start w:val="1"/>
    </w:lvl>
  </w:abstractNum>
  <w:abstractNum w:abstractNumId="140">
    <w:nsid w:val="69E7F3E5"/>
    <w:multiLevelType w:val="hybridMultilevel"/>
    <w:lvl w:ilvl="0">
      <w:lvlJc w:val="left"/>
      <w:lvlText w:val="%1."/>
      <w:numFmt w:val="lowerRoman"/>
      <w:start w:val="1"/>
    </w:lvl>
  </w:abstractNum>
  <w:abstractNum w:abstractNumId="141">
    <w:nsid w:val="2A6DE80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82" Type="http://schemas.openxmlformats.org/officeDocument/2006/relationships/image" Target="media/image270.png"/><Relationship Id="rId284" Type="http://schemas.openxmlformats.org/officeDocument/2006/relationships/image" Target="media/image271.png"/><Relationship Id="rId286" Type="http://schemas.openxmlformats.org/officeDocument/2006/relationships/image" Target="media/image272.png"/><Relationship Id="rId289" Type="http://schemas.openxmlformats.org/officeDocument/2006/relationships/image" Target="media/image273.png"/><Relationship Id="rId291" Type="http://schemas.openxmlformats.org/officeDocument/2006/relationships/image" Target="media/image274.png"/><Relationship Id="rId294" Type="http://schemas.openxmlformats.org/officeDocument/2006/relationships/image" Target="media/image275.png"/><Relationship Id="rId296" Type="http://schemas.openxmlformats.org/officeDocument/2006/relationships/image" Target="media/image276.png"/><Relationship Id="rId298" Type="http://schemas.openxmlformats.org/officeDocument/2006/relationships/image" Target="media/image277.png"/><Relationship Id="rId300" Type="http://schemas.openxmlformats.org/officeDocument/2006/relationships/image" Target="media/image278.png"/><Relationship Id="rId301" Type="http://schemas.openxmlformats.org/officeDocument/2006/relationships/image" Target="media/image279.png"/><Relationship Id="rId302" Type="http://schemas.openxmlformats.org/officeDocument/2006/relationships/image" Target="media/image280.png"/><Relationship Id="rId303" Type="http://schemas.openxmlformats.org/officeDocument/2006/relationships/image" Target="media/image281.png"/><Relationship Id="rId304" Type="http://schemas.openxmlformats.org/officeDocument/2006/relationships/image" Target="media/image282.png"/><Relationship Id="rId305"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08" Type="http://schemas.openxmlformats.org/officeDocument/2006/relationships/image" Target="media/image286.png"/><Relationship Id="rId309" Type="http://schemas.openxmlformats.org/officeDocument/2006/relationships/image" Target="media/image287.png"/><Relationship Id="rId310" Type="http://schemas.openxmlformats.org/officeDocument/2006/relationships/image" Target="media/image288.png"/><Relationship Id="rId311" Type="http://schemas.openxmlformats.org/officeDocument/2006/relationships/image" Target="media/image289.png"/><Relationship Id="rId312" Type="http://schemas.openxmlformats.org/officeDocument/2006/relationships/image" Target="media/image290.png"/><Relationship Id="rId313"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17"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321" Type="http://schemas.openxmlformats.org/officeDocument/2006/relationships/image" Target="media/image299.png"/><Relationship Id="rId322" Type="http://schemas.openxmlformats.org/officeDocument/2006/relationships/image" Target="media/image300.png"/><Relationship Id="rId323" Type="http://schemas.openxmlformats.org/officeDocument/2006/relationships/image" Target="media/image301.png"/><Relationship Id="rId324" Type="http://schemas.openxmlformats.org/officeDocument/2006/relationships/image" Target="media/image302.png"/><Relationship Id="rId325" Type="http://schemas.openxmlformats.org/officeDocument/2006/relationships/image" Target="media/image303.png"/><Relationship Id="rId326" Type="http://schemas.openxmlformats.org/officeDocument/2006/relationships/image" Target="media/image304.png"/><Relationship Id="rId327" Type="http://schemas.openxmlformats.org/officeDocument/2006/relationships/image" Target="media/image305.png"/><Relationship Id="rId328" Type="http://schemas.openxmlformats.org/officeDocument/2006/relationships/image" Target="media/image306.png"/><Relationship Id="rId329" Type="http://schemas.openxmlformats.org/officeDocument/2006/relationships/image" Target="media/image307.png"/><Relationship Id="rId330" Type="http://schemas.openxmlformats.org/officeDocument/2006/relationships/image" Target="media/image308.png"/><Relationship Id="rId331"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png"/><Relationship Id="rId334" Type="http://schemas.openxmlformats.org/officeDocument/2006/relationships/image" Target="media/image312.png"/><Relationship Id="rId335" Type="http://schemas.openxmlformats.org/officeDocument/2006/relationships/image" Target="media/image313.png"/><Relationship Id="rId336" Type="http://schemas.openxmlformats.org/officeDocument/2006/relationships/image" Target="media/image314.png"/><Relationship Id="rId337" Type="http://schemas.openxmlformats.org/officeDocument/2006/relationships/image" Target="media/image315.png"/><Relationship Id="rId338" Type="http://schemas.openxmlformats.org/officeDocument/2006/relationships/image" Target="media/image316.png"/><Relationship Id="rId339" Type="http://schemas.openxmlformats.org/officeDocument/2006/relationships/image" Target="media/image317.pn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53"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277" Type="http://schemas.openxmlformats.org/officeDocument/2006/relationships/hyperlink" Target="http://www.sec.gov/Archives/edgar/data/1800637/000121390020044121/fs12020ex2-1_agrifycorp.htm" TargetMode="External"/><Relationship Id="rId278" Type="http://schemas.openxmlformats.org/officeDocument/2006/relationships/hyperlink" Target="http://www.sec.gov/Archives/edgar/data/1800637/000121390020044121/fs12020ex4-3_agrifycorp.htm" TargetMode="External"/><Relationship Id="rId279" Type="http://schemas.openxmlformats.org/officeDocument/2006/relationships/hyperlink" Target="http://www.sec.gov/Archives/edgar/data/1800637/000121390020044121/fs12020ex10-1_agrifycorp.htm" TargetMode="External"/><Relationship Id="rId280" Type="http://schemas.openxmlformats.org/officeDocument/2006/relationships/hyperlink" Target="http://www.sec.gov/Archives/edgar/data/1800637/000121390020044121/fs12020ex10-2_agrifycorp.htm" TargetMode="External"/><Relationship Id="rId281" Type="http://schemas.openxmlformats.org/officeDocument/2006/relationships/hyperlink" Target="http://www.sec.gov/Archives/edgar/data/1800637/000121390020044121/fs12020ex10-3_agrifycorp.htm" TargetMode="External"/><Relationship Id="rId283" Type="http://schemas.openxmlformats.org/officeDocument/2006/relationships/hyperlink" Target="http://www.sec.gov/Archives/edgar/data/1800637/000121390020044121/fs12020ex10-4_agrifycorp.htm" TargetMode="External"/><Relationship Id="rId285" Type="http://schemas.openxmlformats.org/officeDocument/2006/relationships/hyperlink" Target="http://www.sec.gov/Archives/edgar/data/1800637/000121390020044121/fs12020ex10-6_agrifycorp.htm" TargetMode="External"/><Relationship Id="rId287" Type="http://schemas.openxmlformats.org/officeDocument/2006/relationships/hyperlink" Target="http://www.sec.gov/Archives/edgar/data/1800637/000121390020044121/fs12020ex10-7_agrifycorp.htm" TargetMode="External"/><Relationship Id="rId288" Type="http://schemas.openxmlformats.org/officeDocument/2006/relationships/hyperlink" Target="http://www.sec.gov/Archives/edgar/data/1800637/000121390020044121/fs12020ex10-8_agrifycorp.htm" TargetMode="External"/><Relationship Id="rId290" Type="http://schemas.openxmlformats.org/officeDocument/2006/relationships/hyperlink" Target="http://www.sec.gov/Archives/edgar/data/1800637/000121390020044121/fs12020ex10-9_agrifycorp.htm" TargetMode="External"/><Relationship Id="rId292" Type="http://schemas.openxmlformats.org/officeDocument/2006/relationships/hyperlink" Target="http://www.sec.gov/Archives/edgar/data/1800637/000121390020044121/fs12020ex10-11_agrifycorp.htm" TargetMode="External"/><Relationship Id="rId293" Type="http://schemas.openxmlformats.org/officeDocument/2006/relationships/hyperlink" Target="http://www.sec.gov/Archives/edgar/data/1800637/000121390020044121/fs12020ex10-12_agrifycorp.htm" TargetMode="External"/><Relationship Id="rId295" Type="http://schemas.openxmlformats.org/officeDocument/2006/relationships/hyperlink" Target="http://www.sec.gov/Archives/edgar/data/1800637/000121390020044121/fs12020ex10-14_agrifycorp.htm" TargetMode="External"/><Relationship Id="rId297" Type="http://schemas.openxmlformats.org/officeDocument/2006/relationships/hyperlink" Target="http://www.sec.gov/Archives/edgar/data/1800637/000121390020044121/fs12020ex10-16_agrifycorp.htm" TargetMode="External"/><Relationship Id="rId299" Type="http://schemas.openxmlformats.org/officeDocument/2006/relationships/hyperlink" Target="http://www.sec.gov/Archives/edgar/data/1800637/000121390020044121/fs12020ex14-1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2021-01-13T05:13:26Z</dcterms:created>
  <dcterms:modified xsi:type="dcterms:W3CDTF">2021-01-13T05:13:26Z</dcterms:modified>
</cp:coreProperties>
</file>