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00" w:type="dxa"/>
            <w:vAlign w:val="bottom"/>
          </w:tcPr>
          <w:p>
            <w:pPr>
              <w:spacing w:after="0"/>
              <w:rPr>
                <w:sz w:val="20"/>
                <w:szCs w:val="20"/>
                <w:color w:val="auto"/>
              </w:rPr>
            </w:pPr>
          </w:p>
        </w:tc>
      </w:tr>
      <w:tr>
        <w:trPr>
          <w:trHeight w:val="410"/>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90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90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12, 2024</w:t>
            </w:r>
          </w:p>
        </w:tc>
        <w:tc>
          <w:tcPr>
            <w:tcW w:w="290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290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2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00" w:type="dxa"/>
            <w:vAlign w:val="bottom"/>
          </w:tcPr>
          <w:p>
            <w:pPr>
              <w:spacing w:after="0"/>
              <w:rPr>
                <w:sz w:val="20"/>
                <w:szCs w:val="20"/>
                <w:color w:val="auto"/>
              </w:rPr>
            </w:pPr>
          </w:p>
        </w:tc>
      </w:tr>
      <w:tr>
        <w:trPr>
          <w:trHeight w:val="439"/>
        </w:trPr>
        <w:tc>
          <w:tcPr>
            <w:tcW w:w="30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0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7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34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2900" w:type="dxa"/>
            <w:vAlign w:val="bottom"/>
          </w:tcPr>
          <w:p>
            <w:pPr>
              <w:spacing w:after="0"/>
              <w:rPr>
                <w:sz w:val="24"/>
                <w:szCs w:val="24"/>
                <w:color w:val="auto"/>
              </w:rPr>
            </w:pPr>
          </w:p>
        </w:tc>
      </w:tr>
      <w:tr>
        <w:trPr>
          <w:trHeight w:val="245"/>
        </w:trPr>
        <w:tc>
          <w:tcPr>
            <w:tcW w:w="3040" w:type="dxa"/>
            <w:vAlign w:val="bottom"/>
          </w:tcPr>
          <w:p>
            <w:pPr>
              <w:spacing w:after="0"/>
              <w:rPr>
                <w:sz w:val="21"/>
                <w:szCs w:val="21"/>
                <w:color w:val="auto"/>
              </w:rPr>
            </w:pPr>
          </w:p>
        </w:tc>
        <w:tc>
          <w:tcPr>
            <w:tcW w:w="5300" w:type="dxa"/>
            <w:vAlign w:val="bottom"/>
            <w:gridSpan w:val="5"/>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29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6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5.07 is incorporated herein by reference.</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reported below in Item 5.07, on August 12, 2024,the shareholders of Agrify Corporation (the “Company”) approved an amendment to the Company’s 2022 Omnibus Equity Incentive Plan (the “2022 Plan”) to increase the number of shares of Common Stock available for issuance thereunder by 2,500,000 shares (the “Plan Amendment”). The Plan Amendment was included as Proposal 5 in the Company’s the Company’s definitive proxy statement filed with the Securities and Exchange Commission on July 22, 2024, as supplemented on August 9, 2024 (the “Proxy Statement”). A copy of the 2022 Plan, as amended to reflect the Plan Amendment, is attached as Exhibit 10.1 to this Current Report on Form 8-K and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August 12, 2024, the Company held its 2024 Annual Meeting of Stockholders (the “Annual Meeting”) virtually, commencing at 10:00 a.m. Eastern Time. Of the Company’s 14,230,004 shares of common stock issued and outstanding and eligible to vote as of the record date of July 17, 2024, a quorum of 6,995,824 shares, or approximately 49.2% of the eligible shares, were represented at the virtual Annual Meeting either in person or by proxy.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description of each matter voted upon at the Annual Meeting is described in detail in the Proxy Statement. The matters voted upon at the Annual Meeting and the final results of such voting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Each of the director nominees listed below were elected as directors for a one-year term, such term to continue until the annual meeting of stockholders in 2025 and until such directors’ successors are duly elected and qualified. Due to the plurality election, votes could only be cast in favor of or withheld from the nominee and thus votes against were not applicable. The results of the election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23"/>
        </w:trPr>
        <w:tc>
          <w:tcPr>
            <w:tcW w:w="7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4,904,677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1,943,331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I-Tseng Jenny Chan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4,920,877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1,943,331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4,989,836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1,943,331</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4,987,727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1,943,331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4,985,803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1,943,331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Ratification of Appointment of GuzmanGray</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appointment of GuzmanGray as the Company’s independent registered public accounting firm for the fiscal year ended December 31, 2024 was ratified. The results of the vote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23"/>
        </w:trPr>
        <w:tc>
          <w:tcPr>
            <w:tcW w:w="36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362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6,797,912</w:t>
            </w:r>
          </w:p>
        </w:tc>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170,737</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27,175</w:t>
            </w:r>
          </w:p>
        </w:tc>
        <w:tc>
          <w:tcPr>
            <w:tcW w:w="100" w:type="dxa"/>
            <w:vAlign w:val="bottom"/>
            <w:shd w:val="clear" w:color="auto" w:fill="CCEEFF"/>
          </w:tcPr>
          <w:p>
            <w:pPr>
              <w:spacing w:after="0"/>
              <w:rPr>
                <w:sz w:val="18"/>
                <w:szCs w:val="18"/>
                <w:color w:val="auto"/>
              </w:rPr>
            </w:pPr>
          </w:p>
        </w:tc>
      </w:tr>
      <w:tr>
        <w:trPr>
          <w:trHeight w:val="331"/>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Approval of Reverse Stock Split Authority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 amendment to the Company’s Articles of Incorporation to effect a reverse stock split of the shares of the Company’s Common Stock at a ratio of not less than 1-for-2 and not greater than 1-for-20, with the exact ratio of, effective time of and decision to implement the reverse stock split to be determined by the Board of Directors, was not approved. The results of the vote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16"/>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6,395,429</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576,744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23,651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 Approval to Amend the Pre-Funded Warrants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proposal, as required by Nasdaq Listing Rule 5635, to approve an amendment to the pre-funded warrants issued by the Company on May 21, 2024 to increase in the number of shares of Common Stock underlying such warrants upon the occurrence of certain equity issuances, was approved. The results of the vote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4,864,270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180,348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7,875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1,943,331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Amendment to 2022 Omnibus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to the 2022 Plan to increase the number of shares of Common Stock available for issuance thereunder by 2,500,000 shares was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vote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4,865,618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179,298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7,577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1,943,331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6 – Adjournment of Annual Meeting</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adjournment of the Annual Meeting, if necessary, to solicit additional proxies if there were not sufficient votes in favor of any of the forgoing proposals at the time of the annual meeting was approved. However, the Company elected not to adjourn the meeting to solicit additional proxies for Proposal 3. The results of the vote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16"/>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6,588,522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378,520</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28,782</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7.01. Other Events.</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13, 2024, the Company issued a press release disclosing the results of the Annual Meeting.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3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76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of Agrify Corporation, dated as of August 13, 2024.</w:t>
            </w:r>
          </w:p>
        </w:tc>
        <w:tc>
          <w:tcPr>
            <w:tcW w:w="498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5"/>
        </w:trPr>
        <w:tc>
          <w:tcPr>
            <w:tcW w:w="1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9760" w:type="dxa"/>
            <w:vAlign w:val="bottom"/>
            <w:tcBorders>
              <w:bottom w:val="single" w:sz="8" w:color="0000EE"/>
            </w:tcBorders>
            <w:gridSpan w:val="4"/>
          </w:tcPr>
          <w:p>
            <w:pPr>
              <w:spacing w:after="0" w:line="17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Agrify 2022 Omnibus Equity Incentive Plan, as amended (incorporated by reference to Appendix A to the Company’s Definitive Proxy</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4"/>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Statement on Schedule 14A filed with the Securities and Exchange Commission on July 22, 2024).</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9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Announces Results from Annual Meeting of Stockholders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TROY, Mich., Aug. 13, 2024 (GLOBE NEWSWIRE) -- Agrify Corporation (Nasdaq: AGFY) (“Agrify” or the “Company”), a leading provider of innovative cultivation and extraction solutions for the cannabis industry, today announced voting results from the Company’s Annual Meeting of Stockholders on August 12, 2024. At the Annual Meeting, all items of business were considered, as further described in the Company’s definitive proxy statement and the supplement thereto (the “Proxy Statement”).</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the Annual Meeting, approximately 49.16% of the Company’s outstanding shares of common stock were represented in person or by proxy, representing a quorum.</w:t>
      </w:r>
    </w:p>
    <w:p>
      <w:pPr>
        <w:spacing w:after="0" w:line="9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director nominees Raymond Chang, I-Tseng Jenny Chan, Max Holtzman, Timothy Mahoney, and Krishnan Varier were each re-elected to the Company’s Board of Directors. Each director nominee received a plurality of votes cast at the Annual Meeting. With the election of all of the director nominees, Agrify currently has five directors.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With more than 97.2% of the votes cast "For," stockholders ratified GuzmanGray as the Company’s independent registered public accounting firm for the year ending Dec. 31, 2024.</w:t>
      </w:r>
    </w:p>
    <w:p>
      <w:pPr>
        <w:spacing w:after="0" w:line="8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proposal to approve an amendment to the Company’s Articles of Incorporation to effect a reverse stock split of the shares of the Company’s common stock at a ratio of not less than 1-for-2 and not greater than 1-for-20, with the exact ratio of, effective time of and decision to implement the reverse stock split to be determined by the Board of Directors, requiring a majority of the Company’s outstanding shares of common stock, was not approved (“Reverse Stock Split Proposal”).</w:t>
      </w:r>
    </w:p>
    <w:p>
      <w:pPr>
        <w:spacing w:after="0" w:line="1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proposal, as required by Nasdaq Listing Rule 5635, to approve an amendment to the pre-funded warrants issued by the Company on May 21, 2024 to increase in the number of shares of Common Stock underlying such warrants upon the occurrence of certain equity issuances, passed. This proposal received 96.3% of the votes cast “For” the proposal.</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proposal for the amendment to the Agrify Corporation 2022 Omnibus Equity Incentive Plan to increase the number of shares of Common Stock available for issuance thereunder by 2,500,000 passed. This proposal received 96.3% of the votes cast “For” the proposal.</w:t>
      </w:r>
    </w:p>
    <w:p>
      <w:pPr>
        <w:spacing w:after="0" w:line="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proposal to adjourn the Annual Meeting, if necessary, to solicit additional proxies if there were not sufficient votes in favor of any of the forgoing proposals at the time of the annual meeting was approved with 94.2% of the votes cast “For” the proposal. However, the Company elected not to adjourn the meeting to solicit additional proxies for the Reverse Stock Split Proposal.</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previously disclosed, Agrify has until September 3, 2024 to regain compliance with the minimum $1 bid price requirement of the Nasdaq Capital Market. The Company plans to seek an extension of a further 180 days, but there can be no assurances that such an extension will be granted. However, if it appears to Nasdaq staff that the Company will not be able to cure the deficiency, or if the Company does not meet the other listing standards, Nasdaq could provide notice that the Company’s common stock will become subject to delisting. In the event the Company receives notice that its common stock is being delisted, the Nasdaq Listing Rules permit the Company to appeal any such delisting determination by the Nasdaq staff to a Hearings Panel. The Company may convene an additional meeting or obtain written shareholder consent to approve the Reverse Stock Split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Agrify</w:t>
      </w:r>
    </w:p>
    <w:p>
      <w:pPr>
        <w:spacing w:after="0" w:line="1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Agrify is the most innovative provider of advanced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Agrify’s website at www.agrify.com.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for the year ended December 31,</w:t>
      </w:r>
    </w:p>
    <w:p>
      <w:pPr>
        <w:spacing w:after="0" w:line="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2023 that was filed with the SEC on March 25, 2024,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Agrify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4" Type="http://schemas.openxmlformats.org/officeDocument/2006/relationships/hyperlink" Target="http://www.sec.gov/Archives/edgar/data/1800637/000101376224000467/ea0209323-02.htm#T9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2024-08-13T15:47:22Z</dcterms:created>
  <dcterms:modified xsi:type="dcterms:W3CDTF">2024-08-13T15:47:22Z</dcterms:modified>
</cp:coreProperties>
</file>