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26, 2024</w:t>
      </w:r>
    </w:p>
    <w:p>
      <w:pPr>
        <w:spacing w:after="0" w:line="31"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125730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168910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7" w:lineRule="exact"/>
        <w:rPr>
          <w:sz w:val="24"/>
          <w:szCs w:val="24"/>
          <w:color w:val="auto"/>
        </w:rPr>
      </w:pPr>
    </w:p>
    <w:tbl>
      <w:tblPr>
        <w:tblLayout w:type="fixed"/>
        <w:tblInd w:w="1540" w:type="dxa"/>
        <w:tblCellMar>
          <w:top w:w="0" w:type="dxa"/>
          <w:left w:w="0" w:type="dxa"/>
          <w:bottom w:w="0" w:type="dxa"/>
          <w:right w:w="0" w:type="dxa"/>
        </w:tblCellMar>
      </w:tblPr>
      <w:tr>
        <w:trPr>
          <w:trHeight w:val="141"/>
        </w:trPr>
        <w:tc>
          <w:tcPr>
            <w:tcW w:w="1820" w:type="dxa"/>
            <w:vAlign w:val="bottom"/>
          </w:tcPr>
          <w:p>
            <w:pPr>
              <w:spacing w:after="0"/>
              <w:rPr>
                <w:sz w:val="12"/>
                <w:szCs w:val="12"/>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1"/>
                <w:szCs w:val="11"/>
                <w:b w:val="1"/>
                <w:bCs w:val="1"/>
                <w:color w:val="auto"/>
                <w:w w:val="97"/>
              </w:rPr>
              <w:t>__________________________________________</w:t>
            </w:r>
          </w:p>
        </w:tc>
      </w:tr>
      <w:tr>
        <w:trPr>
          <w:trHeight w:val="238"/>
        </w:trPr>
        <w:tc>
          <w:tcPr>
            <w:tcW w:w="1820" w:type="dxa"/>
            <w:vAlign w:val="bottom"/>
          </w:tcPr>
          <w:p>
            <w:pPr>
              <w:spacing w:after="0"/>
              <w:rPr>
                <w:sz w:val="20"/>
                <w:szCs w:val="20"/>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r>
      <w:tr>
        <w:trPr>
          <w:trHeight w:val="369"/>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Frank A. Segall, Esq.</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Joseph M. Lucosky, Esq.</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A. Petitt, Esq.</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Steven A. Lipstein, Esq.</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Burns &amp; Levinson LLP</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Lucosky Brookman LLP</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 High Street</w:t>
            </w:r>
          </w:p>
        </w:tc>
        <w:tc>
          <w:tcPr>
            <w:tcW w:w="4480" w:type="dxa"/>
            <w:vAlign w:val="bottom"/>
          </w:tcPr>
          <w:p>
            <w:pPr>
              <w:jc w:val="center"/>
              <w:ind w:left="1778"/>
              <w:spacing w:after="0" w:line="216" w:lineRule="exact"/>
              <w:rPr>
                <w:sz w:val="20"/>
                <w:szCs w:val="20"/>
                <w:color w:val="auto"/>
              </w:rPr>
            </w:pPr>
            <w:r>
              <w:rPr>
                <w:rFonts w:ascii="Times New Roman" w:cs="Times New Roman" w:eastAsia="Times New Roman" w:hAnsi="Times New Roman"/>
                <w:sz w:val="18"/>
                <w:szCs w:val="18"/>
                <w:b w:val="1"/>
                <w:bCs w:val="1"/>
                <w:color w:val="auto"/>
                <w:w w:val="98"/>
              </w:rPr>
              <w:t>101 Wood Avenue South, 5</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02110</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8"/>
              </w:rPr>
              <w:t>Woodbridge, NJ 08830</w:t>
            </w:r>
          </w:p>
        </w:tc>
      </w:tr>
      <w:tr>
        <w:trPr>
          <w:trHeight w:val="238"/>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345-3000</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rPr>
              <w:t>(732) 395-4400</w:t>
            </w:r>
          </w:p>
        </w:tc>
      </w:tr>
      <w:tr>
        <w:trPr>
          <w:trHeight w:val="343"/>
        </w:trPr>
        <w:tc>
          <w:tcPr>
            <w:tcW w:w="1820" w:type="dxa"/>
            <w:vAlign w:val="bottom"/>
          </w:tcPr>
          <w:p>
            <w:pPr>
              <w:spacing w:after="0"/>
              <w:rPr>
                <w:sz w:val="24"/>
                <w:szCs w:val="24"/>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1"/>
                <w:szCs w:val="11"/>
                <w:b w:val="1"/>
                <w:bCs w:val="1"/>
                <w:color w:val="auto"/>
                <w:w w:val="97"/>
              </w:rPr>
              <w:t>__________________________________________</w:t>
            </w:r>
          </w:p>
        </w:tc>
      </w:tr>
    </w:tbl>
    <w:p>
      <w:pPr>
        <w:spacing w:after="0" w:line="60" w:lineRule="exact"/>
        <w:rPr>
          <w:sz w:val="24"/>
          <w:szCs w:val="24"/>
          <w:color w:val="auto"/>
        </w:rPr>
      </w:pPr>
    </w:p>
    <w:p>
      <w:pPr>
        <w:ind w:left="460" w:right="4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registration statement.</w:t>
      </w:r>
    </w:p>
    <w:p>
      <w:pPr>
        <w:spacing w:after="0" w:line="1" w:lineRule="exact"/>
        <w:rPr>
          <w:sz w:val="24"/>
          <w:szCs w:val="24"/>
          <w:color w:val="auto"/>
        </w:rPr>
      </w:pPr>
    </w:p>
    <w:p>
      <w:pPr>
        <w:jc w:val="both"/>
        <w:ind w:left="460" w:right="47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5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780" w:type="dxa"/>
        <w:tblCellMar>
          <w:top w:w="0" w:type="dxa"/>
          <w:left w:w="0" w:type="dxa"/>
          <w:bottom w:w="0" w:type="dxa"/>
          <w:right w:w="0" w:type="dxa"/>
        </w:tblCellMar>
      </w:tblP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3"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151130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194310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468630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469"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106045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9" w:lineRule="exact"/>
        <w:rPr>
          <w:sz w:val="20"/>
          <w:szCs w:val="20"/>
          <w:color w:val="auto"/>
        </w:rPr>
      </w:pPr>
    </w:p>
    <w:p>
      <w:pPr>
        <w:ind w:left="460"/>
        <w:spacing w:after="0"/>
        <w:tabs>
          <w:tab w:leader="none" w:pos="3840" w:val="left"/>
        </w:tabs>
        <w:rPr>
          <w:sz w:val="20"/>
          <w:szCs w:val="20"/>
          <w:color w:val="auto"/>
        </w:rPr>
      </w:pPr>
      <w:r>
        <w:rPr>
          <w:rFonts w:ascii="Times New Roman" w:cs="Times New Roman" w:eastAsia="Times New Roman" w:hAnsi="Times New Roman"/>
          <w:sz w:val="19"/>
          <w:szCs w:val="19"/>
          <w:b w:val="1"/>
          <w:bCs w:val="1"/>
          <w:color w:val="D2232A"/>
        </w:rPr>
        <w:t>PROSPECTUS</w:t>
      </w:r>
      <w:r>
        <w:rPr>
          <w:sz w:val="20"/>
          <w:szCs w:val="20"/>
          <w:color w:val="auto"/>
        </w:rPr>
        <w:tab/>
      </w:r>
      <w:r>
        <w:rPr>
          <w:rFonts w:ascii="Times New Roman" w:cs="Times New Roman" w:eastAsia="Times New Roman" w:hAnsi="Times New Roman"/>
          <w:sz w:val="17"/>
          <w:szCs w:val="17"/>
          <w:b w:val="1"/>
          <w:bCs w:val="1"/>
          <w:color w:val="D2232A"/>
        </w:rPr>
        <w:t>SUBJECT TO COMPLETION, DATED JANUARY 26,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-195580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2" w:lineRule="exact"/>
        <w:rPr>
          <w:sz w:val="20"/>
          <w:szCs w:val="20"/>
          <w:color w:val="auto"/>
        </w:rPr>
      </w:pPr>
    </w:p>
    <w:p>
      <w:pPr>
        <w:ind w:left="780"/>
        <w:spacing w:after="0"/>
        <w:tabs>
          <w:tab w:leader="none" w:pos="5860" w:val="left"/>
        </w:tabs>
        <w:rPr>
          <w:sz w:val="20"/>
          <w:szCs w:val="20"/>
          <w:color w:val="auto"/>
        </w:rPr>
      </w:pPr>
      <w:r>
        <w:rPr>
          <w:rFonts w:ascii="Times New Roman" w:cs="Times New Roman" w:eastAsia="Times New Roman" w:hAnsi="Times New Roman"/>
          <w:sz w:val="29"/>
          <w:szCs w:val="29"/>
          <w:b w:val="1"/>
          <w:bCs w:val="1"/>
          <w:color w:val="auto"/>
        </w:rPr>
        <w:t>Pre-Funded Warrants to Purchase</w:t>
      </w:r>
      <w:r>
        <w:rPr>
          <w:sz w:val="20"/>
          <w:szCs w:val="20"/>
          <w:color w:val="auto"/>
        </w:rPr>
        <w:tab/>
      </w:r>
      <w:r>
        <w:rPr>
          <w:rFonts w:ascii="Times New Roman" w:cs="Times New Roman" w:eastAsia="Times New Roman" w:hAnsi="Times New Roman"/>
          <w:sz w:val="28"/>
          <w:szCs w:val="28"/>
          <w:b w:val="1"/>
          <w:bCs w:val="1"/>
          <w:color w:val="auto"/>
        </w:rPr>
        <w:t>Shares of Common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962660</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97155</wp:posOffset>
            </wp:positionV>
            <wp:extent cx="84010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01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tabs>
          <w:tab w:leader="none" w:pos="2760" w:val="left"/>
        </w:tabs>
        <w:rPr>
          <w:sz w:val="20"/>
          <w:szCs w:val="20"/>
          <w:color w:val="auto"/>
        </w:rPr>
      </w:pPr>
      <w:r>
        <w:rPr>
          <w:rFonts w:ascii="Times New Roman" w:cs="Times New Roman" w:eastAsia="Times New Roman" w:hAnsi="Times New Roman"/>
          <w:sz w:val="18"/>
          <w:szCs w:val="18"/>
          <w:color w:val="auto"/>
        </w:rPr>
        <w:t>We are offering up to</w:t>
      </w:r>
      <w:r>
        <w:rPr>
          <w:sz w:val="20"/>
          <w:szCs w:val="20"/>
          <w:color w:val="auto"/>
        </w:rPr>
        <w:tab/>
      </w:r>
      <w:r>
        <w:rPr>
          <w:rFonts w:ascii="Times New Roman" w:cs="Times New Roman" w:eastAsia="Times New Roman" w:hAnsi="Times New Roman"/>
          <w:sz w:val="18"/>
          <w:szCs w:val="18"/>
          <w:color w:val="auto"/>
        </w:rPr>
        <w:t>shares of common stock, including shares of common stock underlying Pre-</w:t>
      </w:r>
    </w:p>
    <w:p>
      <w:pPr>
        <w:spacing w:after="0" w:line="27" w:lineRule="exact"/>
        <w:rPr>
          <w:sz w:val="20"/>
          <w:szCs w:val="20"/>
          <w:color w:val="auto"/>
        </w:rPr>
      </w:pPr>
    </w:p>
    <w:p>
      <w:pPr>
        <w:ind w:left="460"/>
        <w:spacing w:after="0"/>
        <w:tabs>
          <w:tab w:leader="none" w:pos="6960" w:val="left"/>
        </w:tabs>
        <w:rPr>
          <w:sz w:val="20"/>
          <w:szCs w:val="20"/>
          <w:color w:val="auto"/>
        </w:rPr>
      </w:pPr>
      <w:r>
        <w:rPr>
          <w:rFonts w:ascii="Times New Roman" w:cs="Times New Roman" w:eastAsia="Times New Roman" w:hAnsi="Times New Roman"/>
          <w:sz w:val="18"/>
          <w:szCs w:val="18"/>
          <w:color w:val="auto"/>
        </w:rPr>
        <w:t>Funded Warrants that we may issue as described below, at a purchase price of $</w:t>
      </w:r>
      <w:r>
        <w:rPr>
          <w:sz w:val="20"/>
          <w:szCs w:val="20"/>
          <w:color w:val="auto"/>
        </w:rPr>
        <w:tab/>
      </w:r>
      <w:r>
        <w:rPr>
          <w:rFonts w:ascii="Times New Roman" w:cs="Times New Roman" w:eastAsia="Times New Roman" w:hAnsi="Times New Roman"/>
          <w:sz w:val="18"/>
          <w:szCs w:val="18"/>
          <w:color w:val="auto"/>
        </w:rPr>
        <w:t>per share of common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pursuant to this prospectus.</w:t>
      </w:r>
    </w:p>
    <w:p>
      <w:pPr>
        <w:spacing w:after="0" w:line="18"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in lieu of shares of common stock. The offering price for each Pre-Funded</w:t>
      </w:r>
    </w:p>
    <w:p>
      <w:pPr>
        <w:spacing w:after="0" w:line="3" w:lineRule="exact"/>
        <w:rPr>
          <w:sz w:val="20"/>
          <w:szCs w:val="20"/>
          <w:color w:val="auto"/>
        </w:rPr>
      </w:pPr>
    </w:p>
    <w:p>
      <w:pPr>
        <w:ind w:left="460"/>
        <w:spacing w:after="0"/>
        <w:tabs>
          <w:tab w:leader="none" w:pos="1840" w:val="left"/>
        </w:tabs>
        <w:rPr>
          <w:sz w:val="20"/>
          <w:szCs w:val="20"/>
          <w:color w:val="auto"/>
        </w:rPr>
      </w:pPr>
      <w:r>
        <w:rPr>
          <w:rFonts w:ascii="Times New Roman" w:cs="Times New Roman" w:eastAsia="Times New Roman" w:hAnsi="Times New Roman"/>
          <w:sz w:val="18"/>
          <w:szCs w:val="18"/>
          <w:color w:val="auto"/>
        </w:rPr>
        <w:t>Warrant is $</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both"/>
        <w:ind w:left="460" w:right="479"/>
        <w:spacing w:after="0" w:line="273" w:lineRule="auto"/>
        <w:rPr>
          <w:sz w:val="20"/>
          <w:szCs w:val="20"/>
          <w:color w:val="auto"/>
        </w:rPr>
      </w:pPr>
      <w:r>
        <w:rPr>
          <w:rFonts w:ascii="Times New Roman" w:cs="Times New Roman" w:eastAsia="Times New Roman" w:hAnsi="Times New Roman"/>
          <w:sz w:val="18"/>
          <w:szCs w:val="18"/>
          <w:color w:val="auto"/>
        </w:rPr>
        <w:t>The Pre-Funded Warrants will not have an expiration date and will be exercisable immediately. The exercise price for the Pre-Funded Warrants will be equal to $0.001.</w:t>
      </w:r>
    </w:p>
    <w:p>
      <w:pPr>
        <w:spacing w:after="0" w:line="2" w:lineRule="exact"/>
        <w:rPr>
          <w:sz w:val="20"/>
          <w:szCs w:val="20"/>
          <w:color w:val="auto"/>
        </w:rPr>
      </w:pPr>
    </w:p>
    <w:p>
      <w:pPr>
        <w:ind w:left="460"/>
        <w:spacing w:after="0"/>
        <w:tabs>
          <w:tab w:leader="none" w:pos="3980" w:val="left"/>
        </w:tabs>
        <w:rPr>
          <w:sz w:val="20"/>
          <w:szCs w:val="20"/>
          <w:color w:val="auto"/>
        </w:rPr>
      </w:pPr>
      <w:r>
        <w:rPr>
          <w:rFonts w:ascii="Times New Roman" w:cs="Times New Roman" w:eastAsia="Times New Roman" w:hAnsi="Times New Roman"/>
          <w:sz w:val="18"/>
          <w:szCs w:val="18"/>
          <w:color w:val="auto"/>
        </w:rPr>
        <w:t>We have also registered for public sale</w:t>
      </w:r>
      <w:r>
        <w:rPr>
          <w:sz w:val="20"/>
          <w:szCs w:val="20"/>
          <w:color w:val="auto"/>
        </w:rPr>
        <w:tab/>
      </w:r>
      <w:r>
        <w:rPr>
          <w:rFonts w:ascii="Times New Roman" w:cs="Times New Roman" w:eastAsia="Times New Roman" w:hAnsi="Times New Roman"/>
          <w:sz w:val="18"/>
          <w:szCs w:val="18"/>
          <w:color w:val="auto"/>
        </w:rPr>
        <w:t>shares of common stock, issuable to the representative of the</w:t>
      </w:r>
    </w:p>
    <w:p>
      <w:pPr>
        <w:spacing w:after="0" w:line="27" w:lineRule="exact"/>
        <w:rPr>
          <w:sz w:val="20"/>
          <w:szCs w:val="20"/>
          <w:color w:val="auto"/>
        </w:rPr>
      </w:pPr>
    </w:p>
    <w:p>
      <w:pPr>
        <w:ind w:left="460"/>
        <w:spacing w:after="0"/>
        <w:tabs>
          <w:tab w:leader="none" w:pos="7580" w:val="left"/>
        </w:tabs>
        <w:rPr>
          <w:sz w:val="20"/>
          <w:szCs w:val="20"/>
          <w:color w:val="auto"/>
        </w:rPr>
      </w:pPr>
      <w:r>
        <w:rPr>
          <w:rFonts w:ascii="Times New Roman" w:cs="Times New Roman" w:eastAsia="Times New Roman" w:hAnsi="Times New Roman"/>
          <w:sz w:val="18"/>
          <w:szCs w:val="18"/>
          <w:color w:val="auto"/>
        </w:rPr>
        <w:t>underwriters upon the exercise of a warrant to be issued to the representative (or</w:t>
      </w:r>
      <w:r>
        <w:rPr>
          <w:sz w:val="20"/>
          <w:szCs w:val="20"/>
          <w:color w:val="auto"/>
        </w:rPr>
        <w:tab/>
      </w:r>
      <w:r>
        <w:rPr>
          <w:rFonts w:ascii="Times New Roman" w:cs="Times New Roman" w:eastAsia="Times New Roman" w:hAnsi="Times New Roman"/>
          <w:sz w:val="18"/>
          <w:szCs w:val="18"/>
          <w:color w:val="auto"/>
        </w:rPr>
        <w:t>shares if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representative exercises the over-allotment option in full).</w:t>
      </w:r>
    </w:p>
    <w:p>
      <w:pPr>
        <w:spacing w:after="0" w:line="18" w:lineRule="exact"/>
        <w:rPr>
          <w:sz w:val="20"/>
          <w:szCs w:val="20"/>
          <w:color w:val="auto"/>
        </w:rPr>
      </w:pPr>
    </w:p>
    <w:p>
      <w:pPr>
        <w:jc w:val="both"/>
        <w:ind w:left="460" w:right="459"/>
        <w:spacing w:after="0" w:line="273"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January 25, 2024, the last reported sale price of Agrify’s common stock on The Nasdaq Capital Market was $0.648 per share.</w:t>
      </w:r>
    </w:p>
    <w:p>
      <w:pPr>
        <w:spacing w:after="0" w:line="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pacing w:after="0" w:line="1"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“Incorporation of Certain Information by Reference” and “Where You Can Find More Information,” carefully before you invest in our common stock.</w:t>
      </w: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13" w:lineRule="exact"/>
        <w:rPr>
          <w:sz w:val="20"/>
          <w:szCs w:val="20"/>
          <w:color w:val="auto"/>
        </w:rPr>
      </w:pPr>
    </w:p>
    <w:p>
      <w:pPr>
        <w:jc w:val="both"/>
        <w:ind w:left="460" w:right="479"/>
        <w:spacing w:after="0" w:line="248" w:lineRule="auto"/>
        <w:rPr>
          <w:sz w:val="20"/>
          <w:szCs w:val="20"/>
          <w:color w:val="auto"/>
        </w:rPr>
      </w:pPr>
      <w:r>
        <w:rPr>
          <w:rFonts w:ascii="Times New Roman" w:cs="Times New Roman" w:eastAsia="Times New Roman" w:hAnsi="Times New Roman"/>
          <w:sz w:val="20"/>
          <w:szCs w:val="20"/>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840" w:type="dxa"/>
            <w:vAlign w:val="bottom"/>
          </w:tcPr>
          <w:p>
            <w:pPr>
              <w:spacing w:after="0"/>
              <w:rPr>
                <w:sz w:val="12"/>
                <w:szCs w:val="12"/>
                <w:color w:val="auto"/>
              </w:rPr>
            </w:pPr>
          </w:p>
        </w:tc>
        <w:tc>
          <w:tcPr>
            <w:tcW w:w="2920" w:type="dxa"/>
            <w:vAlign w:val="bottom"/>
            <w:gridSpan w:val="2"/>
          </w:tcPr>
          <w:p>
            <w:pPr>
              <w:jc w:val="right"/>
              <w:ind w:right="499"/>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43"/>
        </w:trPr>
        <w:tc>
          <w:tcPr>
            <w:tcW w:w="2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 Pre-</w:t>
            </w:r>
          </w:p>
        </w:tc>
        <w:tc>
          <w:tcPr>
            <w:tcW w:w="1080" w:type="dxa"/>
            <w:vAlign w:val="bottom"/>
          </w:tcPr>
          <w:p>
            <w:pPr>
              <w:spacing w:after="0"/>
              <w:rPr>
                <w:sz w:val="24"/>
                <w:szCs w:val="24"/>
                <w:color w:val="auto"/>
              </w:rPr>
            </w:pPr>
          </w:p>
        </w:tc>
      </w:tr>
      <w:tr>
        <w:trPr>
          <w:trHeight w:val="203"/>
        </w:trPr>
        <w:tc>
          <w:tcPr>
            <w:tcW w:w="2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Funded</w:t>
            </w:r>
          </w:p>
        </w:tc>
        <w:tc>
          <w:tcPr>
            <w:tcW w:w="1080" w:type="dxa"/>
            <w:vAlign w:val="bottom"/>
          </w:tcPr>
          <w:p>
            <w:pPr>
              <w:spacing w:after="0"/>
              <w:rPr>
                <w:sz w:val="17"/>
                <w:szCs w:val="17"/>
                <w:color w:val="auto"/>
              </w:rPr>
            </w:pPr>
          </w:p>
        </w:tc>
      </w:tr>
      <w:tr>
        <w:trPr>
          <w:trHeight w:val="212"/>
        </w:trPr>
        <w:tc>
          <w:tcPr>
            <w:tcW w:w="2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08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284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92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r>
      <w:tr>
        <w:trPr>
          <w:trHeight w:val="28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r>
              <w:rPr>
                <w:rFonts w:ascii="Times New Roman" w:cs="Times New Roman" w:eastAsia="Times New Roman" w:hAnsi="Times New Roman"/>
                <w:sz w:val="20"/>
                <w:szCs w:val="20"/>
                <w:color w:val="auto"/>
                <w:vertAlign w:val="superscript"/>
              </w:rPr>
              <w:t>(1)</w:t>
            </w:r>
          </w:p>
        </w:tc>
        <w:tc>
          <w:tcPr>
            <w:tcW w:w="29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r>
      <w:tr>
        <w:trPr>
          <w:trHeight w:val="28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w:t>
            </w:r>
            <w:r>
              <w:rPr>
                <w:rFonts w:ascii="Times New Roman" w:cs="Times New Roman" w:eastAsia="Times New Roman" w:hAnsi="Times New Roman"/>
                <w:sz w:val="20"/>
                <w:szCs w:val="20"/>
                <w:color w:val="auto"/>
                <w:vertAlign w:val="superscript"/>
              </w:rPr>
              <w:t>(2)</w:t>
            </w:r>
          </w:p>
        </w:tc>
        <w:tc>
          <w:tcPr>
            <w:tcW w:w="292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94" w:lineRule="exact"/>
        <w:rPr>
          <w:sz w:val="20"/>
          <w:szCs w:val="20"/>
          <w:color w:val="auto"/>
        </w:rPr>
      </w:pPr>
    </w:p>
    <w:p>
      <w:pPr>
        <w:jc w:val="both"/>
        <w:ind w:left="880" w:right="459" w:hanging="426"/>
        <w:spacing w:after="0" w:line="27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underwriting discounts, Agrify has agreed to reimburse the underwriters for certain expenses. In addition, we will issue to the representative of the underwriters a warrant to purchase up to one and one-half percent (1.5%) of the aggregate number of shares of common stock (or Pre-Funded Warrants) issued in this offering. See “Underwriting” beginning on page 49 of this prospectus for additional information regarding total underwriter compensation.</w:t>
      </w:r>
    </w:p>
    <w:p>
      <w:pPr>
        <w:spacing w:after="0" w:line="180"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give effect to any exercise of the Pre-Funded Warrants being issued in this offering.</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offering is being underwritten on a firm commitment basis. We have granted a 45-day option to the</w:t>
      </w:r>
    </w:p>
    <w:p>
      <w:pPr>
        <w:spacing w:after="0" w:line="27"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underwriters to purchase up to an additional shares of common stock (or, in lieu thereof, Pre-Funded Warrants) at the public offering price, less the underwriting discounts payable by us, to cover over-allotments, if any (the “Over-Allotment Option”).</w:t>
      </w:r>
    </w:p>
    <w:p>
      <w:pPr>
        <w:sectPr>
          <w:pgSz w:w="11900" w:h="16838" w:orient="portrait"/>
          <w:cols w:equalWidth="0" w:num="1">
            <w:col w:w="9019"/>
          </w:cols>
          <w:pgMar w:left="1440" w:top="270" w:right="1440" w:bottom="0" w:gutter="0" w:footer="0" w:header="0"/>
        </w:sectPr>
      </w:pP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ectPr>
          <w:pgSz w:w="11900" w:h="16838" w:orient="portrait"/>
          <w:cols w:equalWidth="0" w:num="1">
            <w:col w:w="9019"/>
          </w:cols>
          <w:pgMar w:left="1440" w:top="270" w:right="1440" w:bottom="0" w:gutter="0" w:footer="0" w:header="0"/>
          <w:type w:val="continuous"/>
        </w:sectPr>
      </w:pPr>
    </w:p>
    <w:bookmarkStart w:id="2" w:name="page3"/>
    <w:bookmarkEnd w:id="2"/>
    <w:p>
      <w:pPr>
        <w:ind w:left="460"/>
        <w:spacing w:after="0"/>
        <w:tabs>
          <w:tab w:leader="none" w:pos="7240" w:val="left"/>
        </w:tabs>
        <w:rPr>
          <w:sz w:val="20"/>
          <w:szCs w:val="20"/>
          <w:color w:val="auto"/>
        </w:rPr>
      </w:pPr>
      <w:r>
        <w:rPr>
          <w:rFonts w:ascii="Times New Roman" w:cs="Times New Roman" w:eastAsia="Times New Roman" w:hAnsi="Times New Roman"/>
          <w:sz w:val="18"/>
          <w:szCs w:val="18"/>
          <w:color w:val="auto"/>
        </w:rPr>
        <w:t>The underwriters expect to deliver the shares of common stock to investors on or about</w:t>
      </w:r>
      <w:r>
        <w:rPr>
          <w:sz w:val="20"/>
          <w:szCs w:val="20"/>
          <w:color w:val="auto"/>
        </w:rPr>
        <w:tab/>
      </w:r>
      <w:r>
        <w:rPr>
          <w:rFonts w:ascii="Times New Roman" w:cs="Times New Roman" w:eastAsia="Times New Roman" w:hAnsi="Times New Roman"/>
          <w:sz w:val="18"/>
          <w:szCs w:val="18"/>
          <w:color w:val="auto"/>
        </w:rPr>
        <w:t>, 2024.</w:t>
      </w:r>
    </w:p>
    <w:p>
      <w:pPr>
        <w:sectPr>
          <w:pgSz w:w="11900" w:h="16838" w:orient="portrait"/>
          <w:cols w:equalWidth="0" w:num="1">
            <w:col w:w="9019"/>
          </w:cols>
          <w:pgMar w:left="1440" w:top="121" w:right="1440"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ALEXANDER CAPITAL, L.P.</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62"/>
        </w:trPr>
        <w:tc>
          <w:tcPr>
            <w:tcW w:w="4940" w:type="dxa"/>
            <w:vAlign w:val="bottom"/>
          </w:tcPr>
          <w:p>
            <w:pPr>
              <w:ind w:left="2380"/>
              <w:spacing w:after="0"/>
              <w:rPr>
                <w:sz w:val="20"/>
                <w:szCs w:val="20"/>
                <w:color w:val="auto"/>
              </w:rPr>
            </w:pPr>
            <w:r>
              <w:rPr>
                <w:rFonts w:ascii="Times New Roman" w:cs="Times New Roman" w:eastAsia="Times New Roman" w:hAnsi="Times New Roman"/>
                <w:sz w:val="20"/>
                <w:szCs w:val="20"/>
                <w:i w:val="1"/>
                <w:iCs w:val="1"/>
                <w:color w:val="auto"/>
              </w:rPr>
              <w:t>The date of this prospectus is</w:t>
            </w:r>
          </w:p>
        </w:tc>
        <w:tc>
          <w:tcPr>
            <w:tcW w:w="3160" w:type="dxa"/>
            <w:vAlign w:val="bottom"/>
          </w:tcPr>
          <w:p>
            <w:pPr>
              <w:jc w:val="right"/>
              <w:ind w:right="2281"/>
              <w:spacing w:after="0"/>
              <w:rPr>
                <w:sz w:val="20"/>
                <w:szCs w:val="20"/>
                <w:color w:val="auto"/>
              </w:rPr>
            </w:pPr>
            <w:r>
              <w:rPr>
                <w:rFonts w:ascii="Times New Roman" w:cs="Times New Roman" w:eastAsia="Times New Roman" w:hAnsi="Times New Roman"/>
                <w:sz w:val="20"/>
                <w:szCs w:val="20"/>
                <w:i w:val="1"/>
                <w:iCs w:val="1"/>
                <w:color w:val="auto"/>
              </w:rPr>
              <w:t>, 2024</w:t>
            </w:r>
          </w:p>
        </w:tc>
      </w:tr>
      <w:tr>
        <w:trPr>
          <w:trHeight w:val="386"/>
        </w:trPr>
        <w:tc>
          <w:tcPr>
            <w:tcW w:w="4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MARKET FOR COMMON 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5180" w:type="dxa"/>
            <w:vAlign w:val="bottom"/>
            <w:tcBorders>
              <w:bottom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100" w:type="dxa"/>
            <w:vAlign w:val="bottom"/>
            <w:gridSpan w:val="3"/>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that is different from that contained in this prospectus or in any free writing prospectus we may authorize to be delivered or made available to you. When you make a decision about whether to invest in our securities, you should not rely upon any information other than the information contained in or incorporated by reference in this prospectus or in any free writing prospectus that we may authorize to be delivered or made available to you. Neither the delivery of this prospectus nor the sale of our securities means that the information contained in this prospectus or any free writing prospectus is correct after the date of this prospectus or such free writing prospectus. This prospectus is not an offer to sell or the solicitation of an offer to buy our securities in any circumstances under which the offer or solicitation is unlawful.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including Agrify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90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8905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0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2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20" w:lineRule="exact"/>
        <w:rPr>
          <w:sz w:val="20"/>
          <w:szCs w:val="20"/>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112" w:lineRule="exact"/>
        <w:rPr>
          <w:sz w:val="20"/>
          <w:szCs w:val="20"/>
          <w:color w:val="auto"/>
        </w:rPr>
      </w:pPr>
    </w:p>
    <w:p>
      <w:pPr>
        <w:jc w:val="both"/>
        <w:ind w:left="1400" w:right="559" w:hanging="424"/>
        <w:spacing w:after="0" w:line="26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tiers of growing canopy. Our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5"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.Each VFU has an Environmental Control Unit that is integrated 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335"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to stack up to three units tall, sextupling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over the same traditional footprint. Each unit is designed to easily integrate with a mezzanine catwalk system providing unparalleled access to all levels of cultivation.</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 &amp; Efficiency</w:t>
      </w:r>
      <w:r>
        <w:rPr>
          <w:rFonts w:ascii="Times New Roman" w:cs="Times New Roman" w:eastAsia="Times New Roman" w:hAnsi="Times New Roman"/>
          <w:sz w:val="18"/>
          <w:szCs w:val="18"/>
          <w:color w:val="auto"/>
        </w:rPr>
        <w:t>. The VFU’s design was thoughtful and intentional;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ergonomic 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VFU has a motorized curtain on both sides of the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multi-year term, with an annual auto-renewal.</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Agrify Insights™ is a SaaS-based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Agrify Insights™ is focused on optimizing four key components:</w:t>
      </w:r>
    </w:p>
    <w:p>
      <w:pPr>
        <w:spacing w:after="0" w:line="158"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10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160"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 chamber. This hardware and its component valves, motors and sensors are directed and controlled by Agrify Insights™.</w:t>
      </w:r>
    </w:p>
    <w:p>
      <w:pPr>
        <w:spacing w:after="0" w:line="90" w:lineRule="exact"/>
        <w:rPr>
          <w:sz w:val="20"/>
          <w:szCs w:val="20"/>
          <w:color w:val="auto"/>
        </w:rPr>
      </w:pPr>
    </w:p>
    <w:p>
      <w:pPr>
        <w:jc w:val="both"/>
        <w:ind w:left="1400" w:right="559" w:hanging="424"/>
        <w:spacing w:after="0" w:line="268"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can either automatically or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our hardware. For example, the water-chilled fan coil can keep the temperature in a range accurate to 1.5 degrees Fahrenheit.</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charts 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16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104" w:lineRule="exact"/>
        <w:rPr>
          <w:sz w:val="20"/>
          <w:szCs w:val="20"/>
          <w:color w:val="auto"/>
        </w:rPr>
      </w:pPr>
    </w:p>
    <w:p>
      <w:pPr>
        <w:jc w:val="both"/>
        <w:ind w:left="1400" w:right="559" w:hanging="424"/>
        <w:spacing w:after="0" w:line="257" w:lineRule="auto"/>
        <w:tabs>
          <w:tab w:leader="none" w:pos="139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0"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9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4905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1400" w:right="559" w:hanging="424"/>
        <w:spacing w:after="0" w:line="262" w:lineRule="auto"/>
        <w:tabs>
          <w:tab w:leader="none" w:pos="139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includes a workforce planning feature to assign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tasks to staff. These tasks can be automatically assigned based on the user role or their knowledge, skills, and abilities. The calendar displays the estimated time required to complete plant-touching tasks on any given day.</w:t>
      </w:r>
    </w:p>
    <w:p>
      <w:pPr>
        <w:spacing w:after="0" w:line="108"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6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notified in the order in which they are listed. If a user does not acknowledge the notification within the specified time frame, the next user in the list is notified, providing the business with 24/7 monitoring and notifications.</w:t>
      </w:r>
    </w:p>
    <w:p>
      <w:pPr>
        <w:spacing w:after="0" w:line="95"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tasks are contained, tracked, and monitored within Agrify Insights™.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connects with the water chilled HVAC system and ambient lighting system, providing our customers with a central piece of software for facility management.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16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91" w:lineRule="exact"/>
        <w:rPr>
          <w:sz w:val="20"/>
          <w:szCs w:val="20"/>
          <w:color w:val="auto"/>
        </w:rPr>
      </w:pPr>
    </w:p>
    <w:p>
      <w:pPr>
        <w:jc w:val="both"/>
        <w:ind w:left="1400" w:right="559" w:hanging="424"/>
        <w:spacing w:after="0" w:line="26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inventory will be reduced when the task is started. This feature can help customers manage supply levels and can automatically create purchase orders so that they never run out of required supplies.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hosts digital copies of our included Standard Operating Procedures and datasheets, or users can upload their own via our content management system, ensuring that the most recent version of SOPs and forms are available to users.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Collection</w:t>
      </w:r>
      <w:r>
        <w:rPr>
          <w:rFonts w:ascii="Times New Roman" w:cs="Times New Roman" w:eastAsia="Times New Roman" w:hAnsi="Times New Roman"/>
          <w:sz w:val="18"/>
          <w:szCs w:val="18"/>
          <w:color w:val="auto"/>
        </w:rPr>
        <w:t>.Agrify Insights™ is a centralized repository for all data relating to the cultivation aspects of our clients’ business, including research and development testing data, and the ability to capture and compare test results. By doing so, Agrify Insights™ becomes a customers’ cultivation statement of record.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Simulator/What If Scenarios</w:t>
      </w:r>
      <w:r>
        <w:rPr>
          <w:rFonts w:ascii="Times New Roman" w:cs="Times New Roman" w:eastAsia="Times New Roman" w:hAnsi="Times New Roman"/>
          <w:sz w:val="18"/>
          <w:szCs w:val="18"/>
          <w:color w:val="auto"/>
        </w:rPr>
        <w:t>. Our operating expenses (“OpEx”) calculator enables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to evaluate impacts to profitability by changing hundreds of attributes including, but not limited to, changes to costs in labor, electric, water,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8"/>
          <w:szCs w:val="18"/>
          <w:color w:val="auto"/>
        </w:rPr>
        <w:t>, and growing media as well as potential volatility in yields and pricing.</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 tracking solution, which will enable our customers to handle most regulatory reporting directly through Agrify Insights™.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Cultivation Deployment Options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Rapid Deployment Pack (“RDP”) Program</w:t>
      </w:r>
    </w:p>
    <w:p>
      <w:pPr>
        <w:spacing w:after="0" w:line="14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While we do not intend to enter into any new TTK Solutions for the foreseeable future, we have deployed this program with certain key customers. We also believe that our data-driven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1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believe Agrify’s proprietary TTK Solution is the key to resolving many of the challenges our customers encounter.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spacing w:after="0" w:line="116"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lab design, and engineering services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lab build-out project management</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VFUs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data driven Agrify Insights™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extraction products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horticulturist training and ongoing support</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1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Cannabis Market Opportunity</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5"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13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$47.2 billion in 2023, with annual growth rate of 12.69%, with a projected global market volume of $76.1 billion by 2027.</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90" w:lineRule="exact"/>
        <w:rPr>
          <w:sz w:val="20"/>
          <w:szCs w:val="20"/>
          <w:color w:val="auto"/>
        </w:rPr>
      </w:pPr>
    </w:p>
    <w:p>
      <w:pPr>
        <w:jc w:val="both"/>
        <w:ind w:left="1400" w:right="559" w:hanging="424"/>
        <w:spacing w:after="0" w:line="255"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Proprietary Components</w:t>
      </w:r>
      <w:r>
        <w:rPr>
          <w:rFonts w:ascii="Times New Roman" w:cs="Times New Roman" w:eastAsia="Times New Roman" w:hAnsi="Times New Roman"/>
          <w:sz w:val="18"/>
          <w:szCs w:val="18"/>
          <w:color w:val="auto"/>
        </w:rPr>
        <w:t>. 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SOPs from the ground up rather than buying piecemeal from third parties. We take a systems-engineered integrated approach that we believe has inherent advantages over other, ad-hoc systems.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Emphasis on Precision and Consistency Through Our Proprietary Grow Solutions</w:t>
      </w:r>
      <w:r>
        <w:rPr>
          <w:rFonts w:ascii="Times New Roman" w:cs="Times New Roman" w:eastAsia="Times New Roman" w:hAnsi="Times New Roman"/>
          <w:sz w:val="18"/>
          <w:szCs w:val="18"/>
          <w:color w:val="auto"/>
        </w:rPr>
        <w:t>.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Extraction Division. </w:t>
      </w:r>
      <w:r>
        <w:rPr>
          <w:rFonts w:ascii="Times New Roman" w:cs="Times New Roman" w:eastAsia="Times New Roman" w:hAnsi="Times New Roman"/>
          <w:sz w:val="18"/>
          <w:szCs w:val="18"/>
          <w:color w:val="auto"/>
        </w:rPr>
        <w:t>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Knowledge and Understanding</w:t>
      </w:r>
      <w:r>
        <w:rPr>
          <w:rFonts w:ascii="Times New Roman" w:cs="Times New Roman" w:eastAsia="Times New Roman" w:hAnsi="Times New Roman"/>
          <w:sz w:val="18"/>
          <w:szCs w:val="18"/>
          <w:color w:val="auto"/>
        </w:rPr>
        <w:t>.We have extensive experience with controlled agriculture 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33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Business Model</w:t>
      </w:r>
      <w:r>
        <w:rPr>
          <w:rFonts w:ascii="Times New Roman" w:cs="Times New Roman" w:eastAsia="Times New Roman" w:hAnsi="Times New Roman"/>
          <w:sz w:val="18"/>
          <w:szCs w:val="18"/>
          <w:color w:val="auto"/>
        </w:rPr>
        <w:t>. 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Implications of Providing Equipment and Services in the Cannabis and Hemp Industry</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12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12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322" w:lineRule="exact"/>
        <w:rPr>
          <w:sz w:val="20"/>
          <w:szCs w:val="20"/>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108"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15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5"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Acquisition and Warrant Issuance</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337"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11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On January 22, pursuant to notices of exercise from the Former Lender, we issued an aggregate of 2,473,542 shares of common stock upon the cashless exercise of the entire Abeyance Warrant and a portion of the Exchange Warrant, with 659,669 underlying shares remaining under the Exchange Warrant, subject to adjustment pursuant to its terms.</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us, exercise convertible securities or amend the terms of convertible securities at a purchase or conversion price lower than $1.46, then the number of shares of common stock underlying Exchange Warrant shall be increased to an amount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equal to $3.0 million divided by such purchase or conversion price, subject to proportional adjustment in the event the Exchange Warrant has been partially exercised. Additionally, in the event that we have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 The Letter Agreement requires us to issue equity securities to Mr. Chang or his affiliates for aggregate gross proceeds of at least $3.0 million, minus any funds advanced by Mr. Chang to the Company since July 1, 2023.</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Amendment and Secured Promissory Note</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160"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w:t>
      </w:r>
    </w:p>
    <w:p>
      <w:pPr>
        <w:spacing w:after="0" w:line="4" w:lineRule="exact"/>
        <w:rPr>
          <w:sz w:val="20"/>
          <w:szCs w:val="20"/>
          <w:color w:val="auto"/>
        </w:rPr>
      </w:pPr>
    </w:p>
    <w:p>
      <w:pPr>
        <w:jc w:val="both"/>
        <w:ind w:left="540" w:right="559" w:firstLine="4"/>
        <w:spacing w:after="0" w:line="252" w:lineRule="auto"/>
        <w:tabs>
          <w:tab w:leader="none" w:pos="8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Mack Molding Settlement and Warrant Issuance</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13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14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10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We have not yet received the Panel’s determination based on the hearing. As a result, there can be no assurance that we will be granted any extension to regain compliance, or to regain compliance by the end of any additional extension period that may be granted.</w:t>
      </w:r>
    </w:p>
    <w:p>
      <w:pPr>
        <w:spacing w:after="0" w:line="10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Agrify Corporation was incorporated in the state of Nevada on June 6, 2016, originally incorporated as Agrinamics, Inc. (or Agrinamics). On September 16, 2019, Agrinamics amended its articles of incorporation to reflect a name change to Agrify Corporation. Our executive offices are located at 2468 Industrial Row, Dr., Troy, Michigan 48084. Our telephone number at our executive offices is (855) 420-0020.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30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0309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right="140"/>
        <w:spacing w:after="0" w:line="516" w:lineRule="auto"/>
        <w:rPr>
          <w:sz w:val="20"/>
          <w:szCs w:val="20"/>
          <w:color w:val="auto"/>
        </w:rPr>
      </w:pPr>
      <w:r>
        <w:rPr>
          <w:rFonts w:ascii="Times New Roman" w:cs="Times New Roman" w:eastAsia="Times New Roman" w:hAnsi="Times New Roman"/>
          <w:sz w:val="18"/>
          <w:szCs w:val="18"/>
          <w:color w:val="auto"/>
        </w:rPr>
        <w:t>Common Stock offered by us 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this offering</w:t>
      </w:r>
    </w:p>
    <w:p>
      <w:pPr>
        <w:spacing w:after="0" w:line="200" w:lineRule="exact"/>
        <w:rPr>
          <w:sz w:val="20"/>
          <w:szCs w:val="20"/>
          <w:color w:val="auto"/>
        </w:rPr>
      </w:pPr>
    </w:p>
    <w:p>
      <w:pPr>
        <w:spacing w:after="0" w:line="367" w:lineRule="exact"/>
        <w:rPr>
          <w:sz w:val="20"/>
          <w:szCs w:val="20"/>
          <w:color w:val="auto"/>
        </w:rPr>
      </w:pPr>
    </w:p>
    <w:p>
      <w:pPr>
        <w:ind w:left="540" w:right="300"/>
        <w:spacing w:after="0" w:line="497" w:lineRule="auto"/>
        <w:rPr>
          <w:sz w:val="20"/>
          <w:szCs w:val="20"/>
          <w:color w:val="auto"/>
        </w:rPr>
      </w:pPr>
      <w:r>
        <w:rPr>
          <w:rFonts w:ascii="Times New Roman" w:cs="Times New Roman" w:eastAsia="Times New Roman" w:hAnsi="Times New Roman"/>
          <w:sz w:val="17"/>
          <w:szCs w:val="17"/>
          <w:color w:val="auto"/>
        </w:rPr>
        <w:t>Price per share of common stock Price per Pre-Funded Warrant</w:t>
      </w:r>
    </w:p>
    <w:p>
      <w:pPr>
        <w:ind w:left="720" w:right="280" w:hanging="179"/>
        <w:spacing w:after="0" w:line="282" w:lineRule="auto"/>
        <w:rPr>
          <w:sz w:val="20"/>
          <w:szCs w:val="20"/>
          <w:color w:val="auto"/>
        </w:rPr>
      </w:pPr>
      <w:r>
        <w:rPr>
          <w:rFonts w:ascii="Times New Roman" w:cs="Times New Roman" w:eastAsia="Times New Roman" w:hAnsi="Times New Roman"/>
          <w:sz w:val="18"/>
          <w:szCs w:val="18"/>
          <w:color w:val="auto"/>
        </w:rPr>
        <w:t>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Representative’s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Underwriter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Up to</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212"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to purchase shares of our common stock in lieu of shares of our common stock. Each Pre-Funded Warrant will have an exercise price equal to $0.001 per share and is immediately exercisable. The Pre-Funded Warrants will not expire. See “Description of Securities — Pre-Funded Warrants to be Issued in this Offering.”</w:t>
      </w:r>
    </w:p>
    <w:p>
      <w:pPr>
        <w:spacing w:after="0" w:line="376" w:lineRule="exact"/>
        <w:rPr>
          <w:sz w:val="20"/>
          <w:szCs w:val="20"/>
          <w:color w:val="auto"/>
        </w:rPr>
      </w:pPr>
    </w:p>
    <w:p>
      <w:pPr>
        <w:jc w:val="both"/>
        <w:ind w:right="559" w:firstLine="621"/>
        <w:spacing w:after="0" w:line="266" w:lineRule="auto"/>
        <w:rPr>
          <w:sz w:val="20"/>
          <w:szCs w:val="20"/>
          <w:color w:val="auto"/>
        </w:rPr>
      </w:pPr>
      <w:r>
        <w:rPr>
          <w:rFonts w:ascii="Times New Roman" w:cs="Times New Roman" w:eastAsia="Times New Roman" w:hAnsi="Times New Roman"/>
          <w:sz w:val="18"/>
          <w:szCs w:val="18"/>
          <w:color w:val="auto"/>
        </w:rPr>
        <w:t>shares, assuming that we sell all securities offered pursuant to this prospectus and assuming that none of the Pre-Funded Warrants are exercised.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forty-five (45) days after the date of this prospectus, to purchase up to an</w:t>
      </w: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additional</w:t>
      </w:r>
      <w:r>
        <w:rPr>
          <w:sz w:val="20"/>
          <w:szCs w:val="20"/>
          <w:color w:val="auto"/>
        </w:rPr>
        <w:tab/>
      </w:r>
      <w:r>
        <w:rPr>
          <w:rFonts w:ascii="Times New Roman" w:cs="Times New Roman" w:eastAsia="Times New Roman" w:hAnsi="Times New Roman"/>
          <w:sz w:val="17"/>
          <w:szCs w:val="17"/>
          <w:color w:val="auto"/>
        </w:rPr>
        <w:t>shares of common stock (or Pre-Funded Warrants) at</w:t>
      </w:r>
    </w:p>
    <w:p>
      <w:pPr>
        <w:spacing w:after="0" w:line="21" w:lineRule="exact"/>
        <w:rPr>
          <w:sz w:val="20"/>
          <w:szCs w:val="20"/>
          <w:color w:val="auto"/>
        </w:rPr>
      </w:pPr>
    </w:p>
    <w:p>
      <w:pPr>
        <w:ind w:left="500" w:hanging="500"/>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common stock (the “Over-Allotment Option”).</w:t>
      </w:r>
    </w:p>
    <w:p>
      <w:pPr>
        <w:spacing w:after="0" w:line="180" w:lineRule="exact"/>
        <w:rPr>
          <w:sz w:val="20"/>
          <w:szCs w:val="20"/>
          <w:color w:val="auto"/>
        </w:rPr>
      </w:pPr>
    </w:p>
    <w:p>
      <w:pPr>
        <w:jc w:val="both"/>
        <w:ind w:right="559"/>
        <w:spacing w:after="0" w:line="267" w:lineRule="auto"/>
        <w:rPr>
          <w:sz w:val="20"/>
          <w:szCs w:val="20"/>
          <w:color w:val="auto"/>
        </w:rPr>
      </w:pPr>
      <w:r>
        <w:rPr>
          <w:rFonts w:ascii="Times New Roman" w:cs="Times New Roman" w:eastAsia="Times New Roman" w:hAnsi="Times New Roman"/>
          <w:sz w:val="17"/>
          <w:szCs w:val="17"/>
          <w:color w:val="auto"/>
        </w:rPr>
        <w:t>The registration statement of which this prospectus is a part also registers for sale the common stock issuable pursuant to the warrants to purchase up to one and one-half percent (1.5%) of the aggregate number of shares of common stock (or Pre-Funded Warrants) issued in this offering to be issued to Alexander Capital, L.P., as representative of the underwriters (the “Representative’s Warrants”). The Representative’s Warrants will be exercisable at any time, and from time to time, in whole or in part, during the period commencing 180 days from the first day of the sales of the public equity securities and expiring five years from the effective date of</w:t>
      </w:r>
    </w:p>
    <w:p>
      <w:pPr>
        <w:spacing w:after="0" w:line="4"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the offering at an exercise price of $ per share (100% of the public offering price per share). Please see “Underwriting — Representative’s Warrants” on page 49 of this prospectus for a description of these warrants.</w:t>
      </w:r>
    </w:p>
    <w:p>
      <w:pPr>
        <w:spacing w:after="0" w:line="162"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will receive an underwriting discount equal to seven percent (7.0%) of the aggregate gross proceeds raised in this offering. In addition, we have agreed to: (i) reimburse certain accountable expenses of the underwriters, and (ii) indemnify the underwriters for certain liabilities in connection with this offering. See “Underwriting” starting on page 49 of this prospectus.</w:t>
      </w:r>
    </w:p>
    <w:p>
      <w:pPr>
        <w:spacing w:after="0" w:line="162"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41 of this prospectus.</w:t>
      </w:r>
    </w:p>
    <w:p>
      <w:pPr>
        <w:spacing w:after="0" w:line="200" w:lineRule="exact"/>
        <w:rPr>
          <w:sz w:val="20"/>
          <w:szCs w:val="20"/>
          <w:color w:val="auto"/>
        </w:rPr>
      </w:pPr>
    </w:p>
    <w:p>
      <w:pPr>
        <w:sectPr>
          <w:pgSz w:w="11900" w:h="16838" w:orient="portrait"/>
          <w:cols w:equalWidth="0" w:num="2">
            <w:col w:w="3200" w:space="300"/>
            <w:col w:w="5519"/>
          </w:cols>
          <w:pgMar w:left="1440" w:top="270"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5970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59702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143" w:lineRule="exact"/>
        <w:rPr>
          <w:sz w:val="20"/>
          <w:szCs w:val="20"/>
          <w:color w:val="auto"/>
        </w:rPr>
      </w:pPr>
    </w:p>
    <w:p>
      <w:pPr>
        <w:sectPr>
          <w:pgSz w:w="11900" w:h="16838" w:orient="portrait"/>
          <w:cols w:equalWidth="0" w:num="2">
            <w:col w:w="2780" w:space="720"/>
            <w:col w:w="551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ind w:right="57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94" w:lineRule="exact"/>
        <w:rPr>
          <w:sz w:val="20"/>
          <w:szCs w:val="20"/>
          <w:color w:val="auto"/>
        </w:rPr>
      </w:pPr>
    </w:p>
    <w:p>
      <w:pPr>
        <w:sectPr>
          <w:pgSz w:w="11900" w:h="16838" w:orient="portrait"/>
          <w:cols w:equalWidth="0" w:num="2">
            <w:col w:w="2780" w:space="720"/>
            <w:col w:w="5519"/>
          </w:cols>
          <w:pgMar w:left="1440" w:top="270" w:right="1440" w:bottom="1440" w:gutter="0" w:footer="0" w:header="0"/>
          <w:type w:val="continuous"/>
        </w:sectPr>
      </w:pPr>
    </w:p>
    <w:p>
      <w:pPr>
        <w:jc w:val="both"/>
        <w:ind w:left="3500" w:right="579"/>
        <w:spacing w:after="0" w:line="25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ectPr>
          <w:pgSz w:w="11900" w:h="16838" w:orient="portrait"/>
          <w:cols w:equalWidth="0" w:num="1">
            <w:col w:w="9019"/>
          </w:cols>
          <w:pgMar w:left="1440" w:top="270" w:right="1440" w:bottom="1440" w:gutter="0" w:footer="0" w:header="0"/>
          <w:type w:val="continuous"/>
        </w:sectPr>
      </w:pPr>
    </w:p>
    <w:p>
      <w:pPr>
        <w:spacing w:after="0" w:line="18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6,846,419 shares outstanding as of January 25, 2024. The number of shares outstanding as of January 25, 2024 as used throughout this prospectus, unless otherwise indicated, excludes the shares of common stock issuable upon exercise of the Pre-Funded Warrants being offered by us in this offering and also excludes as of such date:</w:t>
      </w:r>
    </w:p>
    <w:p>
      <w:pPr>
        <w:spacing w:after="0" w:line="116" w:lineRule="exact"/>
        <w:rPr>
          <w:sz w:val="20"/>
          <w:szCs w:val="20"/>
          <w:color w:val="auto"/>
        </w:rPr>
      </w:pPr>
    </w:p>
    <w:p>
      <w:pPr>
        <w:ind w:left="1400" w:right="559" w:hanging="424"/>
        <w:spacing w:after="0" w:line="282"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2,154,680 shares of our common stock issuable upon the exercise of warrants outstanding, at a weighted average exercise price of $25.80 per share;</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10,334 shares of our common stock issuable upon the exercise of stock options outstanding, at a weighted average exercise price of $1,593.86 per share;</w:t>
      </w:r>
    </w:p>
    <w:p>
      <w:pPr>
        <w:spacing w:after="0" w:line="94" w:lineRule="exact"/>
        <w:rPr>
          <w:rFonts w:ascii="Times New Roman" w:cs="Times New Roman" w:eastAsia="Times New Roman" w:hAnsi="Times New Roman"/>
          <w:sz w:val="18"/>
          <w:szCs w:val="18"/>
          <w:color w:val="auto"/>
        </w:rPr>
      </w:pPr>
    </w:p>
    <w:p>
      <w:pPr>
        <w:ind w:left="2060" w:hanging="1084"/>
        <w:spacing w:after="0"/>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the exercise of the Representative’s Warrants</w:t>
      </w:r>
    </w:p>
    <w:p>
      <w:pPr>
        <w:spacing w:after="0" w:line="27" w:lineRule="exact"/>
        <w:rPr>
          <w:sz w:val="20"/>
          <w:szCs w:val="20"/>
          <w:color w:val="auto"/>
        </w:rPr>
      </w:pPr>
    </w:p>
    <w:p>
      <w:pPr>
        <w:ind w:left="1400"/>
        <w:spacing w:after="0"/>
        <w:tabs>
          <w:tab w:leader="none" w:pos="2180" w:val="left"/>
        </w:tabs>
        <w:rPr>
          <w:sz w:val="20"/>
          <w:szCs w:val="20"/>
          <w:color w:val="auto"/>
        </w:rPr>
      </w:pP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shares if the representative exercises the over-allotment option in full);</w:t>
      </w:r>
    </w:p>
    <w:p>
      <w:pPr>
        <w:spacing w:after="0" w:line="139" w:lineRule="exact"/>
        <w:rPr>
          <w:sz w:val="20"/>
          <w:szCs w:val="20"/>
          <w:color w:val="auto"/>
        </w:rPr>
      </w:pPr>
    </w:p>
    <w:p>
      <w:pPr>
        <w:ind w:left="1400" w:hanging="424"/>
        <w:spacing w:after="0"/>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4,531 shares of our common stock issuable upon the vesting of restricted stock units;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57,450 shares of our common stock reserved for future issuance under our 2022 Omnibus Equity Incentive Plan;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common stock reserved for future issuance under our 2022 Employee Stock Purchase Plan;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shares of our common stock reserved for future issuance in connection with completed acquisitions; and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10,273,973 shares of our common stock reserved for future issuance in connection with the conversion of a secured convertible note held by CP Acquisitions, LLC.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118"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difficulties of our suppliers as a result of COVID-19;</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continued contributions of our CEO, Raymond Chang;</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intellectual property claims;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regain compliance with the listing requirements of The Nasdaq Capital Market (“Nasdaq”) could result in a de-listing of our common stock;</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reduced disclosure requirements applicable to emerging growth companies and smaller reporting companies;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obligations and controls associated with being a public company;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of our information technology systems to perform adequately;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data privacy regulations and our ability to comply with them;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demands upon management as a result of being a public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heading “Risk Factors” contained herein,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in their entirety, together with other information in this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$266 million as of September 30, 2023. These factors, among others, raise substantial doubt about our ability to continue as a going concern. Our consolidated financial statements do not include any adjustments that might result from the outcome of this uncertainty.</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occurred during 2021 and 2022. We have encountered, and will continue to encounter, risks and difficulties frequently experienced by growing companies in rapidly changing industries, including those related to:</w:t>
      </w:r>
    </w:p>
    <w:p>
      <w:pPr>
        <w:spacing w:after="0" w:line="112"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risk of loss associated with our TTK Solution Offerings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2023, a significant amount of our working capital has been invested in funding our TTK Solution construction and equipment commitments.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95" w:lineRule="exact"/>
        <w:rPr>
          <w:sz w:val="20"/>
          <w:szCs w:val="20"/>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currently an unproven business model;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September 30, 2023, we had approximately $154 thousand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 thousand. $3.0 million of the proceeds under the ATM Program were used to repay amounts due to the former senior secured lender (the “Former Lender”) under the Exchange Note (as defined below).</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12" w:lineRule="exact"/>
        <w:rPr>
          <w:sz w:val="20"/>
          <w:szCs w:val="20"/>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divestitures or other transactions could adversely affect our costs, revenues, profitability and financial position.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w:t>
      </w:r>
    </w:p>
    <w:p>
      <w:pPr>
        <w:spacing w:after="0" w:line="5" w:lineRule="exact"/>
        <w:rPr>
          <w:sz w:val="20"/>
          <w:szCs w:val="20"/>
          <w:color w:val="auto"/>
        </w:rPr>
      </w:pPr>
    </w:p>
    <w:p>
      <w:pPr>
        <w:jc w:val="both"/>
        <w:ind w:left="460" w:right="459" w:hanging="6"/>
        <w:spacing w:after="0" w:line="251"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12"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against the carrying value of our goodwill and other intangible assets in the future.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2022, two customers accounted for approximately $16.8 million, or 28.8%,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U.S. federal law.</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Uncertainty of federal enforcement and the need to renew temporary safeguards.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Further legislative development beneficial to our operations is not guaranteed.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could face strong opposition from other industries.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legality of marijuana could be reversed in one or more states.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Changing legislation and evolving interpretations of law.</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face insurance risks.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22" w:lineRule="exact"/>
        <w:rPr>
          <w:sz w:val="20"/>
          <w:szCs w:val="20"/>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2022, we had net operating loss (“NOL”) carryforwards for federal and state income tax purposes which may be available to offset taxable income in future years. Approximately $675 thousand of federal NOLs will expire if not utilized by 2037 and approximately $96.0 million of federal NOLs carryforward indefinitely but are only available to offset 80% of taxable income per year. The $71.6 million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2022,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13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our outstanding loans will be forgivable in whole or in part.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 thousand from the unsecured PPP loan which was originally scheduled to mature in May 2022. We applied for forgiveness on the $779 thousand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 thousand that commenced on August 7,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52.57% of our outstanding shares of common stock. In particular, Raymond Chang, our Chairman of the Board and Chief Executive Officer, beneficially owns approximately 49.99% of our outstanding shares of common stock, and I-Tseng Jenny Chan, a member of our Board of Directors, beneficially owns approximately 49.99% of our outstanding shares of common stock, primarily as a result of a convertible note that is currently convertible into 10,273,973 shares of common stock that is held by an entity owned and controlled by Mr. Chang and Ms. Chan, which is subject to a 49.99% beneficial ownership limitation.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April 18, 2023, we received a notice from Nasdaq (the “April Nasdaq Notice”) that we were noncompliance with Nasdaq Listing Rule 5250(c)(1) as a result of our failure to file our Annual Report on Form 10-K (the “Form 10-K”) with the SEC by the required due date.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12"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8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are no longer in compliance with Nasdaq Listing Rule 5550(b)(1), which requires that listed companies maintain a minimum of $2.5 million in stockholders’ equity.</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We have not yet received the Panel’s determination based on the hearing. As a result, there can be no assurance that we will be granted any extension to regain compliance, or to regain compliance by the end of any additional extension period that may be granted.</w:t>
      </w:r>
    </w:p>
    <w:p>
      <w:pPr>
        <w:spacing w:after="0" w:line="102" w:lineRule="exact"/>
        <w:rPr>
          <w:sz w:val="20"/>
          <w:szCs w:val="20"/>
          <w:color w:val="auto"/>
        </w:rPr>
      </w:pPr>
    </w:p>
    <w:p>
      <w:pPr>
        <w:jc w:val="both"/>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We will take all possible actions to restore our compliance with Nasdaq, but we can provide no assurances that the listing of our common stock will be restored or that we otherwise will remain listed on Nasdaq.</w:t>
      </w:r>
    </w:p>
    <w:p>
      <w:pPr>
        <w:spacing w:after="0" w:line="13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2,154,680 warrants were issued and outstanding as of January 25,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Additionally, 14,865 shares of common stock were reserved for issuance of currently outstanding equity-based awards to employees, directors and certain other individuals under our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02"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4"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identified the following material weaknesses:</w:t>
      </w:r>
    </w:p>
    <w:p>
      <w:pPr>
        <w:spacing w:after="0" w:line="15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September 30, 2023.</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p>
    <w:p>
      <w:pPr>
        <w:spacing w:after="0" w:line="7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08"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The exercise of our outstanding stock options and warrants could result in further dilution of your investment. See the section titled “Dilution” below for a more detailed illustration of the dilution you would incur if you participate in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Pre-Funded Warrants are speculative in nature.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Pre-Funded Warrants, if any, is uncertain and there can be no assurance that the market price of our common stock will ever equal or exceed their imputed offering price.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liquidity of the Pre-Funded Warrants will be limited.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national securities exchange or other nationally recognized trading system, including The Nasdaq Capital Market. Without an active market, the liquidity of the Pre-Funded Warrants will be limited.</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purchased in this offering will have no rights as stockholders until such holders exercise such warrants and acquire our common stock.</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holders of such Pre-Funded Warrants will have no rights with respect to the shares of our common stock underlying such Pre-Funded Warrants. Upon exercise of the Pre-Funded Warrants, such holders will be entitled to exercise the rights of a common stockholder only as to matters for which the record date occurs after the exercise date.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08"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January 25, 2024, the last reported sale price of our common stock as reported by The Nasdaq Capital Market was $0.648 per share. As of such date, we had approximately 58 stockholders of record.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as of January 25,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25, 2024, there were 58 record holders and 6,846,419 outstanding shares of our Company’s Common Stock.</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25,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25, 2024, are deemed outstanding for the purpose of computing the percentage ownership of the person holding those options or warrants but are not deemed outstanding for computing the percentage ownership of any other person.</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252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7"/>
        </w:trPr>
        <w:tc>
          <w:tcPr>
            <w:tcW w:w="558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558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jc w:val="right"/>
              <w:ind w:right="212"/>
              <w:spacing w:after="0" w:line="181"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12"/>
        </w:trPr>
        <w:tc>
          <w:tcPr>
            <w:tcW w:w="55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55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11,966,841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Kessler</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I-Tseng Jenny Chan</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11,609,789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Holtzman</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45,071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41,993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Leonard J. Sokolow</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36,738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w:t>
            </w:r>
            <w:r>
              <w:rPr>
                <w:rFonts w:ascii="Times New Roman" w:cs="Times New Roman" w:eastAsia="Times New Roman" w:hAnsi="Times New Roman"/>
                <w:sz w:val="20"/>
                <w:szCs w:val="20"/>
                <w:color w:val="auto"/>
                <w:vertAlign w:val="superscript"/>
              </w:rPr>
              <w:t>(3)(5)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13,480,221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8" w:lineRule="exact"/>
        <w:rPr>
          <w:rFonts w:ascii="Times New Roman" w:cs="Times New Roman" w:eastAsia="Times New Roman" w:hAnsi="Times New Roman"/>
          <w:sz w:val="16"/>
          <w:szCs w:val="16"/>
          <w:color w:val="auto"/>
        </w:rPr>
      </w:pPr>
    </w:p>
    <w:p>
      <w:pPr>
        <w:jc w:val="both"/>
        <w:ind w:left="880" w:right="479" w:firstLine="6"/>
        <w:spacing w:after="0" w:line="264" w:lineRule="auto"/>
        <w:tabs>
          <w:tab w:leader="none" w:pos="111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January 25,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6,846,419 shares of Common Stock outstanding as of January 25, 2024, plus the amount referenced in clause (i)(b) for such individual or group.</w:t>
      </w:r>
    </w:p>
    <w:p>
      <w:pPr>
        <w:ind w:left="880" w:right="479" w:hanging="426"/>
        <w:spacing w:after="0" w:line="264"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jc w:val="both"/>
        <w:ind w:left="880" w:right="459" w:hanging="426"/>
        <w:spacing w:after="0" w:line="266"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6,334 shares of Common Stock that are exercisable within 60 days of January 25, 2024, (ii) 575 shares of Common Stock owned by Mr. Chang, (iii) 1,453,894 shares of common stock held by RTC3 2020 Irrevocable Family Trust, of which Mr. Chang retains the authority to remove the independent trustee, (iv) 648 shares of common stock held by NXT3J Capital, LLC, an entity controlled by Mr. Chang, (v) warrants to purchase 317 shares of common stock associated with our 2020 convertible promissory notes held by RTC3 2020 Irrevocable Family Trust, (vi) options to purchase 194 shares of common stock held by Mr. Chang’s son that are exercisable within 60 days of January 25, 2024, (vii) warrants to purchase 230,906 shares of Common Stock that are held by RTC3 2020 Irrevocable Family Trust, but only to the extent exercisable due to a 9.99% beneficial ownership limitation, and (viii) 10,273,973 shares of common stock that may be issued upon conversion of a secured convertible note held by CP Acquisitions, LLC (“CP”), over which Mr. Chang has shared voting and investment control, subject to a beneficial ownership limitation of 49.99% with respect to CP and/or Mr. Chang.</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1,335,816 shares of common stock owned in equal proportions by M. Zion Capital, LLC, M Olivet Capital, LLC and M Cannan Capital, LLC, over which Ms. Chan has voting and investment control, and (ii) 10,273,973 shares of common stock that may be issued upon conversion of a secured convertible note held by CP, over which Ms. Chan has shared voting and investment control, subject to a beneficial ownership limitation of 49.99% with respect to CP and/or Ms. Chan.</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72"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January 25, 2024: Mr. Kessler, 788; Mr. Mahoney, 456; Mr. Varier, 454; and Mr. Sokolow, 188. Includes the following shares subject to Restricted Stock Units that vest within 60 days of January 25, 2024: Mr. Holtzman, 52,635; Mr. Mahoney, 44,526; Mr. Varier, 41, 450; and Mr. Sokolow, 36,461.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tbl>
      <w:tblPr>
        <w:tblLayout w:type="fixed"/>
        <w:tblInd w:w="46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8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000" w:type="dxa"/>
            <w:vAlign w:val="bottom"/>
          </w:tcPr>
          <w:p>
            <w:pPr>
              <w:spacing w:after="0"/>
              <w:rPr>
                <w:sz w:val="24"/>
                <w:szCs w:val="24"/>
                <w:color w:val="auto"/>
              </w:rPr>
            </w:pPr>
          </w:p>
        </w:tc>
      </w:tr>
      <w:tr>
        <w:trPr>
          <w:trHeight w:val="351"/>
        </w:trPr>
        <w:tc>
          <w:tcPr>
            <w:tcW w:w="6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after deducting</w:t>
            </w:r>
          </w:p>
        </w:tc>
      </w:tr>
    </w:tbl>
    <w:p>
      <w:pPr>
        <w:jc w:val="center"/>
        <w:spacing w:after="0"/>
        <w:rPr>
          <w:sz w:val="20"/>
          <w:szCs w:val="20"/>
          <w:color w:val="auto"/>
        </w:rPr>
      </w:pPr>
      <w:r>
        <w:rPr>
          <w:rFonts w:ascii="Times New Roman" w:cs="Times New Roman" w:eastAsia="Times New Roman" w:hAnsi="Times New Roman"/>
          <w:sz w:val="18"/>
          <w:szCs w:val="18"/>
          <w:color w:val="auto"/>
        </w:rPr>
        <w:t>estimated underwriting discounts and commissions and our estimated offering expenses, and based on the</w:t>
      </w:r>
    </w:p>
    <w:p>
      <w:pPr>
        <w:spacing w:after="0" w:line="200" w:lineRule="exact"/>
        <w:rPr>
          <w:sz w:val="20"/>
          <w:szCs w:val="20"/>
          <w:color w:val="auto"/>
        </w:rPr>
      </w:pPr>
    </w:p>
    <w:p>
      <w:pPr>
        <w:spacing w:after="0" w:line="20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assumed public offering price of $ per share of common stock (the last reported sale price of our common stock on The Nasdaq Capital Market on , 2024).</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 increase (decrease) in the assumed public offering price of $ per share of common stock would increase (decrease) the net proceeds to us from this offering by approximately $ million, assuming</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that the number of shares offered by us, as set forth on the cover page of this prospectus, remains the same and after deducting the estimated underwriting discounts and commissions and estimated offering expenses payable by us.</w:t>
      </w:r>
    </w:p>
    <w:p>
      <w:pPr>
        <w:spacing w:after="0" w:line="11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Similarly, a share increase (decrease) in the number of shares of common stock and/or Pre-Funded Warrants, as set forth on the cover page of this prospectus, would increase (decrease) the net proceeds to us by</w:t>
      </w: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million, assuming the assumed public offering price of $ per share of common stock remains the same, and after deducting estimated underwriting discounts and commissions and estimated offering expenses payable by us.</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which may include capital expenditures and repayment of debt. We have not yet determined the amount of net proceeds to be used specifically for any of the foregoing purposes.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 grade instruments.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amount of cash used in our operations.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invest in this offering, you will experience immediate and substantial dilution to the extent of the difference between the offering price per share paid in this offering (or the offering price per Pre-Funded Warrant, as applicable), in each case excluding shares of common stock issuable upon exercise of the Pre-Funded Warrants being offered in this offering and the payment of the exercise price therefor, and the adjusted net tangible book value per share of our common stock as of September 30, 2023, as adjusted to give effect to this offering.</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2023 was approximately $(21.2) million, or $(12.86) per share, based on 1,651,281 shares of common stock outstanding at September 30, 2023.</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this offering (excluding shares of common stock issuable upon exercise of the Pre-Funded Warrants being offered in this offering) at an offering</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price of $ per share (or the offering price per Pre-Funded Warrant of $ ) and after deducting estimated offering expenses payable by us and underwriting discounts), our as adjusted net tangible book value</w:t>
      </w:r>
    </w:p>
    <w:tbl>
      <w:tblPr>
        <w:tblLayout w:type="fixed"/>
        <w:tblInd w:w="460" w:type="dxa"/>
        <w:tblCellMar>
          <w:top w:w="0" w:type="dxa"/>
          <w:left w:w="0" w:type="dxa"/>
          <w:bottom w:w="0" w:type="dxa"/>
          <w:right w:w="0" w:type="dxa"/>
        </w:tblCellMar>
      </w:tblPr>
      <w:tr>
        <w:trPr>
          <w:trHeight w:val="198"/>
        </w:trPr>
        <w:tc>
          <w:tcPr>
            <w:tcW w:w="48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as of September 30, 2023 would have been approximately $</w:t>
            </w:r>
          </w:p>
        </w:tc>
        <w:tc>
          <w:tcPr>
            <w:tcW w:w="1240" w:type="dxa"/>
            <w:vAlign w:val="bottom"/>
            <w:gridSpan w:val="2"/>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rPr>
              <w:t>million, or $</w:t>
            </w:r>
          </w:p>
        </w:tc>
        <w:tc>
          <w:tcPr>
            <w:tcW w:w="20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per share of common</w:t>
            </w:r>
          </w:p>
        </w:tc>
      </w:tr>
      <w:tr>
        <w:trPr>
          <w:trHeight w:val="216"/>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This represents an immediate increase in net tangible book value of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to existing</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and immediate dilution of $</w:t>
            </w:r>
          </w:p>
        </w:tc>
        <w:tc>
          <w:tcPr>
            <w:tcW w:w="4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to investors purchasing securities in this offering at</w:t>
            </w:r>
          </w:p>
        </w:tc>
      </w:tr>
      <w:tr>
        <w:trPr>
          <w:trHeight w:val="234"/>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offering price. The following table illustrates this dilution on a per share basis:</w:t>
            </w:r>
          </w:p>
        </w:tc>
        <w:tc>
          <w:tcPr>
            <w:tcW w:w="2060" w:type="dxa"/>
            <w:vAlign w:val="bottom"/>
          </w:tcPr>
          <w:p>
            <w:pPr>
              <w:spacing w:after="0"/>
              <w:rPr>
                <w:sz w:val="20"/>
                <w:szCs w:val="20"/>
                <w:color w:val="auto"/>
              </w:rPr>
            </w:pPr>
          </w:p>
        </w:tc>
      </w:tr>
      <w:tr>
        <w:trPr>
          <w:trHeight w:val="176"/>
        </w:trPr>
        <w:tc>
          <w:tcPr>
            <w:tcW w:w="480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63"/>
        </w:trPr>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(or per Pre-Funded Warrant)</w:t>
            </w:r>
          </w:p>
        </w:tc>
        <w:tc>
          <w:tcPr>
            <w:tcW w:w="6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600" w:type="dxa"/>
            <w:vAlign w:val="bottom"/>
          </w:tcPr>
          <w:p>
            <w:pPr>
              <w:spacing w:after="0"/>
              <w:rPr>
                <w:sz w:val="21"/>
                <w:szCs w:val="21"/>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(12.86)</w:t>
            </w:r>
          </w:p>
        </w:tc>
      </w:tr>
      <w:tr>
        <w:trPr>
          <w:trHeight w:val="40"/>
        </w:trPr>
        <w:tc>
          <w:tcPr>
            <w:tcW w:w="540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63"/>
        </w:trPr>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spacing w:after="0"/>
              <w:rPr>
                <w:sz w:val="22"/>
                <w:szCs w:val="22"/>
                <w:color w:val="auto"/>
              </w:rPr>
            </w:pPr>
          </w:p>
        </w:tc>
      </w:tr>
      <w:tr>
        <w:trPr>
          <w:trHeight w:val="198"/>
        </w:trPr>
        <w:tc>
          <w:tcPr>
            <w:tcW w:w="4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this offering based</w:t>
            </w: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4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discussion and table above assume no exercise of the Pre-Funded Warrants sold in this offering.</w:t>
      </w:r>
    </w:p>
    <w:p>
      <w:pPr>
        <w:spacing w:after="0" w:line="158" w:lineRule="exact"/>
        <w:rPr>
          <w:sz w:val="20"/>
          <w:szCs w:val="20"/>
          <w:color w:val="auto"/>
        </w:rPr>
      </w:pPr>
    </w:p>
    <w:p>
      <w:pPr>
        <w:ind w:left="880"/>
        <w:spacing w:after="0"/>
        <w:tabs>
          <w:tab w:leader="none" w:pos="1900" w:val="left"/>
          <w:tab w:leader="none" w:pos="6960" w:val="left"/>
        </w:tabs>
        <w:rPr>
          <w:sz w:val="20"/>
          <w:szCs w:val="20"/>
          <w:color w:val="auto"/>
        </w:rPr>
      </w:pPr>
      <w:r>
        <w:rPr>
          <w:rFonts w:ascii="Times New Roman" w:cs="Times New Roman" w:eastAsia="Times New Roman" w:hAnsi="Times New Roman"/>
          <w:sz w:val="18"/>
          <w:szCs w:val="18"/>
          <w:color w:val="auto"/>
        </w:rPr>
        <w:t>Each $</w:t>
      </w:r>
      <w:r>
        <w:rPr>
          <w:sz w:val="20"/>
          <w:szCs w:val="20"/>
          <w:color w:val="auto"/>
        </w:rPr>
        <w:tab/>
      </w:r>
      <w:r>
        <w:rPr>
          <w:rFonts w:ascii="Times New Roman" w:cs="Times New Roman" w:eastAsia="Times New Roman" w:hAnsi="Times New Roman"/>
          <w:sz w:val="18"/>
          <w:szCs w:val="18"/>
          <w:color w:val="auto"/>
        </w:rPr>
        <w:t>increase (decrease) in the assumed public offering price of $</w:t>
      </w:r>
      <w:r>
        <w:rPr>
          <w:sz w:val="20"/>
          <w:szCs w:val="20"/>
          <w:color w:val="auto"/>
        </w:rPr>
        <w:tab/>
      </w:r>
      <w:r>
        <w:rPr>
          <w:rFonts w:ascii="Times New Roman" w:cs="Times New Roman" w:eastAsia="Times New Roman" w:hAnsi="Times New Roman"/>
          <w:sz w:val="18"/>
          <w:szCs w:val="18"/>
          <w:color w:val="auto"/>
        </w:rPr>
        <w:t>per share of common</w:t>
      </w:r>
    </w:p>
    <w:p>
      <w:pPr>
        <w:spacing w:after="0" w:line="27" w:lineRule="exact"/>
        <w:rPr>
          <w:sz w:val="20"/>
          <w:szCs w:val="20"/>
          <w:color w:val="auto"/>
        </w:rPr>
      </w:pPr>
    </w:p>
    <w:p>
      <w:pPr>
        <w:ind w:left="460"/>
        <w:spacing w:after="0"/>
        <w:tabs>
          <w:tab w:leader="none" w:pos="1740" w:val="left"/>
        </w:tabs>
        <w:rPr>
          <w:sz w:val="20"/>
          <w:szCs w:val="20"/>
          <w:color w:val="auto"/>
        </w:rPr>
      </w:pPr>
      <w:r>
        <w:rPr>
          <w:rFonts w:ascii="Times New Roman" w:cs="Times New Roman" w:eastAsia="Times New Roman" w:hAnsi="Times New Roman"/>
          <w:sz w:val="18"/>
          <w:szCs w:val="18"/>
          <w:color w:val="auto"/>
        </w:rPr>
        <w:t>stock (or $</w:t>
      </w:r>
      <w:r>
        <w:rPr>
          <w:sz w:val="20"/>
          <w:szCs w:val="20"/>
          <w:color w:val="auto"/>
        </w:rPr>
        <w:tab/>
      </w:r>
      <w:r>
        <w:rPr>
          <w:rFonts w:ascii="Times New Roman" w:cs="Times New Roman" w:eastAsia="Times New Roman" w:hAnsi="Times New Roman"/>
          <w:sz w:val="17"/>
          <w:szCs w:val="17"/>
          <w:color w:val="auto"/>
        </w:rPr>
        <w:t>per Pre-Funded Warrant) would increase (decrease) the as adjusted net tangible book value by</w:t>
      </w:r>
    </w:p>
    <w:p>
      <w:pPr>
        <w:spacing w:after="0" w:line="9" w:lineRule="exact"/>
        <w:rPr>
          <w:sz w:val="20"/>
          <w:szCs w:val="20"/>
          <w:color w:val="auto"/>
        </w:rPr>
      </w:pPr>
    </w:p>
    <w:p>
      <w:pPr>
        <w:ind w:left="460"/>
        <w:spacing w:after="0"/>
        <w:tabs>
          <w:tab w:leader="none" w:pos="1120" w:val="left"/>
          <w:tab w:leader="none" w:pos="6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 share of common stock and the dilution to new investors by $</w:t>
      </w:r>
      <w:r>
        <w:rPr>
          <w:sz w:val="20"/>
          <w:szCs w:val="20"/>
          <w:color w:val="auto"/>
        </w:rPr>
        <w:tab/>
      </w:r>
      <w:r>
        <w:rPr>
          <w:rFonts w:ascii="Times New Roman" w:cs="Times New Roman" w:eastAsia="Times New Roman" w:hAnsi="Times New Roman"/>
          <w:sz w:val="18"/>
          <w:szCs w:val="18"/>
          <w:color w:val="auto"/>
        </w:rPr>
        <w:t>per share, assuming that the</w:t>
      </w:r>
    </w:p>
    <w:p>
      <w:pPr>
        <w:spacing w:after="0" w:line="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number of shares and/or Pre-Funded Warrants offered by us, as set forth on the cover page of this prospectus, remains the same, after deducting the estimated underwriting discounts and commissions and estimated offering expenses payable by us.</w:t>
      </w:r>
    </w:p>
    <w:p>
      <w:pPr>
        <w:spacing w:after="0" w:line="11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of shares in the number of shares of common stock and/or Pre-Funded Warrants offered by us, as set forth on the cover page</w:t>
      </w:r>
    </w:p>
    <w:p>
      <w:pPr>
        <w:ind w:left="460"/>
        <w:spacing w:after="0"/>
        <w:tabs>
          <w:tab w:leader="none" w:pos="7760" w:val="left"/>
        </w:tabs>
        <w:rPr>
          <w:sz w:val="20"/>
          <w:szCs w:val="20"/>
          <w:color w:val="auto"/>
        </w:rPr>
      </w:pPr>
      <w:r>
        <w:rPr>
          <w:rFonts w:ascii="Times New Roman" w:cs="Times New Roman" w:eastAsia="Times New Roman" w:hAnsi="Times New Roman"/>
          <w:sz w:val="18"/>
          <w:szCs w:val="18"/>
          <w:color w:val="auto"/>
        </w:rPr>
        <w:t>of this prospectus, would increase our as adjusted net tangible book value by approximately $</w:t>
      </w:r>
      <w:r>
        <w:rPr>
          <w:sz w:val="20"/>
          <w:szCs w:val="20"/>
          <w:color w:val="auto"/>
        </w:rPr>
        <w:tab/>
      </w:r>
      <w:r>
        <w:rPr>
          <w:rFonts w:ascii="Times New Roman" w:cs="Times New Roman" w:eastAsia="Times New Roman" w:hAnsi="Times New Roman"/>
          <w:sz w:val="17"/>
          <w:szCs w:val="17"/>
          <w:color w:val="auto"/>
        </w:rPr>
        <w:t>million, or</w:t>
      </w:r>
    </w:p>
    <w:p>
      <w:pPr>
        <w:spacing w:after="0" w:line="9" w:lineRule="exact"/>
        <w:rPr>
          <w:sz w:val="20"/>
          <w:szCs w:val="20"/>
          <w:color w:val="auto"/>
        </w:rPr>
      </w:pPr>
    </w:p>
    <w:p>
      <w:pPr>
        <w:ind w:left="460"/>
        <w:spacing w:after="0"/>
        <w:tabs>
          <w:tab w:leader="none" w:pos="238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per share of common stock, and decrease the dilution per share to investors in this</w:t>
      </w:r>
    </w:p>
    <w:p>
      <w:pPr>
        <w:spacing w:after="0" w:line="9" w:lineRule="exact"/>
        <w:rPr>
          <w:sz w:val="20"/>
          <w:szCs w:val="20"/>
          <w:color w:val="auto"/>
        </w:rPr>
      </w:pPr>
    </w:p>
    <w:p>
      <w:pPr>
        <w:ind w:left="460"/>
        <w:spacing w:after="0"/>
        <w:tabs>
          <w:tab w:leader="none" w:pos="3260" w:val="left"/>
        </w:tabs>
        <w:rPr>
          <w:sz w:val="20"/>
          <w:szCs w:val="20"/>
          <w:color w:val="auto"/>
        </w:rPr>
      </w:pPr>
      <w:r>
        <w:rPr>
          <w:rFonts w:ascii="Times New Roman" w:cs="Times New Roman" w:eastAsia="Times New Roman" w:hAnsi="Times New Roman"/>
          <w:sz w:val="18"/>
          <w:szCs w:val="18"/>
          <w:color w:val="auto"/>
        </w:rPr>
        <w:t>offering by approximately $</w:t>
      </w:r>
      <w:r>
        <w:rPr>
          <w:sz w:val="20"/>
          <w:szCs w:val="20"/>
          <w:color w:val="auto"/>
        </w:rPr>
        <w:tab/>
      </w:r>
      <w:r>
        <w:rPr>
          <w:rFonts w:ascii="Times New Roman" w:cs="Times New Roman" w:eastAsia="Times New Roman" w:hAnsi="Times New Roman"/>
          <w:sz w:val="18"/>
          <w:szCs w:val="18"/>
          <w:color w:val="auto"/>
        </w:rPr>
        <w:t>per share, assuming that the assumed public offering price per share of</w:t>
      </w:r>
    </w:p>
    <w:p>
      <w:pPr>
        <w:spacing w:after="0" w:line="9"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common stock and per Pre-Funded Warrant remains the same, and after deducting the estimated underwriting discounts and commissions and estimated offering expenses payable by us. Similarly, a decrease of</w:t>
      </w:r>
    </w:p>
    <w:p>
      <w:pPr>
        <w:spacing w:after="0" w:line="1" w:lineRule="exact"/>
        <w:rPr>
          <w:sz w:val="20"/>
          <w:szCs w:val="20"/>
          <w:color w:val="auto"/>
        </w:rPr>
      </w:pPr>
    </w:p>
    <w:p>
      <w:pPr>
        <w:jc w:val="both"/>
        <w:ind w:left="460" w:right="479" w:firstLine="384"/>
        <w:spacing w:after="0" w:line="250" w:lineRule="auto"/>
        <w:rPr>
          <w:sz w:val="20"/>
          <w:szCs w:val="20"/>
          <w:color w:val="auto"/>
        </w:rPr>
      </w:pPr>
      <w:r>
        <w:rPr>
          <w:rFonts w:ascii="Times New Roman" w:cs="Times New Roman" w:eastAsia="Times New Roman" w:hAnsi="Times New Roman"/>
          <w:sz w:val="18"/>
          <w:szCs w:val="18"/>
          <w:color w:val="auto"/>
        </w:rPr>
        <w:t>shares in the number of shares of common stock and/or Pre-Funded Warrants offered by us, as set forth on the cover page of this prospectus, would decrease our as adjusted net tangible book value by approximately</w:t>
      </w:r>
    </w:p>
    <w:p>
      <w:pPr>
        <w:spacing w:after="0" w:line="1" w:lineRule="exact"/>
        <w:rPr>
          <w:sz w:val="20"/>
          <w:szCs w:val="20"/>
          <w:color w:val="auto"/>
        </w:rPr>
      </w:pPr>
    </w:p>
    <w:p>
      <w:pPr>
        <w:ind w:left="460"/>
        <w:spacing w:after="0"/>
        <w:tabs>
          <w:tab w:leader="none" w:pos="1180" w:val="left"/>
          <w:tab w:leader="none" w:pos="3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per share, and increase the dilution per share to investors in this</w:t>
      </w:r>
    </w:p>
    <w:p>
      <w:pPr>
        <w:spacing w:after="0" w:line="9" w:lineRule="exact"/>
        <w:rPr>
          <w:sz w:val="20"/>
          <w:szCs w:val="20"/>
          <w:color w:val="auto"/>
        </w:rPr>
      </w:pPr>
    </w:p>
    <w:p>
      <w:pPr>
        <w:ind w:left="460"/>
        <w:spacing w:after="0"/>
        <w:tabs>
          <w:tab w:leader="none" w:pos="3260" w:val="left"/>
        </w:tabs>
        <w:rPr>
          <w:sz w:val="20"/>
          <w:szCs w:val="20"/>
          <w:color w:val="auto"/>
        </w:rPr>
      </w:pPr>
      <w:r>
        <w:rPr>
          <w:rFonts w:ascii="Times New Roman" w:cs="Times New Roman" w:eastAsia="Times New Roman" w:hAnsi="Times New Roman"/>
          <w:sz w:val="18"/>
          <w:szCs w:val="18"/>
          <w:color w:val="auto"/>
        </w:rPr>
        <w:t>offering by approximately $</w:t>
      </w:r>
      <w:r>
        <w:rPr>
          <w:sz w:val="20"/>
          <w:szCs w:val="20"/>
          <w:color w:val="auto"/>
        </w:rPr>
        <w:tab/>
      </w:r>
      <w:r>
        <w:rPr>
          <w:rFonts w:ascii="Times New Roman" w:cs="Times New Roman" w:eastAsia="Times New Roman" w:hAnsi="Times New Roman"/>
          <w:sz w:val="18"/>
          <w:szCs w:val="18"/>
          <w:color w:val="auto"/>
        </w:rPr>
        <w:t>per share, assuming that the assumed public offering price per share of</w:t>
      </w:r>
    </w:p>
    <w:p>
      <w:pPr>
        <w:spacing w:after="0" w:line="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common stock and per Pre-Funded Warrant remains the same, and after deducting the estimated underwriting discounts and commissions and estimated offering expenses payable by us. The information discussed above is illustrative only and will adjust based on the actual public offering price, the actual number of shares of common stock and Pre-Funded Warrants that we offer in this offering, and other terms of this offering determined at pricing.</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above discussion and table do not take into account further dilution to investors purchasing our common stock in this offering that could occur upon the exercise of outstanding options and warrants, or the conversion of convertible securities, having a per share exercise or conversion price less than the public offering price per share in this offering. To the extent that outstanding options or warrants or other shares are issued, investors purchasing</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common stock and/or Pre-Funded Warrants in this offering will experience further dilution. In addition, we may choose to raise additional capital due to market conditions or strategic considerations even if we believe that we have sufficient funds for our current or future operating plans. To the extent that additional capital is raised through the sale of our common stock, including through the sale of securities convertible into or exchangeable or exercisable for common stock, the issuance of these securities could result in further dilution to our stockholders, including investors purchasing our common stock in this offering.</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table and discussion above are based on 1,651,281 shares of our common stock outstanding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2023, but does not include, as of such date:</w:t>
      </w:r>
    </w:p>
    <w:p>
      <w:pPr>
        <w:spacing w:after="0" w:line="139" w:lineRule="exact"/>
        <w:rPr>
          <w:sz w:val="20"/>
          <w:szCs w:val="20"/>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1,495,001 shares of our common stock issuable upon the exercise of warrants outstanding, at a weighted average exercise price of $38.07 per share;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13,439 shares of our common stock issuable upon the exercise of stock options outstanding, at a weighted average exercise price of $1,518.05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4,580 shares of our common stock issuable upon the vesting of restricted stock units;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8,437 shares of our common stock reserved for future issuance under our 2022 Omnibus Equity Incentive Plan;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common stock reserved for future issuance under our 2022 Employee Stock Purchase Plan;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shares of our common stock reserved for future issuance in connection with completed acquisitions;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1,157,068 shares of our common stock reserved for future issuance in connection with the conversion of a secured convertible note held as of September 30, 2023 by the Former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January 25, 2024, there were 6,846,419 shares of common stock outstanding, warrants outstanding to purchase 2,154,680 shares of our common stock, 10,334 shares of common stock subject to outstanding stock options, 4,531 shares of common stock subject to unvested restricted stock units, and 10,273,973 shares of common stock underlying convertible notes.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2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Pre-Funded Warrants to be Issued in this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Warrants, which has been provided to the investors in this offering and which has been filed with the SEC as an exhibit to the registration statement of which this prospectus forms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Terms of the Pre-Funded Warrants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those purchasers to have the initial exercise limitation set at 9.99% of our outstanding common stock.</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Rights Upon Distribution of Assets; Purchase Rights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 Certain Adjustments”) or other property, to our stockholders, holders of Pre-Funded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grant, issue or sell pro rata to our stockholders, any options, convertible securities or rights to purchase stock, warrants, securities or other property, the Pre-Funded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Listing</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Amendments and Waivers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provisions of each Pre-Funded Warrant may be modified or amended or the provisions thereof waived with the written consent of us and the holder.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and the underwriters for the offering named below have entered into an underwriting agreement with respect to the securities being offered. Alexander Capital, L.P. (“ACLP”) is acting as the representative of the underwriters in this offering. Subject to the terms and conditions of the underwriting agreement, the underwriters have agreed to purchase from us the number of securities set forth opposite their names below.</w:t>
      </w:r>
    </w:p>
    <w:p>
      <w:pPr>
        <w:spacing w:after="0" w:line="15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6260"/>
        <w:spacing w:after="0"/>
        <w:tabs>
          <w:tab w:leader="none" w:pos="7500" w:val="left"/>
        </w:tabs>
        <w:rPr>
          <w:sz w:val="20"/>
          <w:szCs w:val="20"/>
          <w:color w:val="auto"/>
        </w:rPr>
      </w:pPr>
      <w:r>
        <w:rPr>
          <w:rFonts w:ascii="Times New Roman" w:cs="Times New Roman" w:eastAsia="Times New Roman" w:hAnsi="Times New Roman"/>
          <w:sz w:val="16"/>
          <w:szCs w:val="16"/>
          <w:b w:val="1"/>
          <w:bCs w:val="1"/>
          <w:color w:val="auto"/>
        </w:rPr>
        <w:t>Number of</w:t>
      </w:r>
      <w:r>
        <w:rPr>
          <w:sz w:val="20"/>
          <w:szCs w:val="20"/>
          <w:color w:val="auto"/>
        </w:rPr>
        <w:tab/>
      </w:r>
      <w:r>
        <w:rPr>
          <w:rFonts w:ascii="Times New Roman" w:cs="Times New Roman" w:eastAsia="Times New Roman" w:hAnsi="Times New Roman"/>
          <w:sz w:val="16"/>
          <w:szCs w:val="16"/>
          <w:b w:val="1"/>
          <w:bCs w:val="1"/>
          <w:color w:val="auto"/>
        </w:rPr>
        <w:t>Pre-Funded</w:t>
      </w:r>
    </w:p>
    <w:p>
      <w:pPr>
        <w:spacing w:after="0" w:line="19" w:lineRule="exact"/>
        <w:rPr>
          <w:sz w:val="20"/>
          <w:szCs w:val="20"/>
          <w:color w:val="auto"/>
        </w:rPr>
      </w:pPr>
    </w:p>
    <w:p>
      <w:pPr>
        <w:ind w:left="460"/>
        <w:spacing w:after="0"/>
        <w:tabs>
          <w:tab w:leader="none" w:pos="6380" w:val="left"/>
          <w:tab w:leader="none" w:pos="7580" w:val="left"/>
        </w:tabs>
        <w:rPr>
          <w:sz w:val="20"/>
          <w:szCs w:val="20"/>
          <w:color w:val="auto"/>
        </w:rPr>
      </w:pPr>
      <w:r>
        <w:rPr>
          <w:rFonts w:ascii="Times New Roman" w:cs="Times New Roman" w:eastAsia="Times New Roman" w:hAnsi="Times New Roman"/>
          <w:sz w:val="16"/>
          <w:szCs w:val="16"/>
          <w:b w:val="1"/>
          <w:bCs w:val="1"/>
          <w:color w:val="auto"/>
        </w:rPr>
        <w:t>Underwriter</w:t>
      </w:r>
      <w:r>
        <w:rPr>
          <w:sz w:val="20"/>
          <w:szCs w:val="20"/>
          <w:color w:val="auto"/>
        </w:rPr>
        <w:tab/>
      </w: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5"/>
          <w:szCs w:val="1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Alexander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43180</wp:posOffset>
            </wp:positionV>
            <wp:extent cx="15773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34290</wp:posOffset>
            </wp:positionV>
            <wp:extent cx="157734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19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underwriters are collectively referred to as the “underwriters” and the “representative” is ACLP. The underwriters are offering the shares of common stock or Pre-Funded Warrants, subject to prior sale, when, as and if issued to and accepted by it, subject to approval of legal matters by its counsel and other conditions specified in the underwriting agreement. The underwriters reserve the right to withdraw, cancel or modify offers and to reject orders in whole or in part. The underwriters are obligated to take and pay for all of the shares or Pre-Funded Warrants offered by this prospectus if any such shares are taken. However, the underwriters are not required to take or pay for the shares or Pre-Funded Warrants covered by the underwriters’ Over-Allotment Option described below.</w:t>
      </w:r>
    </w:p>
    <w:p>
      <w:pPr>
        <w:spacing w:after="0" w:line="122" w:lineRule="exact"/>
        <w:rPr>
          <w:sz w:val="20"/>
          <w:szCs w:val="20"/>
          <w:color w:val="auto"/>
        </w:rPr>
      </w:pPr>
    </w:p>
    <w:p>
      <w:pPr>
        <w:ind w:left="880"/>
        <w:spacing w:after="0"/>
        <w:tabs>
          <w:tab w:leader="none" w:pos="2760" w:val="left"/>
        </w:tabs>
        <w:rPr>
          <w:sz w:val="20"/>
          <w:szCs w:val="20"/>
          <w:color w:val="auto"/>
        </w:rPr>
      </w:pPr>
      <w:r>
        <w:rPr>
          <w:rFonts w:ascii="Times New Roman" w:cs="Times New Roman" w:eastAsia="Times New Roman" w:hAnsi="Times New Roman"/>
          <w:sz w:val="18"/>
          <w:szCs w:val="18"/>
          <w:i w:val="1"/>
          <w:iCs w:val="1"/>
          <w:color w:val="auto"/>
        </w:rPr>
        <w:t>Over-Allotment Option.</w:t>
      </w:r>
      <w:r>
        <w:rPr>
          <w:sz w:val="20"/>
          <w:szCs w:val="20"/>
          <w:color w:val="auto"/>
        </w:rPr>
        <w:tab/>
      </w:r>
      <w:r>
        <w:rPr>
          <w:rFonts w:ascii="Times New Roman" w:cs="Times New Roman" w:eastAsia="Times New Roman" w:hAnsi="Times New Roman"/>
          <w:sz w:val="17"/>
          <w:szCs w:val="17"/>
          <w:color w:val="auto"/>
        </w:rPr>
        <w:t>We have granted to the underwriters an option exercisable not later than 45 days</w:t>
      </w:r>
    </w:p>
    <w:p>
      <w:pPr>
        <w:spacing w:after="0" w:line="2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after the date of this prospectus to purchase up to an additional shares of common stock (or Pre-Funded Warrants), equal to 15% of the shares to be offered hereby at the public offering price per share of common stock (or Pre-Funded Warrant) set forth on the cover page hereto less the underwriting discounts and commissions. The underwriters may exercise the option solely to cover overallotments, if any, made in connection with this offering. To the extent the option is exercised, each underwriter will become obligated, subject to certain conditions, to purchase about the same percentage of shares of common stock (and/or Pre-Funded Warrants) as the number listed next to the underwriter’s name in the preceding table bears to the total number of shares of common stock (or Pre-Funded Warrants) listed next to the names of all underwriters in the preceding table. If any additional shares of common stock (or Pre-Funded Warrants) are purchased, the underwriters will offer these shares on the same terms as those on which the other securities are being offered.</w:t>
      </w:r>
    </w:p>
    <w:p>
      <w:pPr>
        <w:spacing w:after="0" w:line="123"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We have agreed to pay the underwriters a cash fee equal to seven percent (7.0%)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gross proceeds received by the Company in the offering.</w:t>
      </w:r>
    </w:p>
    <w:p>
      <w:pPr>
        <w:spacing w:after="0" w:line="7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propose to offer the securities offering price set forth on the cover of this prospectus. If all of the securities are not sold at the offering price, the underwriters may change the offering price and other selling terms.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offering price, underwriting discounts and proceeds, before expenses, to us from the sale of common stock (or Pre-Funded Warrants).</w:t>
      </w:r>
    </w:p>
    <w:p>
      <w:pPr>
        <w:spacing w:after="0" w:line="124"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Per Pre-Funded</w:t>
      </w:r>
    </w:p>
    <w:p>
      <w:pPr>
        <w:spacing w:after="0" w:line="28" w:lineRule="exact"/>
        <w:rPr>
          <w:sz w:val="20"/>
          <w:szCs w:val="20"/>
          <w:color w:val="auto"/>
        </w:rPr>
      </w:pPr>
    </w:p>
    <w:p>
      <w:pPr>
        <w:ind w:left="5060"/>
        <w:spacing w:after="0"/>
        <w:tabs>
          <w:tab w:leader="none" w:pos="6300" w:val="left"/>
          <w:tab w:leader="none" w:pos="7720" w:val="left"/>
        </w:tabs>
        <w:rPr>
          <w:sz w:val="20"/>
          <w:szCs w:val="20"/>
          <w:color w:val="auto"/>
        </w:rPr>
      </w:pPr>
      <w:r>
        <w:rPr>
          <w:rFonts w:ascii="Times New Roman" w:cs="Times New Roman" w:eastAsia="Times New Roman" w:hAnsi="Times New Roman"/>
          <w:sz w:val="16"/>
          <w:szCs w:val="16"/>
          <w:b w:val="1"/>
          <w:bCs w:val="1"/>
          <w:color w:val="auto"/>
        </w:rPr>
        <w:t>Per Share</w:t>
      </w:r>
      <w:r>
        <w:rPr>
          <w:sz w:val="20"/>
          <w:szCs w:val="20"/>
          <w:color w:val="auto"/>
        </w:rPr>
        <w:tab/>
      </w:r>
      <w:r>
        <w:rPr>
          <w:rFonts w:ascii="Times New Roman" w:cs="Times New Roman" w:eastAsia="Times New Roman" w:hAnsi="Times New Roman"/>
          <w:sz w:val="16"/>
          <w:szCs w:val="16"/>
          <w:b w:val="1"/>
          <w:bCs w:val="1"/>
          <w:color w:val="auto"/>
        </w:rPr>
        <w:t>Warrant</w:t>
      </w:r>
      <w:r>
        <w:rPr>
          <w:sz w:val="20"/>
          <w:szCs w:val="20"/>
          <w:color w:val="auto"/>
        </w:rPr>
        <w:tab/>
      </w:r>
      <w:r>
        <w:rPr>
          <w:rFonts w:ascii="Times New Roman" w:cs="Times New Roman" w:eastAsia="Times New Roman" w:hAnsi="Times New Roman"/>
          <w:sz w:val="15"/>
          <w:szCs w:val="15"/>
          <w:b w:val="1"/>
          <w:bCs w:val="1"/>
          <w:color w:val="auto"/>
        </w:rPr>
        <w:t>Total</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3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r>
              <w:rPr>
                <w:rFonts w:ascii="Times New Roman" w:cs="Times New Roman" w:eastAsia="Times New Roman" w:hAnsi="Times New Roman"/>
                <w:sz w:val="20"/>
                <w:szCs w:val="20"/>
                <w:color w:val="auto"/>
                <w:vertAlign w:val="superscript"/>
              </w:rPr>
              <w:t>(1)</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tabs>
          <w:tab w:leader="none" w:pos="860" w:val="left"/>
          <w:tab w:leader="none" w:pos="6220" w:val="left"/>
        </w:tabs>
        <w:rPr>
          <w:sz w:val="20"/>
          <w:szCs w:val="20"/>
          <w:color w:val="auto"/>
        </w:rPr>
      </w:pPr>
      <w:r>
        <w:rPr>
          <w:rFonts w:ascii="Times New Roman" w:cs="Times New Roman" w:eastAsia="Times New Roman" w:hAnsi="Times New Roman"/>
          <w:sz w:val="16"/>
          <w:szCs w:val="16"/>
          <w:color w:val="auto"/>
        </w:rPr>
        <w:t>(1)</w:t>
        <w:tab/>
        <w:t>We have granted a 45-day option to the underwriters to purchase up to</w:t>
      </w:r>
      <w:r>
        <w:rPr>
          <w:sz w:val="20"/>
          <w:szCs w:val="20"/>
          <w:color w:val="auto"/>
        </w:rPr>
        <w:tab/>
      </w:r>
      <w:r>
        <w:rPr>
          <w:rFonts w:ascii="Times New Roman" w:cs="Times New Roman" w:eastAsia="Times New Roman" w:hAnsi="Times New Roman"/>
          <w:sz w:val="16"/>
          <w:szCs w:val="16"/>
          <w:color w:val="auto"/>
        </w:rPr>
        <w:t>additional shares of common stock</w:t>
      </w:r>
    </w:p>
    <w:p>
      <w:pPr>
        <w:spacing w:after="0" w:line="26" w:lineRule="exact"/>
        <w:rPr>
          <w:sz w:val="20"/>
          <w:szCs w:val="20"/>
          <w:color w:val="auto"/>
        </w:rPr>
      </w:pPr>
    </w:p>
    <w:p>
      <w:pPr>
        <w:ind w:left="880" w:right="479"/>
        <w:spacing w:after="0" w:line="288" w:lineRule="auto"/>
        <w:rPr>
          <w:sz w:val="20"/>
          <w:szCs w:val="20"/>
          <w:color w:val="auto"/>
        </w:rPr>
      </w:pPr>
      <w:r>
        <w:rPr>
          <w:rFonts w:ascii="Times New Roman" w:cs="Times New Roman" w:eastAsia="Times New Roman" w:hAnsi="Times New Roman"/>
          <w:sz w:val="16"/>
          <w:szCs w:val="16"/>
          <w:color w:val="auto"/>
        </w:rPr>
        <w:t>(and/or Pre-Funded Warrants) at the assumed public offering price per share of common stock (or Pre-Funded Warrant) set forth above less the underwriting discounts and commissions solely to cover over-allotments, if any.</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underwriting discounts, will</w:t>
      </w:r>
    </w:p>
    <w:p>
      <w:pPr>
        <w:spacing w:after="0" w:line="27"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be approximately $ . We have agreed to reimburse the underwriters for expenses, including the fees and expenses of counsel for the underwriters, in an amount not to exceed $100,000.</w:t>
      </w:r>
    </w:p>
    <w:p>
      <w:pPr>
        <w:spacing w:after="0" w:line="9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Representative’s Warrants. </w:t>
      </w:r>
      <w:r>
        <w:rPr>
          <w:rFonts w:ascii="Times New Roman" w:cs="Times New Roman" w:eastAsia="Times New Roman" w:hAnsi="Times New Roman"/>
          <w:sz w:val="18"/>
          <w:szCs w:val="18"/>
          <w:color w:val="auto"/>
        </w:rPr>
        <w:t>As additional compensation to ACLP, upon consummation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will issue to ACLP or its designees non-redeemable warrants to purchase shares of our common stock equal to one and one-half percent (1.5%) of the aggregate number of shares of common stock (or Pre-Funded Warrants) issued in this offering. The Representative’s Warrants will be exercisable at an exercise price of</w:t>
      </w:r>
    </w:p>
    <w:p>
      <w:pPr>
        <w:spacing w:after="0" w:line="1" w:lineRule="exact"/>
        <w:rPr>
          <w:sz w:val="20"/>
          <w:szCs w:val="20"/>
          <w:color w:val="auto"/>
        </w:rPr>
      </w:pPr>
    </w:p>
    <w:p>
      <w:pPr>
        <w:ind w:left="1080" w:hanging="6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(100% of the</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public offering price per share). The Representative’s Warrants and the underlying shares of Common Stock shall not be sold during the offering, or sold, transferred, assigned, pledged, or hypothecated, or be the subject of any hedging, short sale, derivative, put, or call transaction that would result in the effective economic disposition of the securities by any person for a period of six months immediately following the commencement of sales of the Common Stock in the public offering in accordance with FINRA Rule 5110(e)(1). The Representative’s Warrants will be exercisable, in whole or in part, which may be by “cashless exercise” under certain conditions, commencing on the six-month anniversary of the date of the commencement of the sale of the public securities in this offering and will expire on the fifth anniversary of the effective date of the registration statement related to the offering. In the event the underlying shares are not subject to an effective registration statement, ACLP shall have unlimited “piggyback” registration rights with respect to the underlying shares. The piggyback registration rights will not be greater than seven years from the effective date of this registration statement, in compliance with FINRA Rule 5110(G)(8)(D).</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There is no established public trading market for the Pre-Funded Warrants, and we do not expect a market to develop. We do not intend to list the Pre-Funded Warrants on The Nasdaq Capital Market, any other national securities exchange or any other nationally recognized trading system.</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We have agreed, subject to certain exceptions, not to (i)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w:t>
      </w:r>
    </w:p>
    <w:p>
      <w:pPr>
        <w:spacing w:after="0" w:line="5" w:lineRule="exact"/>
        <w:rPr>
          <w:sz w:val="20"/>
          <w:szCs w:val="20"/>
          <w:color w:val="auto"/>
        </w:rPr>
      </w:pPr>
    </w:p>
    <w:p>
      <w:pPr>
        <w:jc w:val="both"/>
        <w:ind w:left="460" w:right="479" w:hanging="6"/>
        <w:spacing w:after="0" w:line="255" w:lineRule="auto"/>
        <w:tabs>
          <w:tab w:leader="none" w:pos="7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is to be settled by delivery of our common stock or other securities, in cash or otherwise, without the prior written consent of the underwriter, for a period of 180 days after the date of the pricing of the offering.</w:t>
      </w:r>
    </w:p>
    <w:p>
      <w:pPr>
        <w:spacing w:after="0" w:line="10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representative of the underwriters, in its sole discretion, may release our common stock and other securities subject to the lock-up agreements described above in whole or in part at any time. When determining whether or not to release our common stock and other securities from lock-up agreements, the representative of the underwriters will consider, among other factors, the holder’s reasons for requesting the release, the number of shares for which the release is being requested and market conditions at the time of the request.</w:t>
      </w:r>
    </w:p>
    <w:p>
      <w:pPr>
        <w:spacing w:after="0" w:line="114"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Accounts. </w:t>
      </w:r>
      <w:r>
        <w:rPr>
          <w:rFonts w:ascii="Times New Roman" w:cs="Times New Roman" w:eastAsia="Times New Roman" w:hAnsi="Times New Roman"/>
          <w:sz w:val="18"/>
          <w:szCs w:val="18"/>
          <w:color w:val="auto"/>
        </w:rPr>
        <w:t>The underwriters do not intend to confirm sales of the securities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over which it has discretionary authority.</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In connection with this offering, the underwriters may engage in stabilizing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w:t>
      </w:r>
    </w:p>
    <w:p>
      <w:pPr>
        <w:spacing w:after="0" w:line="10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 underwriters may also engage in other activities that stabilize, maintain or otherwise affect the price of the common stock, including the imposition of penalty bids.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Capital Market, in the over the counter market or otherwise.</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Passive Market Making. </w:t>
      </w:r>
      <w:r>
        <w:rPr>
          <w:rFonts w:ascii="Times New Roman" w:cs="Times New Roman" w:eastAsia="Times New Roman" w:hAnsi="Times New Roman"/>
          <w:sz w:val="18"/>
          <w:szCs w:val="18"/>
          <w:color w:val="auto"/>
        </w:rPr>
        <w:t>In connection with this offering, the underwriters may engage in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making transactions in our common stock on The Nasdaq Capital Market in accordance with Rule 103 of Regulation M under the Securities Exchange Act of 1934, as amended, during a period before the commencement of offers or sales of securities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Restrictions. </w:t>
      </w:r>
      <w:r>
        <w:rPr>
          <w:rFonts w:ascii="Times New Roman" w:cs="Times New Roman" w:eastAsia="Times New Roman" w:hAnsi="Times New Roman"/>
          <w:sz w:val="18"/>
          <w:szCs w:val="18"/>
          <w:color w:val="auto"/>
        </w:rPr>
        <w:t>Other than in the United States of America, no action has been taken by us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Canada. </w:t>
      </w:r>
      <w:r>
        <w:rPr>
          <w:rFonts w:ascii="Times New Roman" w:cs="Times New Roman" w:eastAsia="Times New Roman" w:hAnsi="Times New Roman"/>
          <w:sz w:val="18"/>
          <w:szCs w:val="18"/>
          <w:color w:val="auto"/>
        </w:rPr>
        <w:t>The securities may be sold only to purchasers purchasing, or deemed to be purchasing,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Pursuant  to  section</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3A.3</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National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Instrument  33-105  </w:t>
            </w:r>
            <w:r>
              <w:rPr>
                <w:rFonts w:ascii="Times New Roman" w:cs="Times New Roman" w:eastAsia="Times New Roman" w:hAnsi="Times New Roman"/>
                <w:sz w:val="18"/>
                <w:szCs w:val="18"/>
                <w:i w:val="1"/>
                <w:iCs w:val="1"/>
                <w:color w:val="auto"/>
              </w:rPr>
              <w:t>Underwriting  Conflicts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105),  the  underwriters  are</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t>
            </w: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required  to</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comply  with  the  disclosure  requirements  of</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105 regarding underwriter conflicts of interest in connection with this offering.</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Israel. </w:t>
      </w:r>
      <w:r>
        <w:rPr>
          <w:rFonts w:ascii="Times New Roman" w:cs="Times New Roman" w:eastAsia="Times New Roman" w:hAnsi="Times New Roman"/>
          <w:sz w:val="18"/>
          <w:szCs w:val="18"/>
          <w:color w:val="auto"/>
        </w:rPr>
        <w:t>In the State of Israel this prospectus shall not be regarded as an offer to the public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and Pre-Funded Warrants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The Company has not and will not distribute this prospectus or make, distribute or direct an offer to subscribe for the Company’s common stock and Pre-Funded Warrants to any person within the State of Israel, other than to Qualified Investors and up to 35 Addressed Investors.</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 — 1968. In particular, the Company may request, as a condition to be offered common stock and Pre-Funded Warrants, that Qualified Investors will each represent, warrant and certify to the Company and/or to anyone acting on its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and Pre-Funded Warrants; (iv) that the shares of common stock and Pre-Funded Warrants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In the United Kingdom, this prospectus is only addressed to and directed as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who are (i) investment professionals falling within Article 19(5) of the Financial Services and Markets Act 2000 (Financial Promotion) Order 2005 (the Order); or (ii) high net worth entities and other persons to whom it</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10"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The securities will not be offered, directly or indirectly, to the public in Switzerland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does not constitute a public offering prospectus as that term is understood pursuant to article 652a or 1156 of the Swiss Federal Code of Obligations.</w:t>
      </w:r>
    </w:p>
    <w:p>
      <w:pPr>
        <w:spacing w:after="0" w:line="10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European Economic Area. </w:t>
      </w:r>
      <w:r>
        <w:rPr>
          <w:rFonts w:ascii="Times New Roman" w:cs="Times New Roman" w:eastAsia="Times New Roman" w:hAnsi="Times New Roman"/>
          <w:sz w:val="18"/>
          <w:szCs w:val="18"/>
          <w:color w:val="auto"/>
        </w:rPr>
        <w:t>In relation to each Member State of the European Economic Area (each,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 no offer of shares may be made to the public in that Member State other than:</w:t>
      </w:r>
    </w:p>
    <w:p>
      <w:pPr>
        <w:spacing w:after="0" w:line="79"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securities shall require the Company or the underwriters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underwriters and the Company that it is a “qualified investor” as defined in the Prospectus Regulation.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5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representative of the underwriters has been obtained to each such proposed offer or resale.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any Member State means the communication in any form and by means of sufficient information on the terms of the offer and the securities to be offered so as to enable an investor to decide to purchase securities, and the expression “Prospectus Regulation” means Regulation (EU) 2017/1129 (as amended).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not authorized and does not authorize the making of any offer of securities through any financial intermediary on our behalf, other than offers made by the underwriters and their affiliates, with a view to the final placement of the securities as contemplated in this document. Accordingly, no purchaser of the securities, other than the underwriters, is authorized to make any further offer of securities on our behalf or on behalf of the underwriters.</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Electronic Offer, Sale and Distribution of Securities. </w:t>
      </w:r>
      <w:r>
        <w:rPr>
          <w:rFonts w:ascii="Times New Roman" w:cs="Times New Roman" w:eastAsia="Times New Roman" w:hAnsi="Times New Roman"/>
          <w:sz w:val="18"/>
          <w:szCs w:val="18"/>
          <w:color w:val="auto"/>
        </w:rPr>
        <w:t>A prospectus in electronic format may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the website maintained by the underwriters and the underwriters may distribute prospectus electronically. The underwriters may agree to allocate a number of shares of common stock and Pre-Funded Warrants for sale to its online brokerage account holders. Internet distributions will be allocated by the underwriters on the same basis as other allocations. Other than the prospectus in electronic format, the information on this website is not part of this prospectus or the registration statement of which this prospectus forms a part, has not been approved or endorsed by us or the underwriters in their capacity as underwriter, and should not be relied upon by investors.</w:t>
      </w:r>
    </w:p>
    <w:p>
      <w:pPr>
        <w:spacing w:after="0" w:line="11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Relationships. </w:t>
      </w:r>
      <w:r>
        <w:rPr>
          <w:rFonts w:ascii="Times New Roman" w:cs="Times New Roman" w:eastAsia="Times New Roman" w:hAnsi="Times New Roman"/>
          <w:sz w:val="18"/>
          <w:szCs w:val="18"/>
          <w:color w:val="auto"/>
        </w:rPr>
        <w:t>The underwriters and their affiliates may have provided in the past, and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provide, various investment banking, commercial banking and other financial services for us and our affiliates for which it has received, or may in the future receive, customary fees.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securities offered by this prospectus will be passed upon for us by Sherman &amp; Howard L.L.C., Las Vegas, Nevada. Lucosky Brookman LLP, Woodbridge, New Jersey, is acting as counsel to the underwriters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financial statements of Agrify Corporation and Subsidiaries as of December 31, 2022 and 2021, for the two years ended December 31, 2022, incorporated by reference into this prospectus, have been audited by Marcum LLP, independent registered public accounting firm, as set forth in their report thereon (which contains an explanatory paragraph relating to substantial doubt about the ability of Agrify Corporation and Subsidiaries to continue as a going concern as described in Note 1 to the financial statements) incorporated by reference into this prospectus, and are included in reliance on the report of such firm given upon their authority as experts in auditing and accounting.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post on our public website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under File No. 001-39946, which means that we can disclose important information to you by referring you to those publicly available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w:t>
      </w:r>
    </w:p>
    <w:p>
      <w:pPr>
        <w:spacing w:after="0" w:line="116" w:lineRule="exact"/>
        <w:rPr>
          <w:sz w:val="20"/>
          <w:szCs w:val="20"/>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November 28, 2023;</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2023 filed with the SEC on November 28, 2023;</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2023 filed with the SEC on December 12, 2023;</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September 30, 2023 filed with the SEC on January 3, 2024;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2">
        <w:r>
          <w:rPr>
            <w:rFonts w:ascii="Times New Roman" w:cs="Times New Roman" w:eastAsia="Times New Roman" w:hAnsi="Times New Roman"/>
            <w:sz w:val="18"/>
            <w:szCs w:val="18"/>
            <w:u w:val="single" w:color="auto"/>
            <w:color w:val="0000EE"/>
          </w:rPr>
          <w:t>January 6, 2023</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January 24, 2023</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February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March 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7">
        <w:r>
          <w:rPr>
            <w:rFonts w:ascii="Times New Roman" w:cs="Times New Roman" w:eastAsia="Times New Roman" w:hAnsi="Times New Roman"/>
            <w:sz w:val="18"/>
            <w:szCs w:val="18"/>
            <w:u w:val="single" w:color="auto"/>
            <w:color w:val="0000EE"/>
          </w:rPr>
          <w:t>April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April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9">
        <w:r>
          <w:rPr>
            <w:rFonts w:ascii="Times New Roman" w:cs="Times New Roman" w:eastAsia="Times New Roman" w:hAnsi="Times New Roman"/>
            <w:sz w:val="18"/>
            <w:szCs w:val="18"/>
            <w:u w:val="single" w:color="auto"/>
            <w:color w:val="0000EE"/>
          </w:rPr>
          <w:t>April 27,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0">
        <w:r>
          <w:rPr>
            <w:rFonts w:ascii="Times New Roman" w:cs="Times New Roman" w:eastAsia="Times New Roman" w:hAnsi="Times New Roman"/>
            <w:sz w:val="18"/>
            <w:szCs w:val="18"/>
            <w:u w:val="single" w:color="auto"/>
            <w:color w:val="0000EE"/>
          </w:rPr>
          <w:t>May 23,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May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2">
        <w:r>
          <w:rPr>
            <w:rFonts w:ascii="Times New Roman" w:cs="Times New Roman" w:eastAsia="Times New Roman" w:hAnsi="Times New Roman"/>
            <w:sz w:val="18"/>
            <w:szCs w:val="18"/>
            <w:u w:val="single" w:color="auto"/>
            <w:color w:val="0000EE"/>
          </w:rPr>
          <w:t>July 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July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5">
        <w:r>
          <w:rPr>
            <w:rFonts w:ascii="Times New Roman" w:cs="Times New Roman" w:eastAsia="Times New Roman" w:hAnsi="Times New Roman"/>
            <w:sz w:val="18"/>
            <w:szCs w:val="18"/>
            <w:u w:val="single" w:color="auto"/>
            <w:color w:val="0000EE"/>
          </w:rPr>
          <w:t>August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October 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October 30,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November 8,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November 22,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November 30,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December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3">
        <w:r>
          <w:rPr>
            <w:rFonts w:ascii="Times New Roman" w:cs="Times New Roman" w:eastAsia="Times New Roman" w:hAnsi="Times New Roman"/>
            <w:sz w:val="18"/>
            <w:szCs w:val="18"/>
            <w:u w:val="single" w:color="auto"/>
            <w:color w:val="0000EE"/>
          </w:rPr>
          <w:t>January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 xml:space="preserve">January 25, 2024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except for information contained therein which is furnished rather than filed);</w:t>
      </w:r>
    </w:p>
    <w:p>
      <w:pPr>
        <w:spacing w:after="0" w:line="106" w:lineRule="exact"/>
        <w:rPr>
          <w:rFonts w:ascii="Times New Roman" w:cs="Times New Roman" w:eastAsia="Times New Roman" w:hAnsi="Times New Roman"/>
          <w:sz w:val="18"/>
          <w:szCs w:val="18"/>
          <w:color w:val="0000EE"/>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1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18, 2023;</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w:t>
        </w:r>
      </w:hyperlink>
      <w:hyperlink r:id="rId116">
        <w:r>
          <w:rPr>
            <w:rFonts w:ascii="Times New Roman" w:cs="Times New Roman" w:eastAsia="Times New Roman" w:hAnsi="Times New Roman"/>
            <w:sz w:val="18"/>
            <w:szCs w:val="18"/>
            <w:u w:val="single" w:color="auto"/>
            <w:color w:val="0000EE"/>
          </w:rPr>
          <w:t>A12B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January 26, 2021; and</w:t>
        </w:r>
      </w:hyperlink>
    </w:p>
    <w:p>
      <w:pPr>
        <w:spacing w:after="0" w:line="94" w:lineRule="exact"/>
        <w:rPr>
          <w:rFonts w:ascii="Times New Roman" w:cs="Times New Roman" w:eastAsia="Times New Roman" w:hAnsi="Times New Roman"/>
          <w:sz w:val="18"/>
          <w:szCs w:val="18"/>
          <w:color w:val="0000EE"/>
        </w:rPr>
      </w:pPr>
    </w:p>
    <w:p>
      <w:pPr>
        <w:jc w:val="both"/>
        <w:ind w:left="1320" w:right="459" w:hanging="434"/>
        <w:spacing w:after="0" w:line="258"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02" w:lineRule="exact"/>
        <w:rPr>
          <w:rFonts w:ascii="Times New Roman" w:cs="Times New Roman" w:eastAsia="Times New Roman" w:hAnsi="Times New Roman"/>
          <w:sz w:val="18"/>
          <w:szCs w:val="18"/>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12" w:lineRule="exact"/>
        <w:rPr>
          <w:rFonts w:ascii="Times New Roman" w:cs="Times New Roman" w:eastAsia="Times New Roman" w:hAnsi="Times New Roman"/>
          <w:sz w:val="18"/>
          <w:szCs w:val="18"/>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1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(855) 420-0020</w:t>
      </w:r>
    </w:p>
    <w:p>
      <w:pPr>
        <w:spacing w:after="0" w:line="1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9"/>
          <w:szCs w:val="29"/>
          <w:b w:val="1"/>
          <w:bCs w:val="1"/>
          <w:color w:val="auto"/>
        </w:rPr>
        <w:t>Shares of Common Stock and</w:t>
      </w:r>
    </w:p>
    <w:p>
      <w:pPr>
        <w:spacing w:after="0" w:line="42" w:lineRule="exact"/>
        <w:rPr>
          <w:sz w:val="20"/>
          <w:szCs w:val="20"/>
          <w:color w:val="auto"/>
        </w:rPr>
      </w:pPr>
    </w:p>
    <w:p>
      <w:pPr>
        <w:ind w:left="780"/>
        <w:spacing w:after="0"/>
        <w:tabs>
          <w:tab w:leader="none" w:pos="5860" w:val="left"/>
        </w:tabs>
        <w:rPr>
          <w:sz w:val="20"/>
          <w:szCs w:val="20"/>
          <w:color w:val="auto"/>
        </w:rPr>
      </w:pPr>
      <w:r>
        <w:rPr>
          <w:rFonts w:ascii="Times New Roman" w:cs="Times New Roman" w:eastAsia="Times New Roman" w:hAnsi="Times New Roman"/>
          <w:sz w:val="29"/>
          <w:szCs w:val="29"/>
          <w:b w:val="1"/>
          <w:bCs w:val="1"/>
          <w:color w:val="auto"/>
        </w:rPr>
        <w:t>Pre-Funded Warrants to Purchase</w:t>
      </w:r>
      <w:r>
        <w:rPr>
          <w:sz w:val="20"/>
          <w:szCs w:val="20"/>
          <w:color w:val="auto"/>
        </w:rPr>
        <w:tab/>
      </w:r>
      <w:r>
        <w:rPr>
          <w:rFonts w:ascii="Times New Roman" w:cs="Times New Roman" w:eastAsia="Times New Roman" w:hAnsi="Times New Roman"/>
          <w:sz w:val="28"/>
          <w:szCs w:val="28"/>
          <w:b w:val="1"/>
          <w:bCs w:val="1"/>
          <w:color w:val="auto"/>
        </w:rPr>
        <w:t>Shares of Common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1845945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568325</wp:posOffset>
            </wp:positionV>
            <wp:extent cx="840105" cy="702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8401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270510</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ALEXANDER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591185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976630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this offering, other than underwriting discounts and commissions. All amounts shown are estimates except for the SEC registration fee.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 be provided by amendment.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w:t>
      </w:r>
    </w:p>
    <w:p>
      <w:pPr>
        <w:jc w:val="both"/>
        <w:ind w:left="460" w:right="459" w:hanging="6"/>
        <w:spacing w:after="0" w:line="253" w:lineRule="auto"/>
        <w:tabs>
          <w:tab w:leader="none" w:pos="6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the shares of common stock and preferred stock and the warrants issued, and options granted, by us in the three years preceding the filing of this registration statement that were not registered under the Securities Act.</w:t>
      </w:r>
    </w:p>
    <w:p>
      <w:pPr>
        <w:spacing w:after="0" w:line="108" w:lineRule="exact"/>
        <w:rPr>
          <w:sz w:val="20"/>
          <w:szCs w:val="20"/>
          <w:color w:val="auto"/>
        </w:rPr>
      </w:pPr>
    </w:p>
    <w:p>
      <w:pPr>
        <w:jc w:val="both"/>
        <w:ind w:left="1320" w:right="459" w:hanging="434"/>
        <w:spacing w:after="0" w:line="266"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2021, we granted ten-year options to purchase an aggregate of 5,250 shares of common stock pursuant to ours 2020 Omnibus Equity Incentive Plan to executive officers and directors. The stock options provide for an exercise price per share of $2,768.</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issued stock options to purchase an aggregate of 40 shares of common stock to an employee in consideration of achieving certain milestones from the acquisition of Harbor Mountain Holdings, LLC.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issued an aggregate of 3,332 shares of its common stock to shareholders of Sinclair Scientific in connection with the acquisition of Precision Extraction Solutions and Cascade Sciences. In addition to the shares issued at the closing of the acquisition, we also held back an additional 588 shares of common stock due to shareholders of Sinclair Scientific, which were scheduled to be issued six (6) months after the close, subject to the satisfaction of certain covenants.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issued an aggregate of 1,202 shares of its common stock to the former shareholders of PurePressure in connection with the acquisition of PurePressure. Additionally, we held back 444 shares of common stock, representing 15% of the value of the closing consideration amount. The shares were held back for a period of twelve months for purposes of satisfying any post-closing adjustments.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25, 2022, we entered into a Securities Purchase Agreement with an institutional investor and other accredited investors for the sale by us of (i) 12,252 shares of common stock, (ii) pre-funded warrants to purchase up to an aggregate of 7,853 shares of common stock and (iii) common warrants to purchase up to an aggregate of 15,079 shares of common stock in a private placement offering. The combined purchase price for one share of common stock (or one pre-funded warrant) and accompanying fraction of a common warrant was $6.80. Subject to certain ownership limitations, the common warrants became exercisable six months from issuance. Each pre-funded warrant was exercisable into one share of common stock at a price per share of $0.001. Each common warrant is exercisable into one share of common stock at a price per share of $1,496 and will expire on the fifth anniversary of the initial exercise date. The gross proceeds to the Company from the private placement approximately $27.3 million, before deducting the placement agent’s fees and other offering expenses, and excluding the proceeds, if any, from the exercise of the warrants.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2022, we issued an aggregate of 1,490 shares of common stock to the former shareholders of LS Holdings Corp. (“Lab Society”) in connection with the acquisition of Lab Society. Additionally, as per the purchase agreement, we held back 638 shares of common stock for a period of twelve months for purposes of satisfying any post-closing adjustments.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2022, we entered into a Securities Purchase Agreement with the Former Lender, pursuant to which we sold to the Former Lender, in exchange for the payment by the Former Lender of $65,000,000, less applicable expenses, (i) a senior secured promissory note in an aggregate principal amount of $65,000,000 (the “Original Note”), and (ii) a warrant (the “Original Warrant”) to purchase up to an aggregate of 34,406 shares of common stock. Each warrant had an exercise price of $1,350 per share, subject to adjustment for stock splits, reverse stock splits, stock dividends and similar transactions, was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 shall also be exercisable on a cashless exercise basis at the holder’s election.</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2022, we issued 435 shares of Common Stock to the Sinclair Scientific in connection with the finalization of the net working capital settlement from the acquisition of Precision Extraction Solutions and Cascade Sciences.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2022, we entered into a Securities Exchange Agreement with the Former Lender, pursuant to which we partially prepaid $35.2 million under the Original Note and exchanged the remaining balance of the Original Note for (i) a new senior secured note (the “Exchange Note”) with an aggregate original principal amount of $35.0 million and (ii) a new warrant to purchase 71,138 shares of common stock (the “</w:t>
      </w:r>
      <w:r>
        <w:rPr>
          <w:rFonts w:ascii="Times New Roman" w:cs="Times New Roman" w:eastAsia="Times New Roman" w:hAnsi="Times New Roman"/>
          <w:sz w:val="18"/>
          <w:szCs w:val="18"/>
          <w:u w:val="single" w:color="auto"/>
          <w:color w:val="auto"/>
        </w:rPr>
        <w:t>Note Exchange Warrant</w:t>
      </w:r>
      <w:r>
        <w:rPr>
          <w:rFonts w:ascii="Times New Roman" w:cs="Times New Roman" w:eastAsia="Times New Roman" w:hAnsi="Times New Roman"/>
          <w:sz w:val="18"/>
          <w:szCs w:val="18"/>
          <w:color w:val="auto"/>
        </w:rPr>
        <w:t>”). Additionally, we exchanged the Original Warrant for a new warrant for the same number of underlying shares but with a reduced exercise price (the “Warrant Exchange Warrant”). The Warrant Exchange Warrant has an exercise price of $430 per share, subject to adjustment for stock splits, reverse stock splits, stock dividends and similar transactions, will be exercisable on and after the six-month anniversary of issuance, has a term of five and one-half years from the date of issuance and is exercisable on a cash basis, unless there is not an effective registration statement covering the resale of the shares issuable upon exercise of the Warrant Exchange Warrant, in which case the Warrant Exchange Warrant will also be exercisable on a cashless exercise basis at the holder’s election. The Note Exchange Warrant has an exercise price of $246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warrant, in which case the Note Exchange Warrant will also be exercisable on a cashless exercise basis at the holder’s election.</w:t>
      </w:r>
    </w:p>
    <w:p>
      <w:pPr>
        <w:spacing w:after="0" w:line="123"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(the “Convertible Note”) with an original principal amount of $10.0 million. At issuance, the conversion price under the Convertible Note was $7.64.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4" w:lineRule="auto"/>
        <w:tabs>
          <w:tab w:leader="none" w:pos="1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2023, we entered into a letter agreement with the Former Lender, pursuant to which we agreed to exchange $2.0 million of the remaining outstanding principal amount under the Exchange Note for 445,196 shares (the “Exchange Shares”) of common stock. To the extent that receipt of Exchange Shares would cause the Former Lender to beneficially own in excess of 4.99% of common stock immediately after such exchange, we will only issue that number of Exchange Shares that would not cause the Former Lender to exceed the beneficial ownership limitation, with the balance to be held in abeyance until such balance (or a portion thereof) may be issued in compliance with the beneficial ownership limitation.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12, 2023, we issued a promissory note with an original principal amount of $500,000 in favor of GIC Acquisition, LLC, an entity that is owned and managed by Raymond Chang, our Chairman and Chief Executive Officer.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issued a junior secured promissory note to CP Acquisitions, LLC, an entity that is owned and managed by Raymond Chang, our Chairman and Chief Executive Officer, and I-Tseng Jenny Chan, a member of our Board of Directors. Pursuant to the note, CP Acquisitions will lend up to $3,000,000.</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and with an effective date as of October 18, 2023, we entered into a Modification and Settlement Agreement with Mack Molding Company. As part of the Modification Agreement, we issued to Mack a warrant to purchase 750,000 shares of the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the holder’s election.</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entered into a letter agreement with the Former Lender, pursuant to which we agreed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as Exchange Shares under the April 26, 2023 letter agreement for a warrant to purchase 375,629 shares of common stock (the “Abeyance Warrant”). Each warrant has an exercise price of $0.001 per share, was exercisable upon issuance, has a term of five years from the date of issuance and is exercisable on a cash basis or on a cashless exercise basis at the holder’s election.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this Item 15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ind w:left="880" w:hanging="426"/>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immediately before the Signature Pages.</w:t>
      </w:r>
    </w:p>
    <w:p>
      <w:pPr>
        <w:spacing w:after="0" w:line="157" w:lineRule="exact"/>
        <w:rPr>
          <w:rFonts w:ascii="Times New Roman" w:cs="Times New Roman" w:eastAsia="Times New Roman" w:hAnsi="Times New Roman"/>
          <w:sz w:val="18"/>
          <w:szCs w:val="18"/>
          <w:color w:val="auto"/>
        </w:rPr>
      </w:pPr>
    </w:p>
    <w:p>
      <w:pPr>
        <w:ind w:left="840" w:hanging="386"/>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either inapplicable or the required information has been given in the financial statements or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880" w:right="459" w:hanging="426"/>
        <w:spacing w:after="0" w:line="255" w:lineRule="auto"/>
        <w:tabs>
          <w:tab w:leader="none" w:pos="8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ind w:left="840" w:hanging="386"/>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3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6"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2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(§230.424 of this chapter);</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3"/>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11"/>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7"/>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 between the Registrant and Alexander Capital, L.P.</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7140" w:type="dxa"/>
            <w:vAlign w:val="bottom"/>
            <w:gridSpan w:val="17"/>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Plan of Merger and Equity Purchase Agreement, dated as of September 29, 2021, among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Registrant, Sinclair Scientific, LLC, Mass2Media, LLC dba PX2 Holdings, LLC, and each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equity holders of Sinclair Scientific, LLC named therein (incorporated by reference to Exhibit 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Commission on October 5,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7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to Plan of Merger and Equity Purchase Agreement, dated as of October 1,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between the Registrant and Sinclair Scientific, LLC (incorporated by reference to Exhibit 2.2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the Registrant’s Current Report on Form 8-K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on October 4,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7140" w:type="dxa"/>
            <w:vAlign w:val="bottom"/>
            <w:gridSpan w:val="17"/>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Membership Interest Purchase Agreement, dated as of December 31, 2021, among the Registrant,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PurePressure, LLC, Benjamin Britton as Member Representative, and each of the equity holders of</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PurePressure, LLC named therein (incorporated by reference to Exhibit 2.1 to the Registrant’s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Current Report on Form 8-K filed with the Securities and Exchange Commission on January 5,</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2022)</w:t>
              </w:r>
            </w:hyperlink>
          </w:p>
        </w:tc>
        <w:tc>
          <w:tcPr>
            <w:tcW w:w="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Merger Agreement, dated as of February 1, 2022, among the Registrant, LS Holdings Corp., Lab</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Society NewCo, LLC, Michael S. Maibach Jr. as Owner Representative, and each of the Owners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named therein (incorporated by reference to Exhibit 2.1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8-K filed with the Securities and Exchange Commission on February 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Articles of Incorporation of the Registrant, as amended (incorporated by reference to Exhibit 3.1</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to the Registrant’s Amendment No. 1 to Registration Statement on Form S-1 filed with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Securities and Exchange Commission on January 13,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Third Amended and Restated Certificate of Designations of the Series A Convertible Preferred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Stock of the Registrant (incorporated by reference to Exhibit 3.2 to the Registrant’s Amendment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No. 1 to Registration Statement on Form S-1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on January 13,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Bylaws of the Registrant (incorporated by reference to Exhibit 3.3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Registrant’s Amendment No. 2 to Registration Statement on Form S-1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and Exchange Commission on January 26,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Certificate of Amendment to the Articles of Incorporation of the Registrant, filed July 11, 2022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with the Securities and Exchange Commission on July 14,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Amendment to the Articles of Incorporation of the Registrant, filed October 17,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2022 (incorporated by reference to Exhibit 3.1 to the Registrant’s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filed with the Securities and Exchange Commission on October 17,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Amendment to the Articles of Incorporation of the Registrant, filed March 1, 2023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with the Securities and Exchange Commission on March 3,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5"/>
                <w:szCs w:val="15"/>
                <w:color w:val="auto"/>
              </w:rPr>
            </w:pPr>
          </w:p>
        </w:tc>
        <w:tc>
          <w:tcPr>
            <w:tcW w:w="7140" w:type="dxa"/>
            <w:vAlign w:val="bottom"/>
            <w:gridSpan w:val="17"/>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Change to Articles of Incorporation of Agrify Corporation, filed June 30, 2023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with the Securities and Exchange Commission on July 3,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5"/>
                <w:szCs w:val="15"/>
                <w:color w:val="auto"/>
              </w:rPr>
            </w:pPr>
          </w:p>
        </w:tc>
        <w:tc>
          <w:tcPr>
            <w:tcW w:w="7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Certificate of Amendment to the Articles of Incorporation of the Registrant, filed January 22, 2024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Common Stock Certificate (incorporated by reference to Exhibit 4.1 to the Registrant’s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2 to Registration Statement on Form S-1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7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Representative’s Warrant dated February 19, 2021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Commission on February 11,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Representative’s Warrant dated January 27, 2021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Amendment No. 2 to Registration Statement on Form S-1 filed with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Warrant issued to Noteholders (incorporated by reference to Exhibit 4.3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Registrant’s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Commission on December 22,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EE"/>
              <w:right w:val="single" w:sz="8" w:color="CCEEFF"/>
            </w:tcBorders>
            <w:gridSpan w:val="14"/>
            <w:shd w:val="clear" w:color="auto" w:fill="CCEEFF"/>
          </w:tcPr>
          <w:p>
            <w:pPr>
              <w:spacing w:after="0" w:line="169"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Description of Registrant’s Securities (incorporated by reference to Exhibit 4.5 to the Registrant’s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Annual Report on Form 10-K filed with the Securities and Exchange Commission on April 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2021)</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Common Stock Purchase Warrant dated January 28, 2022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Exhibit 4.2 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Commission on January 26,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5"/>
                <w:szCs w:val="15"/>
                <w:color w:val="auto"/>
              </w:rPr>
            </w:pPr>
          </w:p>
        </w:tc>
        <w:tc>
          <w:tcPr>
            <w:tcW w:w="714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Senior Secured Note (incorporated by reference to Exhibit 4.1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40" w:type="dxa"/>
            <w:vAlign w:val="bottom"/>
            <w:tcBorders>
              <w:top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Report on Form 8-K filed with the Securities and Exchange Commission on August 19,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Warrant Exchange Warrant (incorporated by reference to Exhibit 4.2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Current Report on Form 8-K filed with the Securities and Exchange Commission on August 19,</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2022).</w:t>
              </w:r>
            </w:hyperlink>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Note Exchange Warrant (incorporated by reference to Exhibit 4.3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Current Report on Form 8-K filed with the Securities and Exchange Commission on August 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2022).</w:t>
              </w:r>
            </w:hyperlink>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12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5"/>
                <w:szCs w:val="15"/>
                <w:color w:val="auto"/>
              </w:rPr>
            </w:pPr>
          </w:p>
        </w:tc>
        <w:tc>
          <w:tcPr>
            <w:tcW w:w="7140" w:type="dxa"/>
            <w:vAlign w:val="bottom"/>
            <w:gridSpan w:val="14"/>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Pre-Funded Warrant (incorporated by reference to Exhibit 4.1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Report on Form 8-K filed with the 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Common Warrant (incorporated by reference to Exhibit 4.2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Report on Form 8-K filed with the 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Senior Secured Convertible Note (incorporated by reference to Exhibit 4.1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March 9,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Amendment to Senior Secured Note (incorporated by reference to Exhibit 4.2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Current Report on Form 8-K filed with the Securities and Exchange Commission on March 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2023)</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Exchange Warrant, dated October 27, 2023 (incorporated by reference to Exhibit 4.1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October 30,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Common Stock Purchase Warrant, dated October 27, 2023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 Junior Secured Promissory Note (incorporated by reference to Exhibit 4.4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Commission on October 30,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5"/>
                <w:szCs w:val="15"/>
                <w:color w:val="auto"/>
              </w:rPr>
            </w:pPr>
          </w:p>
        </w:tc>
        <w:tc>
          <w:tcPr>
            <w:tcW w:w="714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Junior Secured Promissory Note (incorporated by reference to Exhibit 4.5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tcBorders>
              <w:right w:val="single" w:sz="8" w:color="CCEEFF"/>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Current Report on Form 8-K filed with the Securities and Exchange Commission on October 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2023)</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Amendment to Junior Secured Promissory Note, dated December 4, 2023, between Agrify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Corporation and CP Acquisitions, LLC (incorporated by reference to Exhibit 4.1 to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December 6,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Senior  Secured  Amended,  Restated  and  Consolidated  Convertible  Promissory  Note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January 25, 2024 (incorporated by reference to Exhibit 4.1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8-K filed 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Second Amended and Restated Junior Secured Promissory Note dated January 25, 2024</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(incorporated by reference to Exhibit 4.2 to the Registrant’s Current Report on Form 8-K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7140" w:type="dxa"/>
            <w:vAlign w:val="bottom"/>
            <w:tcBorders>
              <w:bottom w:val="single" w:sz="8" w:color="CCEEFF"/>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Sherman &amp; Howard, L.L.C.</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Operating Agreement of Agrify-Valiant, LLC dated December 8, 2019 (incorporated by reference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to Exhibit 10.1 to the Registrant’s Registration Statement on Form S-1 filed with the Securities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14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Distribution Agreement dated June 7, 2019 between the Registrant and Bluezone Products,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80" w:type="dxa"/>
            <w:vAlign w:val="bottom"/>
            <w:gridSpan w:val="10"/>
            <w:shd w:val="clear" w:color="auto" w:fill="0000EE"/>
          </w:tcPr>
          <w:p>
            <w:pPr>
              <w:spacing w:after="0" w:line="20" w:lineRule="exact"/>
              <w:rPr>
                <w:sz w:val="1"/>
                <w:szCs w:val="1"/>
                <w:color w:val="auto"/>
              </w:rPr>
            </w:pPr>
          </w:p>
        </w:tc>
        <w:tc>
          <w:tcPr>
            <w:tcW w:w="1660" w:type="dxa"/>
            <w:vAlign w:val="bottom"/>
            <w:tcBorders>
              <w:right w:val="single" w:sz="8" w:color="CCEEFF"/>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(incorporated by reference to Exhibit 10.2 to the Registrant’s Registration Statement on Form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460"/>
        <w:spacing w:after="0"/>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64">
        <w:r>
          <w:rPr>
            <w:rFonts w:ascii="Times New Roman" w:cs="Times New Roman" w:eastAsia="Times New Roman" w:hAnsi="Times New Roman"/>
            <w:sz w:val="18"/>
            <w:szCs w:val="18"/>
            <w:u w:val="single" w:color="auto"/>
            <w:color w:val="0000EE"/>
          </w:rPr>
          <w:t>Distribution Agreement dated March 9, 2020 between the Registrant and Enozo Technologies Inc.</w:t>
        </w:r>
      </w:hyperlink>
    </w:p>
    <w:p>
      <w:pPr>
        <w:spacing w:after="0" w:line="9" w:lineRule="exact"/>
        <w:rPr>
          <w:sz w:val="20"/>
          <w:szCs w:val="20"/>
          <w:color w:val="auto"/>
        </w:rPr>
      </w:pPr>
    </w:p>
    <w:p>
      <w:pPr>
        <w:ind w:left="1580" w:hanging="154"/>
        <w:spacing w:after="0"/>
        <w:tabs>
          <w:tab w:leader="none" w:pos="1580" w:val="left"/>
        </w:tabs>
        <w:numPr>
          <w:ilvl w:val="0"/>
          <w:numId w:val="46"/>
        </w:numPr>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(incorporated by reference to Exhibit 10.3 to the Registrant’s Registration Statement on Form S-</w:t>
        </w:r>
      </w:hyperlink>
    </w:p>
    <w:p>
      <w:pPr>
        <w:spacing w:after="0" w:line="9" w:lineRule="exact"/>
        <w:rPr>
          <w:rFonts w:ascii="Times New Roman" w:cs="Times New Roman" w:eastAsia="Times New Roman" w:hAnsi="Times New Roman"/>
          <w:sz w:val="18"/>
          <w:szCs w:val="18"/>
          <w:u w:val="single" w:color="auto"/>
          <w:color w:val="0000EE"/>
        </w:rPr>
      </w:pPr>
    </w:p>
    <w:p>
      <w:pPr>
        <w:ind w:left="1420"/>
        <w:spacing w:after="0"/>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1 filed with the Securities and Exchange Commission on December 22, 2020)</w:t>
        </w:r>
      </w:hyperlink>
    </w:p>
    <w:p>
      <w:pPr>
        <w:spacing w:after="0" w:line="31" w:lineRule="exact"/>
        <w:rPr>
          <w:rFonts w:ascii="Times New Roman" w:cs="Times New Roman" w:eastAsia="Times New Roman" w:hAnsi="Times New Roman"/>
          <w:sz w:val="18"/>
          <w:szCs w:val="18"/>
          <w:u w:val="single" w:color="auto"/>
          <w:color w:val="0000EE"/>
        </w:rPr>
      </w:pPr>
    </w:p>
    <w:p>
      <w:pPr>
        <w:jc w:val="both"/>
        <w:ind w:left="1420" w:right="479" w:hanging="971"/>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65">
        <w:r>
          <w:rPr>
            <w:rFonts w:ascii="Times New Roman" w:cs="Times New Roman" w:eastAsia="Times New Roman" w:hAnsi="Times New Roman"/>
            <w:sz w:val="18"/>
            <w:szCs w:val="18"/>
            <w:u w:val="single" w:color="auto"/>
            <w:color w:val="0000EE"/>
          </w:rPr>
          <w:t>Purchase Agreement dated as of July 28, 2020 between the Registrant and 4D Bios Inc.±</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(incorporated by reference to Exhibit 10.4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filed with the Securities and Exchange Commission on December 22,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6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420" w:right="459" w:hanging="971"/>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67">
        <w:r>
          <w:rPr>
            <w:rFonts w:ascii="Times New Roman" w:cs="Times New Roman" w:eastAsia="Times New Roman" w:hAnsi="Times New Roman"/>
            <w:sz w:val="18"/>
            <w:szCs w:val="18"/>
            <w:u w:val="single" w:color="auto"/>
            <w:color w:val="0000EE"/>
          </w:rPr>
          <w:t>Employment Agreement dated as of January 4, 2021 between the Registrant and Raymond Chang</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(incorporated by reference to Exhibit 10.5 to the Registrant’s Annual Report on Form 10-K filed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with the Securities and Exchange Commission on April 2, 2021)</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gridSpan w:val="15"/>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EE"/>
              <w:right w:val="single" w:sz="8" w:color="CCEEFF"/>
            </w:tcBorders>
            <w:gridSpan w:val="18"/>
            <w:shd w:val="clear" w:color="auto" w:fill="CCEEFF"/>
          </w:tcPr>
          <w:p>
            <w:pPr>
              <w:spacing w:after="0" w:line="169"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2020 Omnibus Equity Incentive Plan (incorporated by reference to Exhibit 10.13 to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Registrant’s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Intellectual Property Assignment and Transfer Agreement by and among the Registrant, Agrify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Brands, LLC and The Holden Company effective as of January 1, 2020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to Exhibit 10.16 to the Registrant’s Registration Statement on Form S-1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and Exchange Commission on December 22, 2020)</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Supply Agreement by and among the Registrant and Mack Molding Co. dated December 7, 2020±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by reference to Exhibit 10.15 to the Registrant’s Amendment No. 1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Statement on Form S-1 filed with the Securities and Exchange Commission on January 13,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Amended and Restated Operating Agreement of Agrify Brands, LLC effective as of August 12,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2020 (incorporated by reference to Exhibit 10.18 to the Registrant’s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S-1 filed with the Securities and Exchange Commission on December 22, 2020)</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Indemnification Agreement with directors and executive officers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reference to Exhibit 10.18 to the Registrant’s Registration Statement on Form S-1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Securities and Exchange Commission on February 11,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Employment Agreement, dated as of November 10, 2021, between the Registrant and Timothy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Oakes† (incorporated by reference to Exhibit 10.2 to the Registrant’s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filed with the Securities and Exchange Commission on November 15,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Securities Purchase Agreement, dated as of January 25, 2022, between the Registrant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the Purchasers party thereto (incorporated by reference to Exhibit 10.1 to the Registrant’s Current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Securities Purchase Agreement, dated as of March 14, 2022, between the Registrant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High Trail Special Situations LLC (incorporated by reference to Exhibit 10.1 to the Registrant’s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Current Report on Form 8-K filed with the Securities and Exchange Commission on March 18,</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2022)</w:t>
              </w:r>
            </w:hyperlink>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Agrify Corporation 2022 Omnibus Equity Incentive Plan (incorporated by reference to Appendix</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 to the Registrant’s Definitive Proxy Statement on Schedule 14A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Exchange Commission on April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Agrify Corporation 2022 Employee Stock Purchase Plan (incorporated by reference to Appendix</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 to the Registrant’s Definitive Proxy Statement on Schedule 14A filed with the Securities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Exchange Commission on April 29,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Separation Agreement of Thomas Massie, dated as of July 8, 2022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Exhibit 10.2 to the Registrant’s Current Report on Form 8-K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Exchange Commission on July 14,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Employment  Agreement,  dated  as  of  July  14,  2022,  between  the  Registrant  and  Stuart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Wilcox (incorporated by reference to Exhibit 10.1 to the Registrant’s Current Report on Form 8-K</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filed with the Securities and Exchange Commission on July 14,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Exchange Agreement, dated as of August 18, 2022, between the Registrant and High Trail Special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Situations LLC (incorporated by reference to Exhibit 10.1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40" w:type="dxa"/>
            <w:vAlign w:val="bottom"/>
            <w:tcBorders>
              <w:top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8-K filed with the Securities and Exchange Commission on August 19,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Equity Distribution Agreement, dated as of October 18, 2022, between the Registrant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Canaccord Genuity LLC (incorporated by reference to Exhibit 1.1 to the Registrant’s Current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Report on Form 8-K filed with the Securities and Exchange Commission on October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9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Employment Agreement, dated as of July 25, 2022, between the Registrant and Timothy Hayden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(incorporated by reference to Exhibit 10.1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with the Securities and Exchange Commission on January 24,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Exchange Agreement, dated as of March 8, 2023, between the Registrant and High Trail Special</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Situations LLC (incorporated by reference to Exhibit 10.1 to the Registrant’s Current Report on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8-K filed with the 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Company and Investor Acknowledgment, dated as of October 27, 2023, between the Registrant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and CP acquisitions LLC (incorporated by reference to Exhibit 10.1 to the Registrant’s Current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Report on Form 8-K filed with the Securities and Exchange 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Letter Agreement, dated as of October 27, 2023, between the Registrant and High Trail Special</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Situations LLC (incorporated by reference to Exhibit 10.2 to the Registrant’s Current Report on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10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8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69"/>
        </w:trPr>
        <w:tc>
          <w:tcPr>
            <w:tcW w:w="8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4"/>
                <w:szCs w:val="14"/>
                <w:color w:val="auto"/>
              </w:rPr>
            </w:pPr>
          </w:p>
        </w:tc>
        <w:tc>
          <w:tcPr>
            <w:tcW w:w="7140" w:type="dxa"/>
            <w:vAlign w:val="bottom"/>
            <w:tcBorders>
              <w:right w:val="single" w:sz="8" w:color="CCEEFF"/>
            </w:tcBorders>
            <w:gridSpan w:val="6"/>
            <w:shd w:val="clear" w:color="auto" w:fill="CCEEFF"/>
          </w:tcPr>
          <w:p>
            <w:pPr>
              <w:spacing w:after="0" w:line="169"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Modification Agreement, effective as of October 18, 2023, between the Registrant and Mack</w:t>
              </w:r>
            </w:hyperlink>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tcBorders>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Molding Company (incorporated by reference to Exhibit 10.3 to the Registrant’s Current Report</w:t>
              </w:r>
            </w:hyperlink>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40" w:type="dxa"/>
            <w:vAlign w:val="bottom"/>
            <w:tcBorders>
              <w:top w:val="single" w:sz="8" w:color="0000EE"/>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on Form 8-K filed with the Securities and Exchange Commission on October 30, 2023)</w:t>
              </w:r>
            </w:hyperlink>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3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714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Subsidiaries of the Registrant (previously filed as an exhibit to the Registrant’s Annual Report on</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6"/>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10-K filed on November 28, 2023 and incorporated by reference thereto).</w:t>
              </w:r>
            </w:hyperlink>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5"/>
                <w:szCs w:val="15"/>
                <w:color w:val="auto"/>
              </w:rPr>
            </w:pPr>
          </w:p>
        </w:tc>
        <w:tc>
          <w:tcPr>
            <w:tcW w:w="7140" w:type="dxa"/>
            <w:vAlign w:val="bottom"/>
            <w:tcBorders>
              <w:right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23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right w:val="single" w:sz="8" w:color="CCEEFF"/>
            </w:tcBorders>
            <w:shd w:val="clear" w:color="auto" w:fill="CCEEFF"/>
          </w:tcPr>
          <w:p>
            <w:pPr>
              <w:spacing w:after="0"/>
              <w:rPr>
                <w:sz w:val="7"/>
                <w:szCs w:val="7"/>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Consent of Sherman &amp; Howard, L.L.C. (included in Exhibit 5.1).</w:t>
            </w:r>
          </w:p>
        </w:tc>
      </w:tr>
      <w:tr>
        <w:trPr>
          <w:trHeight w:val="49"/>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5"/>
                <w:szCs w:val="15"/>
                <w:color w:val="auto"/>
              </w:rPr>
            </w:pPr>
          </w:p>
        </w:tc>
        <w:tc>
          <w:tcPr>
            <w:tcW w:w="7140" w:type="dxa"/>
            <w:vAlign w:val="bottom"/>
            <w:tcBorders>
              <w:right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(see signature page hereto).</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100" w:type="dxa"/>
            <w:vAlign w:val="bottom"/>
            <w:tcBorders>
              <w:top w:val="single" w:sz="8" w:color="0000EE"/>
            </w:tcBorders>
            <w:shd w:val="clear" w:color="auto" w:fill="CCEEFF"/>
          </w:tcPr>
          <w:p>
            <w:pPr>
              <w:spacing w:after="0"/>
              <w:rPr>
                <w:sz w:val="7"/>
                <w:szCs w:val="7"/>
                <w:color w:val="auto"/>
              </w:rPr>
            </w:pPr>
          </w:p>
        </w:tc>
        <w:tc>
          <w:tcPr>
            <w:tcW w:w="23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right w:val="single" w:sz="8" w:color="CCEEFF"/>
            </w:tcBorders>
            <w:shd w:val="clear" w:color="auto" w:fill="CCEEFF"/>
          </w:tcPr>
          <w:p>
            <w:pPr>
              <w:spacing w:after="0"/>
              <w:rPr>
                <w:sz w:val="7"/>
                <w:szCs w:val="7"/>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22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Calculation of Registration Fee</w:t>
            </w:r>
          </w:p>
        </w:tc>
        <w:tc>
          <w:tcPr>
            <w:tcW w:w="4880" w:type="dxa"/>
            <w:vAlign w:val="bottom"/>
            <w:gridSpan w:val="4"/>
          </w:tcPr>
          <w:p>
            <w:pPr>
              <w:spacing w:after="0"/>
              <w:rPr>
                <w:sz w:val="15"/>
                <w:szCs w:val="15"/>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from this exhibit in reliance upon Item 601(a)(5) of Regulation S-K.</w:t>
      </w:r>
    </w:p>
    <w:p>
      <w:pPr>
        <w:spacing w:after="0" w:line="26" w:lineRule="exact"/>
        <w:rPr>
          <w:rFonts w:ascii="Times New Roman" w:cs="Times New Roman" w:eastAsia="Times New Roman" w:hAnsi="Times New Roman"/>
          <w:sz w:val="16"/>
          <w:szCs w:val="16"/>
          <w:color w:val="auto"/>
        </w:rPr>
      </w:pPr>
    </w:p>
    <w:p>
      <w:pPr>
        <w:ind w:left="460" w:right="361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compensatory plan, or arrangement. * Filed herewith.</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To be filed by amendment.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Troy, State of Michigan, on this 26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January, 2024.</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/s/ Raymond Nobu Chang</w:t>
      </w:r>
    </w:p>
    <w:p>
      <w:pPr>
        <w:spacing w:after="0" w:line="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16719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1">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Chairman and Chief Executive</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Raymond Nobu Chang and Josh Savitz, and each of them singly (with full power to each of them to act alone),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spacing w:after="0" w:line="12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4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Raymond Nobu Chang</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 and principal</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Raymond Nobu Chang</w:t>
            </w:r>
          </w:p>
        </w:tc>
        <w:tc>
          <w:tcPr>
            <w:tcW w:w="100" w:type="dxa"/>
            <w:vAlign w:val="bottom"/>
            <w:vMerge w:val="continue"/>
          </w:tcPr>
          <w:p>
            <w:pPr>
              <w:spacing w:after="0"/>
              <w:rPr>
                <w:sz w:val="15"/>
                <w:szCs w:val="15"/>
                <w:color w:val="auto"/>
              </w:rPr>
            </w:pPr>
          </w:p>
        </w:tc>
        <w:tc>
          <w:tcPr>
            <w:tcW w:w="364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I-Tseng Jenny Chan</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Leonard Sokolow</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Leonard Sokolow</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0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II-10</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Agrify Corporation and Subsidiaries on Form S-1 of our report dated November 27, 2023, which includes an explanatory paragraph as to Agrify Corporation and Subsidiaries ability to continue as a going concern, with respect to our audits of the consolidated financial statements of Agrify Corporation and Subsidiaries as of December 31, 2022 and 2021 and for the two years in the period ended December 31, 2022,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2024</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or Carry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03"/>
        </w:trPr>
        <w:tc>
          <w:tcPr>
            <w:tcW w:w="1100" w:type="dxa"/>
            <w:vAlign w:val="bottom"/>
          </w:tcPr>
          <w:p>
            <w:pPr>
              <w:spacing w:after="0"/>
              <w:rPr>
                <w:sz w:val="17"/>
                <w:szCs w:val="17"/>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2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0" w:type="dxa"/>
            <w:vAlign w:val="bottom"/>
          </w:tcPr>
          <w:p>
            <w:pPr>
              <w:spacing w:after="0"/>
              <w:rPr>
                <w:sz w:val="17"/>
                <w:szCs w:val="17"/>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Fee</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Registration</w:t>
            </w:r>
          </w:p>
        </w:tc>
      </w:tr>
      <w:tr>
        <w:trPr>
          <w:trHeight w:val="257"/>
        </w:trPr>
        <w:tc>
          <w:tcPr>
            <w:tcW w:w="1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Type</w:t>
            </w:r>
          </w:p>
        </w:tc>
        <w:tc>
          <w:tcPr>
            <w:tcW w:w="6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60" w:type="dxa"/>
            <w:vAlign w:val="bottom"/>
          </w:tcPr>
          <w:p>
            <w:pPr>
              <w:spacing w:after="0"/>
              <w:rPr>
                <w:sz w:val="22"/>
                <w:szCs w:val="22"/>
                <w:color w:val="auto"/>
              </w:rPr>
            </w:pPr>
          </w:p>
        </w:tc>
        <w:tc>
          <w:tcPr>
            <w:tcW w:w="12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6"/>
                <w:szCs w:val="16"/>
                <w:b w:val="1"/>
                <w:bCs w:val="1"/>
                <w:color w:val="auto"/>
                <w:w w:val="90"/>
              </w:rPr>
              <w:t xml:space="preserve">Registered </w:t>
            </w:r>
            <w:r>
              <w:rPr>
                <w:rFonts w:ascii="Times New Roman" w:cs="Times New Roman" w:eastAsia="Times New Roman" w:hAnsi="Times New Roman"/>
                <w:sz w:val="26"/>
                <w:szCs w:val="26"/>
                <w:b w:val="1"/>
                <w:bCs w:val="1"/>
                <w:color w:val="auto"/>
                <w:w w:val="90"/>
                <w:vertAlign w:val="superscript"/>
              </w:rPr>
              <w:t>(1) (2)</w:t>
            </w:r>
          </w:p>
        </w:tc>
        <w:tc>
          <w:tcPr>
            <w:tcW w:w="84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6"/>
                <w:szCs w:val="26"/>
                <w:b w:val="1"/>
                <w:bCs w:val="1"/>
                <w:color w:val="auto"/>
                <w:w w:val="91"/>
                <w:vertAlign w:val="superscript"/>
              </w:rPr>
              <w:t>(3)</w:t>
            </w:r>
          </w:p>
        </w:tc>
        <w:tc>
          <w:tcPr>
            <w:tcW w:w="120" w:type="dxa"/>
            <w:vAlign w:val="bottom"/>
          </w:tcPr>
          <w:p>
            <w:pPr>
              <w:spacing w:after="0"/>
              <w:rPr>
                <w:sz w:val="22"/>
                <w:szCs w:val="22"/>
                <w:color w:val="auto"/>
              </w:rPr>
            </w:pPr>
          </w:p>
        </w:tc>
        <w:tc>
          <w:tcPr>
            <w:tcW w:w="86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29"/>
                <w:szCs w:val="29"/>
                <w:b w:val="1"/>
                <w:bCs w:val="1"/>
                <w:color w:val="auto"/>
                <w:w w:val="92"/>
                <w:vertAlign w:val="subscript"/>
              </w:rPr>
              <w:t>Price</w:t>
            </w:r>
            <w:r>
              <w:rPr>
                <w:rFonts w:ascii="Times New Roman" w:cs="Times New Roman" w:eastAsia="Times New Roman" w:hAnsi="Times New Roman"/>
                <w:sz w:val="13"/>
                <w:szCs w:val="13"/>
                <w:b w:val="1"/>
                <w:bCs w:val="1"/>
                <w:color w:val="auto"/>
                <w:w w:val="92"/>
              </w:rPr>
              <w:t xml:space="preserve"> (1) (2)</w:t>
            </w:r>
          </w:p>
        </w:tc>
        <w:tc>
          <w:tcPr>
            <w:tcW w:w="100" w:type="dxa"/>
            <w:vAlign w:val="bottom"/>
          </w:tcPr>
          <w:p>
            <w:pPr>
              <w:spacing w:after="0"/>
              <w:rPr>
                <w:sz w:val="22"/>
                <w:szCs w:val="22"/>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22"/>
                <w:szCs w:val="22"/>
                <w:color w:val="auto"/>
              </w:rPr>
            </w:pPr>
          </w:p>
        </w:tc>
        <w:tc>
          <w:tcPr>
            <w:tcW w:w="780" w:type="dxa"/>
            <w:vAlign w:val="bottom"/>
            <w:gridSpan w:val="3"/>
          </w:tcPr>
          <w:p>
            <w:pPr>
              <w:jc w:val="center"/>
              <w:ind w:right="220"/>
              <w:spacing w:after="0" w:line="256" w:lineRule="exact"/>
              <w:rPr>
                <w:sz w:val="20"/>
                <w:szCs w:val="20"/>
                <w:color w:val="auto"/>
              </w:rPr>
            </w:pPr>
            <w:r>
              <w:rPr>
                <w:rFonts w:ascii="Times New Roman" w:cs="Times New Roman" w:eastAsia="Times New Roman" w:hAnsi="Times New Roman"/>
                <w:sz w:val="16"/>
                <w:szCs w:val="16"/>
                <w:b w:val="1"/>
                <w:bCs w:val="1"/>
                <w:color w:val="auto"/>
                <w:w w:val="90"/>
              </w:rPr>
              <w:t>Fee</w:t>
            </w:r>
            <w:r>
              <w:rPr>
                <w:rFonts w:ascii="Times New Roman" w:cs="Times New Roman" w:eastAsia="Times New Roman" w:hAnsi="Times New Roman"/>
                <w:sz w:val="26"/>
                <w:szCs w:val="26"/>
                <w:b w:val="1"/>
                <w:bCs w:val="1"/>
                <w:color w:val="auto"/>
                <w:w w:val="90"/>
                <w:vertAlign w:val="superscript"/>
              </w:rPr>
              <w:t>(3)</w:t>
            </w:r>
          </w:p>
        </w:tc>
      </w:tr>
      <w:tr>
        <w:trPr>
          <w:trHeight w:val="27"/>
        </w:trPr>
        <w:tc>
          <w:tcPr>
            <w:tcW w:w="1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to Be Paid</w:t>
            </w: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Equity</w:t>
            </w:r>
          </w:p>
        </w:tc>
        <w:tc>
          <w:tcPr>
            <w:tcW w:w="2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Common Stock, par value</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Rule 457(o)</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$0.001 per share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$147.60 per $1,000,000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509.22</w:t>
            </w:r>
          </w:p>
        </w:tc>
        <w:tc>
          <w:tcPr>
            <w:tcW w:w="40" w:type="dxa"/>
            <w:vAlign w:val="bottom"/>
            <w:shd w:val="clear" w:color="auto" w:fill="CCEEFF"/>
          </w:tcPr>
          <w:p>
            <w:pPr>
              <w:spacing w:after="0"/>
              <w:rPr>
                <w:sz w:val="18"/>
                <w:szCs w:val="18"/>
                <w:color w:val="auto"/>
              </w:rPr>
            </w:pPr>
          </w:p>
        </w:tc>
      </w:tr>
      <w:tr>
        <w:trPr>
          <w:trHeight w:val="190"/>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to be Paid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Equity</w:t>
            </w:r>
          </w:p>
        </w:tc>
        <w:tc>
          <w:tcPr>
            <w:tcW w:w="2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Pre-Funded Warrants to</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Rule 457(g)</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6"/>
        </w:trPr>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gridSpan w:val="3"/>
          </w:tcPr>
          <w:p>
            <w:pPr>
              <w:jc w:val="center"/>
              <w:ind w:right="200"/>
              <w:spacing w:after="0" w:line="256" w:lineRule="exact"/>
              <w:rPr>
                <w:sz w:val="20"/>
                <w:szCs w:val="20"/>
                <w:color w:val="auto"/>
              </w:rPr>
            </w:pPr>
            <w:r>
              <w:rPr>
                <w:rFonts w:ascii="Times New Roman" w:cs="Times New Roman" w:eastAsia="Times New Roman" w:hAnsi="Times New Roman"/>
                <w:sz w:val="16"/>
                <w:szCs w:val="16"/>
                <w:color w:val="auto"/>
                <w:w w:val="99"/>
              </w:rPr>
              <w:t>purchase Common Stock</w:t>
            </w:r>
            <w:r>
              <w:rPr>
                <w:rFonts w:ascii="Times New Roman" w:cs="Times New Roman" w:eastAsia="Times New Roman" w:hAnsi="Times New Roman"/>
                <w:sz w:val="26"/>
                <w:szCs w:val="26"/>
                <w:color w:val="auto"/>
                <w:w w:val="99"/>
                <w:vertAlign w:val="superscript"/>
              </w:rPr>
              <w:t>(4)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0"/>
        </w:trPr>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Fees to be Paid</w:t>
            </w: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Equity</w:t>
            </w:r>
          </w:p>
        </w:tc>
        <w:tc>
          <w:tcPr>
            <w:tcW w:w="23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Common Stock issuable upon</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Rule 457(o)</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56"/>
        </w:trPr>
        <w:tc>
          <w:tcPr>
            <w:tcW w:w="1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320" w:type="dxa"/>
            <w:vAlign w:val="bottom"/>
            <w:gridSpan w:val="3"/>
            <w:shd w:val="clear" w:color="auto" w:fill="CCEEFF"/>
          </w:tcPr>
          <w:p>
            <w:pPr>
              <w:jc w:val="center"/>
              <w:ind w:right="200"/>
              <w:spacing w:after="0" w:line="256" w:lineRule="exact"/>
              <w:rPr>
                <w:sz w:val="20"/>
                <w:szCs w:val="20"/>
                <w:color w:val="auto"/>
              </w:rPr>
            </w:pPr>
            <w:r>
              <w:rPr>
                <w:rFonts w:ascii="Times New Roman" w:cs="Times New Roman" w:eastAsia="Times New Roman" w:hAnsi="Times New Roman"/>
                <w:sz w:val="16"/>
                <w:szCs w:val="16"/>
                <w:color w:val="auto"/>
                <w:w w:val="96"/>
              </w:rPr>
              <w:t>exercise of Warrants</w:t>
            </w:r>
            <w:r>
              <w:rPr>
                <w:rFonts w:ascii="Times New Roman" w:cs="Times New Roman" w:eastAsia="Times New Roman" w:hAnsi="Times New Roman"/>
                <w:sz w:val="26"/>
                <w:szCs w:val="26"/>
                <w:color w:val="auto"/>
                <w:w w:val="96"/>
                <w:vertAlign w:val="superscript"/>
              </w:rPr>
              <w:t>(5)</w:t>
            </w: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509.22</w:t>
            </w:r>
          </w:p>
        </w:tc>
        <w:tc>
          <w:tcPr>
            <w:tcW w:w="40" w:type="dxa"/>
            <w:vAlign w:val="bottom"/>
            <w:shd w:val="clear" w:color="auto" w:fill="CCEEFF"/>
          </w:tcPr>
          <w:p>
            <w:pPr>
              <w:spacing w:after="0"/>
              <w:rPr>
                <w:sz w:val="22"/>
                <w:szCs w:val="22"/>
                <w:color w:val="auto"/>
              </w:rPr>
            </w:pPr>
          </w:p>
        </w:tc>
      </w:tr>
      <w:tr>
        <w:trPr>
          <w:trHeight w:val="216"/>
        </w:trPr>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340" w:type="dxa"/>
            <w:vAlign w:val="bottom"/>
            <w:gridSpan w:val="5"/>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509.22</w:t>
            </w:r>
          </w:p>
        </w:tc>
        <w:tc>
          <w:tcPr>
            <w:tcW w:w="40" w:type="dxa"/>
            <w:vAlign w:val="bottom"/>
            <w:shd w:val="clear" w:color="auto" w:fill="CCEEFF"/>
          </w:tcPr>
          <w:p>
            <w:pPr>
              <w:spacing w:after="0"/>
              <w:rPr>
                <w:sz w:val="20"/>
                <w:szCs w:val="20"/>
                <w:color w:val="auto"/>
              </w:rPr>
            </w:pPr>
          </w:p>
        </w:tc>
      </w:tr>
      <w:tr>
        <w:trPr>
          <w:trHeight w:val="212"/>
        </w:trPr>
        <w:tc>
          <w:tcPr>
            <w:tcW w:w="11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340" w:type="dxa"/>
            <w:vAlign w:val="bottom"/>
            <w:tcBorders>
              <w:top w:val="single" w:sz="8" w:color="CCEEFF"/>
              <w:bottom w:val="single" w:sz="8" w:color="CCEEFF"/>
            </w:tcBorders>
            <w:gridSpan w:val="5"/>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1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gridSpan w:val="2"/>
          </w:tcPr>
          <w:p>
            <w:pPr>
              <w:spacing w:after="0"/>
              <w:rPr>
                <w:sz w:val="18"/>
                <w:szCs w:val="18"/>
                <w:color w:val="auto"/>
              </w:rPr>
            </w:pPr>
          </w:p>
        </w:tc>
      </w:tr>
      <w:tr>
        <w:trPr>
          <w:trHeight w:val="222"/>
        </w:trPr>
        <w:tc>
          <w:tcPr>
            <w:tcW w:w="1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gridSpan w:val="3"/>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9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gridSpan w:val="2"/>
            <w:shd w:val="clear" w:color="auto" w:fill="CCEEFF"/>
          </w:tcPr>
          <w:p>
            <w:pPr>
              <w:spacing w:after="0"/>
              <w:rPr>
                <w:sz w:val="19"/>
                <w:szCs w:val="19"/>
                <w:color w:val="auto"/>
              </w:rPr>
            </w:pPr>
          </w:p>
        </w:tc>
      </w:tr>
      <w:tr>
        <w:trPr>
          <w:trHeight w:val="224"/>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gridSpan w:val="3"/>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509.22</w:t>
            </w:r>
          </w:p>
        </w:tc>
        <w:tc>
          <w:tcPr>
            <w:tcW w:w="4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in accordance with Rule 457(i) and Rule 457(o) under the Securities Act of 1933 (the "Securities Act").</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and warrants that may be purchased by the underwriters pursuant to their option to purchase additional common shares and warrants to cover over-allotments.</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there are also being registered such indeterminate number of additional securities as may be issued to prevent dilution resulting from share splits, share dividends or similar transactions.</w:t>
      </w:r>
    </w:p>
    <w:p>
      <w:pPr>
        <w:jc w:val="both"/>
        <w:ind w:left="340" w:hanging="332"/>
        <w:spacing w:after="0" w:line="265"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may issue Pre-Funded Warrants in lieu of shares of Common Stock in the offering. The purchase price of each Pre-Funded Warrant will equal the price per share at which shares of Common Stock are being sold to the public in this offering, minus $0.001, which constitutes the pre-funded portion of the exercise price of the Pre-Funded Warrants, and the remaining unpaid exercise price of the Pre-Funded Warrants will equal $0.001 per share (subject to adjustment as provided for therein). The proposed maximum aggregate offering price of the Pre-Funded Warrants will be reduced on a dollar-for-dollar basis based on the offering price of any shares of Common Stock issued in the offering, and the proposed maximum aggregate offering price of the Pre-Funded Warrants will be reduced on a dollar-for-dollar basis based on the offering price of any shares of Common Stock issued in the offering. Accordingly, the proposed maximum aggregate offering price of the Common Stock and Pre-Funded Warrants is $3,450,000,</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including the over-allotment option,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No separate registration fee required pursuant to Rule 457(g).</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lowerRoman"/>
      <w:start w:val="6"/>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Roman"/>
      <w:start w:val="5"/>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lvl w:ilvl="1">
      <w:lvlJc w:val="left"/>
      <w:lvlText w:val="(%2)"/>
      <w:numFmt w:val="lowerLetter"/>
      <w:start w:val="1"/>
    </w:lvl>
  </w:abstractNum>
  <w:abstractNum w:abstractNumId="32">
    <w:nsid w:val="580BD78F"/>
    <w:multiLevelType w:val="hybridMultilevel"/>
    <w:lvl w:ilvl="0">
      <w:lvlJc w:val="left"/>
      <w:lvlText w:val="(%1)"/>
      <w:numFmt w:val="decimal"/>
      <w:start w:val="4"/>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Roman"/>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jpe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45" Type="http://schemas.openxmlformats.org/officeDocument/2006/relationships/image" Target="media/image93.png"/><Relationship Id="rId166" Type="http://schemas.openxmlformats.org/officeDocument/2006/relationships/image" Target="media/image94.png"/><Relationship Id="rId168" Type="http://schemas.openxmlformats.org/officeDocument/2006/relationships/image" Target="media/image95.png"/><Relationship Id="rId187" Type="http://schemas.openxmlformats.org/officeDocument/2006/relationships/image" Target="media/image96.png"/><Relationship Id="rId190" Type="http://schemas.openxmlformats.org/officeDocument/2006/relationships/image" Target="media/image97.png"/><Relationship Id="rId191" Type="http://schemas.openxmlformats.org/officeDocument/2006/relationships/image" Target="media/image98.png"/><Relationship Id="rId88" Type="http://schemas.openxmlformats.org/officeDocument/2006/relationships/hyperlink" Target="http://www.sec.gov/Archives/edgar/data/1800637/000121390023090353/f10k2022_agrify.htm" TargetMode="External"/><Relationship Id="rId89" Type="http://schemas.openxmlformats.org/officeDocument/2006/relationships/hyperlink" Target="http://www.sec.gov/Archives/edgar/data/1800637/000121390023090366/f10q0323_agrify.htm" TargetMode="External"/><Relationship Id="rId90" Type="http://schemas.openxmlformats.org/officeDocument/2006/relationships/hyperlink" Target="http://www.sec.gov/Archives/edgar/data/1800637/000121390023094877/f10q0623_agrify.htm" TargetMode="External"/><Relationship Id="rId91" Type="http://schemas.openxmlformats.org/officeDocument/2006/relationships/hyperlink" Target="http://www.sec.gov/Archives/edgar/data/1800637/000121390024000433/f10q0923_agrify.htm" TargetMode="External"/><Relationship Id="rId92" Type="http://schemas.openxmlformats.org/officeDocument/2006/relationships/hyperlink" Target="http://www.sec.gov/Archives/edgar/data/1800637/000121390023001422/ea171323-8k_agrifycorp.htm" TargetMode="External"/><Relationship Id="rId93" Type="http://schemas.openxmlformats.org/officeDocument/2006/relationships/hyperlink" Target="http://www.sec.gov/Archives/edgar/data/1800637/000121390023004857/ea172124-8k_agrifycorp.htm" TargetMode="External"/><Relationship Id="rId94" Type="http://schemas.openxmlformats.org/officeDocument/2006/relationships/hyperlink" Target="http://www.sec.gov/Archives/edgar/data/1800637/000121390023014128/ea174203-8k_agrifycorp.htm" TargetMode="External"/><Relationship Id="rId95" Type="http://schemas.openxmlformats.org/officeDocument/2006/relationships/hyperlink" Target="http://www.sec.gov/Archives/edgar/data/1800637/000121390023017011/ea174612-8k_agrifycorp.htm" TargetMode="External"/><Relationship Id="rId96" Type="http://schemas.openxmlformats.org/officeDocument/2006/relationships/hyperlink" Target="http://www.sec.gov/Archives/edgar/data/1800637/000121390023018686/ea174704-8k_agrifycorp.htm" TargetMode="External"/><Relationship Id="rId97" Type="http://schemas.openxmlformats.org/officeDocument/2006/relationships/hyperlink" Target="http://www.sec.gov/Archives/edgar/data/1800637/000121390023030258/ea177061-8k_agrify.htm" TargetMode="External"/><Relationship Id="rId98" Type="http://schemas.openxmlformats.org/officeDocument/2006/relationships/hyperlink" Target="http://www.sec.gov/Archives/edgar/data/1800637/000121390023031803/ea177338-8k_agrify.htm" TargetMode="External"/><Relationship Id="rId99" Type="http://schemas.openxmlformats.org/officeDocument/2006/relationships/hyperlink" Target="http://www.sec.gov/Archives/edgar/data/1800637/000121390023033012/ea177539-8k_agrify.htm" TargetMode="External"/><Relationship Id="rId100" Type="http://schemas.openxmlformats.org/officeDocument/2006/relationships/hyperlink" Target="http://www.sec.gov/Archives/edgar/data/1800637/000121390023042403/ea179123-8k_agrify.htm" TargetMode="External"/><Relationship Id="rId101" Type="http://schemas.openxmlformats.org/officeDocument/2006/relationships/hyperlink" Target="http://www.sec.gov/Archives/edgar/data/1800637/000121390023043102/ea179227-8k_agrifycorp.htm" TargetMode="External"/><Relationship Id="rId102" Type="http://schemas.openxmlformats.org/officeDocument/2006/relationships/hyperlink" Target="http://www.sec.gov/Archives/edgar/data/1800637/000121390023053790/ea181262-8k_agrify.htm" TargetMode="External"/><Relationship Id="rId103" Type="http://schemas.openxmlformats.org/officeDocument/2006/relationships/hyperlink" Target="http://www.sec.gov/Archives/edgar/data/1800637/000121390023057077/ea181831-8k_agrifycorp.htm" TargetMode="External"/><Relationship Id="rId104" Type="http://schemas.openxmlformats.org/officeDocument/2006/relationships/hyperlink" Target="http://www.sec.gov/Archives/edgar/data/1800637/000121390023058650/ea182123-8k_agrifycorp.htm" TargetMode="External"/><Relationship Id="rId105" Type="http://schemas.openxmlformats.org/officeDocument/2006/relationships/hyperlink" Target="http://www.sec.gov/Archives/edgar/data/1800637/000121390023069116/ea183934-8k_agrifycorp.htm" TargetMode="External"/><Relationship Id="rId106" Type="http://schemas.openxmlformats.org/officeDocument/2006/relationships/hyperlink" Target="http://www.sec.gov/Archives/edgar/data/1800637/000101376223000130/ea185697-8k_agrifycorp.htm" TargetMode="External"/><Relationship Id="rId107" Type="http://schemas.openxmlformats.org/officeDocument/2006/relationships/hyperlink" Target="http://www.sec.gov/Archives/edgar/data/1800637/000101376223005513/ea187028-8k_agrifycorp.htm" TargetMode="External"/><Relationship Id="rId108" Type="http://schemas.openxmlformats.org/officeDocument/2006/relationships/hyperlink" Target="http://www.sec.gov/Archives/edgar/data/1800637/000121390023083943/ea187778-8k_agrifycorp.htm" TargetMode="External"/><Relationship Id="rId109" Type="http://schemas.openxmlformats.org/officeDocument/2006/relationships/hyperlink" Target="http://www.sec.gov/Archives/edgar/data/1800637/000121390023084778/ea187928-8k_agrify.htm" TargetMode="External"/><Relationship Id="rId110" Type="http://schemas.openxmlformats.org/officeDocument/2006/relationships/hyperlink" Target="http://www.sec.gov/Archives/edgar/data/1800637/000121390023089611/ea188873-8k_agrifycorp.htm" TargetMode="External"/><Relationship Id="rId111" Type="http://schemas.openxmlformats.org/officeDocument/2006/relationships/hyperlink" Target="http://www.sec.gov/Archives/edgar/data/1800637/000121390023091492/ea189289-8k_agrify.htm" TargetMode="External"/><Relationship Id="rId112" Type="http://schemas.openxmlformats.org/officeDocument/2006/relationships/hyperlink" Target="http://www.sec.gov/Archives/edgar/data/1800637/000121390023093703/ea189579-8k_agrify.htm" TargetMode="External"/><Relationship Id="rId113" Type="http://schemas.openxmlformats.org/officeDocument/2006/relationships/hyperlink" Target="http://www.sec.gov/Archives/edgar/data/1800637/000143774924000875/agfy20240108_8k.htm" TargetMode="External"/><Relationship Id="rId114" Type="http://schemas.openxmlformats.org/officeDocument/2006/relationships/hyperlink" Target="http://www.sec.gov/Archives/edgar/data/1800637/000121390024006275/ea192155-8k_agrify.htm" TargetMode="External"/><Relationship Id="rId115" Type="http://schemas.openxmlformats.org/officeDocument/2006/relationships/hyperlink" Target="http://www.sec.gov/Archives/edgar/data/1800637/000121390023096287/def14a1223_agrifycorp.htm" TargetMode="External"/><Relationship Id="rId116" Type="http://schemas.openxmlformats.org/officeDocument/2006/relationships/hyperlink" Target="http://www.sec.gov/Archives/edgar/data/1800637/000121390021004285/ea133941-8a12b_agrifycorp.htm" TargetMode="External"/><Relationship Id="rId129" Type="http://schemas.openxmlformats.org/officeDocument/2006/relationships/hyperlink" Target="http://www.sec.gov/Archives/edgar/data/1800637/000101376221000191/ea148348ex2-1_agrifycorp.htm" TargetMode="External"/><Relationship Id="rId130" Type="http://schemas.openxmlformats.org/officeDocument/2006/relationships/hyperlink" Target="http://www.sec.gov/Archives/edgar/data/1800637/000101376221000191/ea148348ex2-2_agrifycorp.htm" TargetMode="External"/><Relationship Id="rId131" Type="http://schemas.openxmlformats.org/officeDocument/2006/relationships/hyperlink" Target="http://www.sec.gov/Archives/edgar/data/1800637/000121390022000601/ea153490ex2-1_agrifycorp.htm" TargetMode="External"/><Relationship Id="rId132" Type="http://schemas.openxmlformats.org/officeDocument/2006/relationships/hyperlink" Target="http://www.sec.gov/Archives/edgar/data/1800637/000121390022004925/ea154783ex2-1_agrifycorp.htm" TargetMode="External"/><Relationship Id="rId133" Type="http://schemas.openxmlformats.org/officeDocument/2006/relationships/hyperlink" Target="http://www.sec.gov/Archives/edgar/data/1800637/000121390021001799/fs12020a1ex3-1_agrify.htm" TargetMode="External"/><Relationship Id="rId134" Type="http://schemas.openxmlformats.org/officeDocument/2006/relationships/hyperlink" Target="http://www.sec.gov/Archives/edgar/data/1800637/000121390021001799/fs12020a1ex3-2_agrify.htm" TargetMode="External"/><Relationship Id="rId135" Type="http://schemas.openxmlformats.org/officeDocument/2006/relationships/hyperlink" Target="http://www.sec.gov/Archives/edgar/data/1800637/000121390021004220/fs12021a2ex3-3_agrifycorp.htm" TargetMode="External"/><Relationship Id="rId136" Type="http://schemas.openxmlformats.org/officeDocument/2006/relationships/hyperlink" Target="http://www.sec.gov/Archives/edgar/data/1800637/000121390022039420/ea162872ex3-1_agrify.htm" TargetMode="External"/><Relationship Id="rId137" Type="http://schemas.openxmlformats.org/officeDocument/2006/relationships/hyperlink" Target="http://www.sec.gov/Archives/edgar/data/1800637/000121390022064269/ea167213ex3-1agrifycorp.htm" TargetMode="External"/><Relationship Id="rId138" Type="http://schemas.openxmlformats.org/officeDocument/2006/relationships/hyperlink" Target="http://www.sec.gov/Archives/edgar/data/1800637/000121390023017011/ea174612ex3-1_agrifycorp.htm" TargetMode="External"/><Relationship Id="rId139" Type="http://schemas.openxmlformats.org/officeDocument/2006/relationships/hyperlink" Target="http://www.sec.gov/Archives/edgar/data/1800637/000121390023053790/ea181262ex3-1_agrify.htm" TargetMode="External"/><Relationship Id="rId140" Type="http://schemas.openxmlformats.org/officeDocument/2006/relationships/hyperlink" Target="http://www.sec.gov/Archives/edgar/data/1800637/000121390024006275/ea192155ex3-1_agrify.htm" TargetMode="External"/><Relationship Id="rId141" Type="http://schemas.openxmlformats.org/officeDocument/2006/relationships/hyperlink" Target="http://www.sec.gov/Archives/edgar/data/1800637/000121390021004220/fs12021a2ex4-1_agrifycorp.htm" TargetMode="External"/><Relationship Id="rId142" Type="http://schemas.openxmlformats.org/officeDocument/2006/relationships/hyperlink" Target="http://www.sec.gov/Archives/edgar/data/1800637/000121390021008530/fs12021ex4-2_agrifycorp.htm" TargetMode="External"/><Relationship Id="rId143" Type="http://schemas.openxmlformats.org/officeDocument/2006/relationships/hyperlink" Target="http://www.sec.gov/Archives/edgar/data/1800637/000121390021004220/fs12021a2ex4-2_agrifycorp.htm" TargetMode="External"/><Relationship Id="rId144" Type="http://schemas.openxmlformats.org/officeDocument/2006/relationships/hyperlink" Target="http://www.sec.gov/Archives/edgar/data/1800637/000121390020044121/fs12020ex4-3_agrifycorp.htm" TargetMode="External"/><Relationship Id="rId146" Type="http://schemas.openxmlformats.org/officeDocument/2006/relationships/hyperlink" Target="http://www.sec.gov/Archives/edgar/data/1800637/000121390021019992/f10k2020ex4-5_agrifycorp.htm" TargetMode="External"/><Relationship Id="rId147" Type="http://schemas.openxmlformats.org/officeDocument/2006/relationships/hyperlink" Target="http://www.sec.gov/Archives/edgar/data/1800637/000121390022003773/ea154520ex4-2_agrify.htm" TargetMode="External"/><Relationship Id="rId148" Type="http://schemas.openxmlformats.org/officeDocument/2006/relationships/hyperlink" Target="http://www.sec.gov/Archives/edgar/data/1800637/000121390022049494/ea164681ex4-1_agrify.htm" TargetMode="External"/><Relationship Id="rId149" Type="http://schemas.openxmlformats.org/officeDocument/2006/relationships/hyperlink" Target="http://www.sec.gov/Archives/edgar/data/1800637/000121390022049494/ea164681ex4-2_agrify.htm" TargetMode="External"/><Relationship Id="rId150" Type="http://schemas.openxmlformats.org/officeDocument/2006/relationships/hyperlink" Target="http://www.sec.gov/Archives/edgar/data/1800637/000121390022049494/ea164681ex4-3_agrify.htm" TargetMode="External"/><Relationship Id="rId151" Type="http://schemas.openxmlformats.org/officeDocument/2006/relationships/hyperlink" Target="http://www.sec.gov/Archives/edgar/data/1800637/000121390022080562/ea170341ex4-1_agrifycorp.htm" TargetMode="External"/><Relationship Id="rId152" Type="http://schemas.openxmlformats.org/officeDocument/2006/relationships/hyperlink" Target="http://www.sec.gov/Archives/edgar/data/1800637/000121390022080562/ea170341ex4-2_agrifycorp.htm" TargetMode="External"/><Relationship Id="rId153" Type="http://schemas.openxmlformats.org/officeDocument/2006/relationships/hyperlink" Target="http://www.sec.gov/Archives/edgar/data/1800637/000121390023018686/ea174704ex4-1_agrifycorp.htm" TargetMode="External"/><Relationship Id="rId154" Type="http://schemas.openxmlformats.org/officeDocument/2006/relationships/hyperlink" Target="http://www.sec.gov/Archives/edgar/data/1800637/000121390023018686/ea174704ex4-2_agrifycorp.htm" TargetMode="External"/><Relationship Id="rId155" Type="http://schemas.openxmlformats.org/officeDocument/2006/relationships/hyperlink" Target="http://www.sec.gov/Archives/edgar/data/1800637/000121390023083943/ea187778ex4-1_agrifycorp.htm" TargetMode="External"/><Relationship Id="rId156" Type="http://schemas.openxmlformats.org/officeDocument/2006/relationships/hyperlink" Target="http://www.sec.gov/Archives/edgar/data/1800637/000121390023083943/ea187778ex4-3_agrifycorp.htm" TargetMode="External"/><Relationship Id="rId157" Type="http://schemas.openxmlformats.org/officeDocument/2006/relationships/hyperlink" Target="http://www.sec.gov/Archives/edgar/data/1800637/000121390023083943/ea187778ex4-4_agrifycorp.htm" TargetMode="External"/><Relationship Id="rId158" Type="http://schemas.openxmlformats.org/officeDocument/2006/relationships/hyperlink" Target="http://www.sec.gov/Archives/edgar/data/1800637/000121390023083943/ea187778ex4-5_agrifycorp.htm" TargetMode="External"/><Relationship Id="rId159" Type="http://schemas.openxmlformats.org/officeDocument/2006/relationships/hyperlink" Target="http://www.sec.gov/Archives/edgar/data/1800637/000121390023093703/ea189579ex4-1_agrify.htm" TargetMode="External"/><Relationship Id="rId160" Type="http://schemas.openxmlformats.org/officeDocument/2006/relationships/hyperlink" Target="http://www.sec.gov/Archives/edgar/data/1800637/000121390024006275/ea192155ex4-1_agrify.htm" TargetMode="External"/><Relationship Id="rId161" Type="http://schemas.openxmlformats.org/officeDocument/2006/relationships/hyperlink" Target="http://www.sec.gov/Archives/edgar/data/1800637/000121390024006275/ea192155ex4-2_agrify.htm" TargetMode="External"/><Relationship Id="rId162" Type="http://schemas.openxmlformats.org/officeDocument/2006/relationships/hyperlink" Target="http://www.sec.gov/Archives/edgar/data/1800637/000121390020044121/fs12020ex10-1_agrifycorp.htm" TargetMode="External"/><Relationship Id="rId163" Type="http://schemas.openxmlformats.org/officeDocument/2006/relationships/hyperlink" Target="http://www.sec.gov/Archives/edgar/data/1800637/000121390020044121/fs12020ex10-2_agrifycorp.htm" TargetMode="External"/><Relationship Id="rId164" Type="http://schemas.openxmlformats.org/officeDocument/2006/relationships/hyperlink" Target="http://www.sec.gov/Archives/edgar/data/1800637/000121390020044121/fs12020ex10-3_agrifycorp.htm" TargetMode="External"/><Relationship Id="rId165" Type="http://schemas.openxmlformats.org/officeDocument/2006/relationships/hyperlink" Target="http://www.sec.gov/Archives/edgar/data/1800637/000121390020044121/fs12020ex10-4_agrifycorp.htm" TargetMode="External"/><Relationship Id="rId167" Type="http://schemas.openxmlformats.org/officeDocument/2006/relationships/hyperlink" Target="http://www.sec.gov/Archives/edgar/data/1800637/000121390021019992/f10k2020ex10-5_agrifycorp.htm" TargetMode="External"/><Relationship Id="rId169" Type="http://schemas.openxmlformats.org/officeDocument/2006/relationships/hyperlink" Target="http://www.sec.gov/Archives/edgar/data/1800637/000121390020044121/fs12020ex10-13_agrifycorp.htm" TargetMode="External"/><Relationship Id="rId170" Type="http://schemas.openxmlformats.org/officeDocument/2006/relationships/hyperlink" Target="http://www.sec.gov/Archives/edgar/data/1800637/000121390020044121/fs12020ex10-16_agrifycorp.htm" TargetMode="External"/><Relationship Id="rId171" Type="http://schemas.openxmlformats.org/officeDocument/2006/relationships/hyperlink" Target="http://www.sec.gov/Archives/edgar/data/1800637/000121390021001799/fs12020a1ex10-15_agrify.htm" TargetMode="External"/><Relationship Id="rId172" Type="http://schemas.openxmlformats.org/officeDocument/2006/relationships/hyperlink" Target="http://www.sec.gov/Archives/edgar/data/1800637/000121390020044121/fs12020ex10-18_agrifycorp.htm" TargetMode="External"/><Relationship Id="rId173" Type="http://schemas.openxmlformats.org/officeDocument/2006/relationships/hyperlink" Target="http://www.sec.gov/Archives/edgar/data/1800637/000121390021008530/fs12021ex10-18_agrifycorp.htm" TargetMode="External"/><Relationship Id="rId174" Type="http://schemas.openxmlformats.org/officeDocument/2006/relationships/hyperlink" Target="http://www.sec.gov/Archives/edgar/data/1800637/000121390021059567/ea150577ex10-2_agrifycorp.htm" TargetMode="External"/><Relationship Id="rId175" Type="http://schemas.openxmlformats.org/officeDocument/2006/relationships/hyperlink" Target="http://www.sec.gov/Archives/edgar/data/1800637/000121390022003773/ea154520ex10-1_agrify.htm" TargetMode="External"/><Relationship Id="rId176" Type="http://schemas.openxmlformats.org/officeDocument/2006/relationships/hyperlink" Target="http://www.sec.gov/Archives/edgar/data/1800637/000121390022013613/ea157101ex10-1_agrifycorp.htm" TargetMode="External"/><Relationship Id="rId177" Type="http://schemas.openxmlformats.org/officeDocument/2006/relationships/hyperlink" Target="http://www.sec.gov/Archives/edgar/data/1800637/000121390022022512/def14a0422_agrify.htm#T99014" TargetMode="External"/><Relationship Id="rId178" Type="http://schemas.openxmlformats.org/officeDocument/2006/relationships/hyperlink" Target="http://www.sec.gov/Archives/edgar/data/1800637/000121390022022512/def14a0422_agrify.htm#T99015" TargetMode="External"/><Relationship Id="rId179" Type="http://schemas.openxmlformats.org/officeDocument/2006/relationships/hyperlink" Target="http://www.sec.gov/Archives/edgar/data/1800637/000121390022039420/ea162872ex10-2_agrify.htm" TargetMode="External"/><Relationship Id="rId180" Type="http://schemas.openxmlformats.org/officeDocument/2006/relationships/hyperlink" Target="http://www.sec.gov/Archives/edgar/data/1800637/000121390022039420/ea162872ex10-1_agrify.htm" TargetMode="External"/><Relationship Id="rId181" Type="http://schemas.openxmlformats.org/officeDocument/2006/relationships/hyperlink" Target="http://www.sec.gov/Archives/edgar/data/1800637/000121390022049494/ea164681ex10-1_agrify.htm" TargetMode="External"/><Relationship Id="rId182" Type="http://schemas.openxmlformats.org/officeDocument/2006/relationships/hyperlink" Target="http://www.sec.gov/Archives/edgar/data/1800637/000121390022064592/ea167238ex1-1_agrifycorp.htm" TargetMode="External"/><Relationship Id="rId183" Type="http://schemas.openxmlformats.org/officeDocument/2006/relationships/hyperlink" Target="http://www.sec.gov/Archives/edgar/data/1800637/000121390023004857/ea172124ex10-1_agrifycorp.htm" TargetMode="External"/><Relationship Id="rId184" Type="http://schemas.openxmlformats.org/officeDocument/2006/relationships/hyperlink" Target="http://www.sec.gov/Archives/edgar/data/1800637/000121390023018686/ea174704ex10-1_agrifycorp.htm" TargetMode="External"/><Relationship Id="rId185" Type="http://schemas.openxmlformats.org/officeDocument/2006/relationships/hyperlink" Target="http://www.sec.gov/Archives/edgar/data/1800637/000121390023083943/ea187778ex10-1_agrifycorp.htm" TargetMode="External"/><Relationship Id="rId186" Type="http://schemas.openxmlformats.org/officeDocument/2006/relationships/hyperlink" Target="http://www.sec.gov/Archives/edgar/data/1800637/000121390023083943/ea187778ex10-2_agrifycorp.htm" TargetMode="External"/><Relationship Id="rId188" Type="http://schemas.openxmlformats.org/officeDocument/2006/relationships/hyperlink" Target="http://www.sec.gov/Archives/edgar/data/1800637/000121390023083943/ea187778ex10-3_agrifycorp.htm" TargetMode="External"/><Relationship Id="rId189" Type="http://schemas.openxmlformats.org/officeDocument/2006/relationships/hyperlink" Target="http://www.sec.gov/Archives/edgar/data/1800637/000121390023090353/f10k2022ex21-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2024-01-28T07:09:00Z</dcterms:created>
  <dcterms:modified xsi:type="dcterms:W3CDTF">2024-01-28T07:09:00Z</dcterms:modified>
</cp:coreProperties>
</file>