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93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Kovler Benjamin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2220 HICKS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RYTHM,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RYM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Interim CEO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06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60008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MEADOWS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19.19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65,849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withheld by the issuer to satisfy tax withholding requirements on vesting of restricted stock units held by the reporting person.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3392" TargetMode="External"/><Relationship Id="rId14" Type="http://schemas.openxmlformats.org/officeDocument/2006/relationships/hyperlink" Target="http://www.sec.gov/cgi-bin/browse-edgar?action=getcompany&amp;CIK=0001800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2025-11-20T15:57:26Z</dcterms:created>
  <dcterms:modified xsi:type="dcterms:W3CDTF">2025-11-20T15:57:26Z</dcterms:modified>
</cp:coreProperties>
</file>