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RYTHM,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00853E404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Bret Kravitz</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325 West Huron Street, Suite 700,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60654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312.471.6720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RSLGH,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shares of Common Stock purchased on May 27, 2025; (b) 7,300 shares of Common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Stock 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LLC ("RSLGH") and Double or Nothing LLC dated December 12, 2024,</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subject to a 4.99% beneficial ownership limitation; (f) 18,614 shares of Common Stock underlying warrants issued as a payment of interest pursuant to the November 2024 Note (as defined in Item 4), subject to a 49.99% beneficial ownership limitation; (g) 1,147,471 shares of Common Stock underlying the May 2025 Note (as defined in Item 4), subject to a 49.99% beneficial ownership limitation; (h) 1,526,718 shares of Common Stock underlying the August 2025 Note (as defined in item 4); (i) 3,166,561 shares of Common Stock underlying the November 2024 Note (as defined in Item 4), subject to a 49.99% beneficial ownership limitation, (j) 43,145 shares of Common Stock that may become issuable as payments of interest pursuant to the November 2024 Note and the May 2025 Note within 60 days, and (k) 141,343 shares of Common Stock underlying warrants issued pursuant to the Shared Services Agreement (as defined in Item 3) (the "SSA Warrants"), subject to a 49.99% beneficial ownership limitation. The November 2024 Note,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WELLNESS MGMT, LLC</w:t>
      </w:r>
    </w:p>
    <w:p>
      <w:pPr>
        <w:sectPr>
          <w:pgSz w:w="11900" w:h="16838" w:orient="portrait"/>
          <w:cols w:equalWidth="0" w:num="1">
            <w:col w:w="11240"/>
          </w:cols>
          <w:pgMar w:left="320" w:top="126" w:right="339" w:bottom="0" w:gutter="0" w:footer="0" w:header="0"/>
        </w:sectPr>
      </w:pPr>
    </w:p>
    <w:bookmarkStart w:id="2" w:name="page3"/>
    <w:bookmarkEnd w:id="2"/>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4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of Common Stock purchased on May 27, 2025; (b) 7,300 shares of Common Stock</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Double or Nothing LLC dated December 12, 2024, subject to a 4.99%</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beneficial ownership limitation; (f) 18,614 shares of Common Stock underlying warrants issued as a payment of interest pursuant to the November 2024 Note (as defined in Item 4), subject to a 49.99% beneficial ownership limitation; (g) 1,147,471 shares of Common Stock underlying the May 2025 Note (as defined in Item 4), subject to a 49.99% beneficial ownership limitation; (h) 1,526,718 shares of Common Stock underlying the August 2025 Note (as defined in item 4); (i) 3,166,561 shares of Common Stock underlying the November 2024 Note (as defined in Item 4), subject to a 49.99% beneficial ownership limitation, (j) 43,145 shares of Common Stock that may become issuable as payments of interest pursuant to the November 2024 Note and the May 2025 Note within 60 days, and (k) 141,343 shares of Common Stock underlying warrants issued pursuant to the Shared Services Agreement (as defined in Item 3) (the "SSA Warrants"), subject to a 49.99% beneficial ownership limitation. The November 2024 Note,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111" w:right="3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FOR SUCCESS HOLDING COMPANY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of Common Stock purchased on May 27, 2025; (b) 7,300 shares of Common Stock</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purchased on May 28, 2025; (c) 666,661 shares of Common Stock acquired on November 5, 2024; (d) 6,169,702</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Double or Nothing LLC dated December 12, 2024, subject to a 4.99%</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beneficial ownership limitation; (f) 18,614 shares of Common Stock underlying warrants issued as a payment of interest pursuant to the November 2024 Note (as defined in Item 4), subject to a 49.99% beneficial ownership limitation; (g) 1,147,471 shares of Common Stock underlying the May 2025 Note (as defined in Item 4), subject to a 49.99% beneficial ownership limitation; (h) 1,526,718 shares of Common Stock underlying the August 2025 Note (as defined in item 4); (i) 3,166,561 shares of Common Stock underlying the November 2024 Note (as defined in Item 4), subject to a 49.99% beneficial ownership limitation, (j) 43,145 shares of Common Stock that may become issuable as payments of interest pursuant to the November 2024 Note and the May 2025 Note within 60 days, and (k) 141,343 shares of Common Stock underlying warrants issued pursuant to the Shared Services Agreement (as defined in Item 3) (the "SSA Warrants"), subject to a 49.99% beneficial ownership limitation. The November 2024 Note, the May 2025 Note, the August 2025 Note and the SSA Warrants are subject to restrictions on conversion or exercise, as applicable, to the extent required under applicable Nasdaq rules.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355"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ectPr>
          <w:pgSz w:w="11900" w:h="16838" w:orient="portrait"/>
          <w:cols w:equalWidth="0" w:num="1">
            <w:col w:w="11240"/>
          </w:cols>
          <w:pgMar w:left="320" w:top="355"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VCP23,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13,098,015.00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of Common Stock purchased on May 27, 2025; (b) 7,300 shares of Common Stock purchased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on May 28, 2025; (c) 666,661 shares of Common Stock acquired on November 5, 2024; (d) 6,169,702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limitation; (e) 185,500 shares of Common Stock underlying warrants acquired pursuant to the warrant purchase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agreement between RSLGH and Double or Nothing LLC dated December 12, 2024, subject to a 4.99% beneficial</w:t>
      </w:r>
    </w:p>
    <w:p>
      <w:pPr>
        <w:spacing w:after="0" w:line="2"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ownership limitation; (f) 18,614 shares of Common Stock underlying warrants issued as a payment of interest pursuant to the November 2024 Note (as defined in Item 4), subject to a 49.99% beneficial ownership limitation; (g) 1,147,471 shares of Common Stock underlying the May 2025 Note (as defined in Item 4), subject to a 49.99% beneficial ownership limitation; (h) 1,526,718 shares of Common Stock underlying the August 2025 Note (as defined in item 4);</w:t>
      </w:r>
    </w:p>
    <w:p>
      <w:pPr>
        <w:spacing w:after="0" w:line="2" w:lineRule="exact"/>
        <w:rPr>
          <w:sz w:val="20"/>
          <w:szCs w:val="20"/>
          <w:color w:val="auto"/>
        </w:rPr>
      </w:pPr>
    </w:p>
    <w:p>
      <w:pPr>
        <w:jc w:val="both"/>
        <w:ind w:left="920" w:hanging="3"/>
        <w:spacing w:after="0" w:line="232" w:lineRule="auto"/>
        <w:tabs>
          <w:tab w:leader="none" w:pos="11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3,166,561 shares of Common Stock underlying the November 2024 Note (as defined in Item 4), subject to a 49.99% beneficial ownership limitation, (j) 43,145 shares of Common Stock that may become issuable as payments of interest pursuant to the November 2024 Note and the May 2025 Note within 60 days, and (k) 141,343 shares of Common Stock underlying warrants issued pursuant to the Shared Services Agreement (as defined in Item 3) (the "SSA Warrants"), subject to a 49.99% beneficial ownership limitation. The November 2024 Note, the May 2025 Note, the August 2025 Note and the SSA Warrants are subject to restrictions on conversion or exercise, as applicable, to the extent required under applicable Nasdaq rules.</w:t>
      </w:r>
    </w:p>
    <w:p>
      <w:pPr>
        <w:sectPr>
          <w:pgSz w:w="11900" w:h="16838" w:orient="portrait"/>
          <w:cols w:equalWidth="0" w:num="1">
            <w:col w:w="11240"/>
          </w:cols>
          <w:pgMar w:left="320" w:top="63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639" w:right="339" w:bottom="0" w:gutter="0" w:footer="0" w:header="0"/>
          <w:type w:val="continuous"/>
        </w:sectPr>
      </w:pPr>
    </w:p>
    <w:bookmarkStart w:id="5" w:name="page6"/>
    <w:bookmarkEnd w:id="5"/>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GTI23,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49.99 %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25,000 shares of Common Stock purchased on May 27, 2025; (b) 7,300 shares of Common</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Stock purchased on May 28, 2025; (c) 666,661 shares of Common Stock acquired on November 5, 2024; (d) 6,169,702</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shares of Common Stock underlying warrants acquired on November 5, 2024, subject to a 49.99% beneficial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ownership limitation; (e) 185,500 shares of Common Stock underlying warrants acquired pursuant to the warrant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purchase agreement between RSLGH and Double or Nothing LLC dated December 12, 2024, subject to a 4.99%</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beneficial ownership limitation; (f) 18,614 shares of Common Stock underlying warrants issued as a payment of interest pursuant to the November 2024 Note (as defined in Item 4), subject to a 49.99% beneficial ownership limitation; (g) 1,147,471 shares of Common Stock underlying the May 2025 Note (as defined in Item 4), subject to a 49.99% beneficial ownership limitation; (h) 1,526,718 shares of Common Stock underlying the August 2025 Note (as defined in item 4); (i) 3,166,561 shares of Common Stock underlying the November 2024 Note (as defined in Item 4), subject to a 49.99% beneficial ownership limitation, (j) 43,145 shares of Common Stock that may become issuable as payments of interest pursuant to the November 2024 Note and the May 2025 Note within 60 days, and (k) 141,343 shares of Common Stock underlying warrants issued pursuant to the Shared Services Agreement (as defined in Item 3) (the "SSA Warrants"), subject to a 49.99% beneficial ownership limitation. The November 2024 Note, the May 2025 Note, the August 2025 Note and the SSA Warrants are subject to restrictions on conversion or exercise, as applicable, to the extent required under applicable Nasdaq rules.</w:t>
      </w:r>
    </w:p>
    <w:p>
      <w:pPr>
        <w:sectPr>
          <w:pgSz w:w="11900" w:h="16838" w:orient="portrait"/>
          <w:cols w:equalWidth="0" w:num="1">
            <w:col w:w="11240"/>
          </w:cols>
          <w:pgMar w:left="320" w:top="189" w:right="339" w:bottom="377"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00853E404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BRITISH COLUMBIA, CANADA</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5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5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7"/>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25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5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13,098,015.00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13,098,015.00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This amount includes (a) of Common Stock purchased on May 27, 2025; (b) 7,300 shares of Common Stock purchased</w:t>
      </w:r>
    </w:p>
    <w:tbl>
      <w:tblPr>
        <w:tblLayout w:type="fixed"/>
        <w:tblInd w:w="0" w:type="dxa"/>
        <w:tblCellMar>
          <w:top w:w="0" w:type="dxa"/>
          <w:left w:w="0" w:type="dxa"/>
          <w:bottom w:w="0" w:type="dxa"/>
          <w:right w:w="0" w:type="dxa"/>
        </w:tblCellMar>
      </w:tblPr>
      <w:tr>
        <w:trPr>
          <w:trHeight w:val="221"/>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1" w:lineRule="exact"/>
              <w:rPr>
                <w:sz w:val="20"/>
                <w:szCs w:val="20"/>
                <w:color w:val="auto"/>
              </w:rPr>
            </w:pPr>
            <w:r>
              <w:rPr>
                <w:rFonts w:ascii="Times New Roman" w:cs="Times New Roman" w:eastAsia="Times New Roman" w:hAnsi="Times New Roman"/>
                <w:sz w:val="22"/>
                <w:szCs w:val="22"/>
                <w:color w:val="auto"/>
              </w:rPr>
              <w:t>on May 28, 2025; (c) 666,661 shares of Common Stock acquired on November 5, 2024; (d) 6,169,702 shares of</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Common Stock underlying warrants acquired on November 5, 2024, subject to a 49.99% beneficial ownership</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limitation; (e) 185,500 shares of Common Stock underlying warrants acquired pursuant to the warrant purchase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agreement between RSLGH and Double or Nothing LLC dated December 12, 2024, subject to a 4.99% beneficial</w:t>
      </w:r>
    </w:p>
    <w:p>
      <w:pPr>
        <w:spacing w:after="0" w:line="2"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ownership limitation; (f) 18,614 shares of Common Stock underlying warrants issued as a payment of interest pursuant to the November 2024 Note (as defined in Item 4), subject to a 49.99% beneficial ownership limitation; (g) 1,147,471 shares of Common Stock underlying the May 2025 Note (as defined in Item 4), subject to a 49.99% beneficial ownership limitation; (h) 1,526,718 shares of Common Stock underlying the August 2025 Note (as defined in item 4);</w:t>
      </w:r>
    </w:p>
    <w:p>
      <w:pPr>
        <w:spacing w:after="0" w:line="2" w:lineRule="exact"/>
        <w:rPr>
          <w:sz w:val="20"/>
          <w:szCs w:val="20"/>
          <w:color w:val="auto"/>
        </w:rPr>
      </w:pPr>
    </w:p>
    <w:p>
      <w:pPr>
        <w:jc w:val="both"/>
        <w:ind w:left="920" w:hanging="3"/>
        <w:spacing w:after="0" w:line="232" w:lineRule="auto"/>
        <w:tabs>
          <w:tab w:leader="none" w:pos="117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3,166,561 shares of Common Stock underlying the November 2024 Note (as defined in Item 4), subject to a 49.99% beneficial ownership limitation, (j) 43,145 shares of Common Stock that may become issuable as payments of interest pursuant to the November 2024 Note and the May 2025 Note within 60 days, and (k) 141,343 shares of Common Stock underlying warrants issued pursuant to the Shared Services Agreement (as defined in Item 3) (the "SSA Warrants"), subject to a 49.99% beneficial ownership limitation. The November 2024 Note, the May 2025 Note, the August 2025 Note and the SSA Warrants are subject to restrictions on conversion or exercise, as applicable, to the extent required under applicable Nasdaq rules.</w:t>
      </w:r>
    </w:p>
    <w:p>
      <w:pPr>
        <w:sectPr>
          <w:pgSz w:w="11900" w:h="16838" w:orient="portrait"/>
          <w:cols w:equalWidth="0" w:num="1">
            <w:col w:w="11240"/>
          </w:cols>
          <w:pgMar w:left="320" w:top="110" w:right="339" w:bottom="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RYTHM,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2220 Hicks Road, Suite 210, Rolling Meadows, ILLINOIS , 60008.</w:t>
      </w:r>
    </w:p>
    <w:p>
      <w:pPr>
        <w:spacing w:after="0" w:line="20" w:lineRule="exact"/>
        <w:rPr>
          <w:sz w:val="20"/>
          <w:szCs w:val="20"/>
          <w:color w:val="auto"/>
        </w:rPr>
      </w:pPr>
    </w:p>
    <w:p>
      <w:pPr>
        <w:jc w:val="right"/>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SCHEDULE  13D  -  EXPLANATORY  NOTE  This  Amendment  No.  5  to  the  statement  on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("Amendment No. 4") amends the Schedule 13D originally filed by the Reporting Persons (as defined herein)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November 13, 2024 and as amended by Amendment No. 1 thereto on December 16, 2024, Amendment No. 2 thereto on May 22, 2025, Amendment No. 3 thereto on May 29, 2025 and Amendment No.4 thereto on August 27, 2025 (as amended, the "Schedule 13D") and relates to the shares of common stock, par value $0.001 ("Common Stock") of RYTHM, Inc. (the "Company" or the "Issuer") beneficially owned by (1) RSLGH, LLC, a Delaware limited liability company ("RSLGH"); (2) Wellness Mgmt, LLC, a California limited liability company and the sole member of RSLGH ("Wellness Mgmt"); (3) For Success Holding Company, a Delaware corporation and the sole member of Wellness Mgmt ("For Success Holding"); (4) VCP23, LLC, a Delaware limited liability company and the sole shareholder of For Success Holding ("VCP23"); (5) GTI23, Inc., a Delaware corporation and the sole member of VCP23 ("GTI23"); and (6) Green Thumb Industries Inc., a British Columbia corporation and the sole shareholder of GTI23 ("GTI" or "Green Thumb") (RSLGH, Wellness Mgmt, For Success Holding, VCP23, GTI23 and GTI, collectively, the "Reporting Persons"). In accordance with Rule 13d-2 of the Securities Exchange Act of 1934, as amended, except as specifically provided herein, this Amendment No. 5 does not modify any of the information previously reported on the Schedule 13D. Capitalized terms used but not otherwise defined in this Amendment No. 5</w:t>
      </w:r>
    </w:p>
    <w:p>
      <w:pPr>
        <w:spacing w:after="0" w:line="24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shall have the meanings ascribed to them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0"/>
        <w:spacing w:after="0" w:line="247" w:lineRule="auto"/>
        <w:rPr>
          <w:sz w:val="20"/>
          <w:szCs w:val="20"/>
          <w:color w:val="auto"/>
        </w:rPr>
      </w:pPr>
      <w:r>
        <w:rPr>
          <w:rFonts w:ascii="Times New Roman" w:cs="Times New Roman" w:eastAsia="Times New Roman" w:hAnsi="Times New Roman"/>
          <w:sz w:val="21"/>
          <w:szCs w:val="21"/>
          <w:color w:val="auto"/>
        </w:rPr>
        <w:t>Item 3 of the Schedule 13D is hereby amended and supplemented as follows (which shall be in addition to the information previously included in the Schedule 13D): In aggregate, the Reporting Persons are deemed to have voting and dispositive power over 13,098,015 shares of Common Stock of the Company. The SSA Warrants were issued as payment of amounts due pursuant to the Amended and Restated Shared Services Agreement, dated May 20, 2025 (the "Shared Services Agreement"), between the Company and Vision Management Services, LLC ("VMS"). The number of SSA Warrants was determined pursuant to the Shared Services Agreement by dividing the dollar amount of the applicable payments due by $26.68. VMS assigned its right to receive the SSA Warrants to RSLGH. As of the date of this filing, the Reporting Persons have no margin or other loans outstanding secured by Common Stock.</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80"/>
        <w:spacing w:after="0" w:line="244"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(which shall be in addition to the information previously included in the Schedule 13D): --Warrant Issuance-- On October 20, 2025, the SSA Warrants were issued as payment of amounts due pursuant to the Shared Services Agreement. The number of SSA Warrants was determined pursuant to the Shared Services Agreement by dividing the dollar amount of the applicable payments due by $26.68. VMS assigned its right to receive the SSA Warrants to RSLGH. --General-- To the extent the actions described herein may be deemed to constitute a "control purpose" with respect to the Securities Exchange Act of 1934, as amended, and the regulations thereunder, the Reporting Persons have such a purpose. Except as noted in this Schedule 13D, the Reporting Persons do not have any plans or proposals, which relate to, or would result in, any of the matters referred to in paragraphs (b) through (j), inclusive of Item (4) of Schedule 13D. The Reporting Persons may, at any time and from time to time, review or reconsider their positions and formulate plans or proposals with respect thereto.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of directors of the Issuer (the "Board"), engaging in discussions with stockholders of the Issuer or other third parties about the Issuer and the Reporting Persons' investment, including potential business combinations or dispositions involving the Issuer or certain of its businesses, making recommendations or proposals to the Issuer</w:t>
      </w:r>
    </w:p>
    <w:p>
      <w:pPr>
        <w:sectPr>
          <w:pgSz w:w="11900" w:h="16838" w:orient="portrait"/>
          <w:cols w:equalWidth="0" w:num="1">
            <w:col w:w="11160"/>
          </w:cols>
          <w:pgMar w:left="360" w:top="567" w:right="379" w:bottom="0" w:gutter="0" w:footer="0" w:header="0"/>
        </w:sectPr>
      </w:pPr>
    </w:p>
    <w:bookmarkStart w:id="8" w:name="page9"/>
    <w:bookmarkEnd w:id="8"/>
    <w:p>
      <w:pPr>
        <w:ind w:left="920" w:right="500"/>
        <w:spacing w:after="0"/>
        <w:rPr>
          <w:sz w:val="20"/>
          <w:szCs w:val="20"/>
          <w:color w:val="auto"/>
        </w:rPr>
      </w:pPr>
      <w:r>
        <w:rPr>
          <w:rFonts w:ascii="Times New Roman" w:cs="Times New Roman" w:eastAsia="Times New Roman" w:hAnsi="Times New Roman"/>
          <w:sz w:val="22"/>
          <w:szCs w:val="22"/>
          <w:color w:val="auto"/>
        </w:rPr>
        <w:t>concerning changes to the capitalization of the Issuer, ownership structure, Board structure (including Board composition), potential business combinations or dispositions involving the Issuer or certain of its businesses, or suggestions for improving the Issuer's financial and/or operational performance, purchasing additional shares securities of the Issuer, and/or selling some or all of the Investors securities in the Issuer.</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aggregate percentage of Common Stock reported owned by each Reporting Person is based upon approximately</w:t>
      </w:r>
    </w:p>
    <w:p>
      <w:pPr>
        <w:spacing w:after="0" w:line="26" w:lineRule="exact"/>
        <w:rPr>
          <w:sz w:val="20"/>
          <w:szCs w:val="20"/>
          <w:color w:val="auto"/>
        </w:rPr>
      </w:pPr>
    </w:p>
    <w:p>
      <w:pPr>
        <w:ind w:left="920" w:right="40" w:hanging="912"/>
        <w:spacing w:after="0" w:line="237" w:lineRule="auto"/>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2,002,568 shares of Common Stock outstanding as of October 20, 2025. As of the date hereof, each Reporting Person may be deemed to beneficially own 49.99% of the outstanding shares of Common Stock of the Issuer.</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Because Wellness Mgmt is the sole member of RSLGH, For Success Holding is the sole member of Wellness Mgmt,</w:t>
      </w:r>
    </w:p>
    <w:p>
      <w:pPr>
        <w:spacing w:after="0" w:line="25" w:lineRule="exact"/>
        <w:rPr>
          <w:rFonts w:ascii="Times New Roman" w:cs="Times New Roman" w:eastAsia="Times New Roman" w:hAnsi="Times New Roman"/>
          <w:sz w:val="22"/>
          <w:szCs w:val="22"/>
          <w:color w:val="auto"/>
        </w:rPr>
      </w:pPr>
    </w:p>
    <w:p>
      <w:pPr>
        <w:ind w:left="920" w:right="200" w:hanging="912"/>
        <w:spacing w:after="0" w:line="184"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VCP23 is the sole shareholder of For Success Holding, GTI23 is the sole member of VCP23, and GTI is the sole shareholder of GTI23 (collectively, other than RSLGH, the "GTI Parties"), the GTI Parties are deemed to share the voting and dispositive power over the 13,098,015 shares of Common Stock directly beneficially owned by RSLGH.</w:t>
      </w:r>
    </w:p>
    <w:p>
      <w:pPr>
        <w:spacing w:after="0" w:line="18" w:lineRule="exact"/>
        <w:rPr>
          <w:rFonts w:ascii="Times New Roman" w:cs="Times New Roman" w:eastAsia="Times New Roman" w:hAnsi="Times New Roman"/>
          <w:sz w:val="42"/>
          <w:szCs w:val="42"/>
          <w:color w:val="auto"/>
          <w:vertAlign w:val="subscript"/>
        </w:rPr>
      </w:pPr>
    </w:p>
    <w:p>
      <w:pPr>
        <w:ind w:left="920" w:right="320" w:hanging="912"/>
        <w:spacing w:after="0" w:line="185" w:lineRule="auto"/>
        <w:tabs>
          <w:tab w:leader="none" w:pos="920" w:val="left"/>
        </w:tabs>
        <w:numPr>
          <w:ilvl w:val="0"/>
          <w:numId w:val="1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have not made any transactions in the Common Stock within the past 60 days other than as provided in Item 4 above, including Item 4 of the Schedule 13D, including all amendments thereto.</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60"/>
        <w:spacing w:after="0" w:line="256" w:lineRule="auto"/>
        <w:rPr>
          <w:sz w:val="20"/>
          <w:szCs w:val="20"/>
          <w:color w:val="auto"/>
        </w:rPr>
      </w:pPr>
      <w:r>
        <w:rPr>
          <w:rFonts w:ascii="Times New Roman" w:cs="Times New Roman" w:eastAsia="Times New Roman" w:hAnsi="Times New Roman"/>
          <w:sz w:val="22"/>
          <w:szCs w:val="22"/>
          <w:color w:val="auto"/>
        </w:rPr>
        <w:t>See the disclosure in Item 4 and Item 5 above and in the Schedule 13D, including all amendments thereto, which is incorporated into this Item 6, and see the joint filing agreement of the Reporting Persons.</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99.1 - Joint Filing Agreement -</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https://www.sec.gov/Archives/edgar/data/1800637/000121390025047011/ea024332701ex99-1_agrify.htm 99.2 -</w:t>
      </w:r>
    </w:p>
    <w:p>
      <w:pPr>
        <w:ind w:left="920"/>
        <w:spacing w:after="0" w:line="230" w:lineRule="auto"/>
        <w:rPr>
          <w:sz w:val="20"/>
          <w:szCs w:val="20"/>
          <w:color w:val="auto"/>
        </w:rPr>
      </w:pPr>
      <w:r>
        <w:rPr>
          <w:rFonts w:ascii="Times New Roman" w:cs="Times New Roman" w:eastAsia="Times New Roman" w:hAnsi="Times New Roman"/>
          <w:sz w:val="22"/>
          <w:szCs w:val="22"/>
          <w:color w:val="auto"/>
        </w:rPr>
        <w:t>Purchase Agreement dated November 5,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https://www.sec.gov/Archives/edgar/data/1800637/000121390024097577/ea022100501ex99-2_agrify.htm 99.3 -</w:t>
      </w:r>
    </w:p>
    <w:p>
      <w:pPr>
        <w:ind w:left="920"/>
        <w:spacing w:after="0" w:line="230" w:lineRule="auto"/>
        <w:rPr>
          <w:sz w:val="20"/>
          <w:szCs w:val="20"/>
          <w:color w:val="auto"/>
        </w:rPr>
      </w:pPr>
      <w:r>
        <w:rPr>
          <w:rFonts w:ascii="Times New Roman" w:cs="Times New Roman" w:eastAsia="Times New Roman" w:hAnsi="Times New Roman"/>
          <w:sz w:val="22"/>
          <w:szCs w:val="22"/>
          <w:color w:val="auto"/>
        </w:rPr>
        <w:t>Secured Convertible Note dated November 5,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https://www.sec.gov/Archives/edgar/data/1800637/000121390024094613/ea022010001ex4-1_agrify.htm 99.4 -</w:t>
      </w:r>
    </w:p>
    <w:p>
      <w:pPr>
        <w:ind w:left="920"/>
        <w:spacing w:after="0" w:line="230" w:lineRule="auto"/>
        <w:rPr>
          <w:sz w:val="20"/>
          <w:szCs w:val="20"/>
          <w:color w:val="auto"/>
        </w:rPr>
      </w:pPr>
      <w:r>
        <w:rPr>
          <w:rFonts w:ascii="Times New Roman" w:cs="Times New Roman" w:eastAsia="Times New Roman" w:hAnsi="Times New Roman"/>
          <w:sz w:val="22"/>
          <w:szCs w:val="22"/>
          <w:color w:val="auto"/>
        </w:rPr>
        <w:t>Purchase Agreement dated December 12, 2024 -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https://www.sec.gov/Archives/edgar/data/1800637/000121390024109041/ea022484801ex99-4_agrify.htm 99.5 -</w:t>
      </w:r>
    </w:p>
    <w:p>
      <w:pPr>
        <w:ind w:left="920"/>
        <w:spacing w:after="0" w:line="230" w:lineRule="auto"/>
        <w:rPr>
          <w:sz w:val="20"/>
          <w:szCs w:val="20"/>
          <w:color w:val="auto"/>
        </w:rPr>
      </w:pPr>
      <w:r>
        <w:rPr>
          <w:rFonts w:ascii="Times New Roman" w:cs="Times New Roman" w:eastAsia="Times New Roman" w:hAnsi="Times New Roman"/>
          <w:sz w:val="22"/>
          <w:szCs w:val="22"/>
          <w:color w:val="auto"/>
        </w:rPr>
        <w:t>Form of Secured Convertible Note dated May 22, 2025 -</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https://www.sec.gov/Archives/edgar/data/1800637/000121390025046875/ea024318601ex4-2_agrify.htm 99.6 - Form</w:t>
      </w:r>
    </w:p>
    <w:p>
      <w:pPr>
        <w:ind w:left="920"/>
        <w:spacing w:after="0" w:line="231" w:lineRule="auto"/>
        <w:rPr>
          <w:sz w:val="20"/>
          <w:szCs w:val="20"/>
          <w:color w:val="auto"/>
        </w:rPr>
      </w:pPr>
      <w:r>
        <w:rPr>
          <w:rFonts w:ascii="Times New Roman" w:cs="Times New Roman" w:eastAsia="Times New Roman" w:hAnsi="Times New Roman"/>
          <w:sz w:val="22"/>
          <w:szCs w:val="22"/>
          <w:color w:val="auto"/>
        </w:rPr>
        <w:t>of Pre-Funded Common Stock Purchase Warrant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https://www.sec.gov/Archives/edgar/data/1800637/000121390025046875/ea024318601ex4-1_agrify.htm 99.7 -</w:t>
      </w:r>
    </w:p>
    <w:p>
      <w:pPr>
        <w:ind w:left="920"/>
        <w:spacing w:after="0" w:line="231" w:lineRule="auto"/>
        <w:rPr>
          <w:sz w:val="20"/>
          <w:szCs w:val="20"/>
          <w:color w:val="auto"/>
        </w:rPr>
      </w:pPr>
      <w:r>
        <w:rPr>
          <w:rFonts w:ascii="Times New Roman" w:cs="Times New Roman" w:eastAsia="Times New Roman" w:hAnsi="Times New Roman"/>
          <w:sz w:val="22"/>
          <w:szCs w:val="22"/>
          <w:color w:val="auto"/>
        </w:rPr>
        <w:t>Amendment and Waiver to Secured Convertible Note dated May 8, 2025 -</w:t>
      </w:r>
    </w:p>
    <w:p>
      <w:pPr>
        <w:ind w:left="920"/>
        <w:spacing w:after="0" w:line="230" w:lineRule="auto"/>
        <w:rPr>
          <w:sz w:val="20"/>
          <w:szCs w:val="20"/>
          <w:color w:val="auto"/>
        </w:rPr>
      </w:pPr>
      <w:r>
        <w:rPr>
          <w:rFonts w:ascii="Times New Roman" w:cs="Times New Roman" w:eastAsia="Times New Roman" w:hAnsi="Times New Roman"/>
          <w:sz w:val="22"/>
          <w:szCs w:val="22"/>
          <w:color w:val="auto"/>
        </w:rPr>
        <w:t>sec.gov/Archives/edgar/data/1800637/000121390025041201/ea023943501ex4-1_agrify.htm 99.8 - Second</w:t>
      </w:r>
    </w:p>
    <w:p>
      <w:pPr>
        <w:ind w:left="920"/>
        <w:spacing w:after="0" w:line="231" w:lineRule="auto"/>
        <w:rPr>
          <w:sz w:val="20"/>
          <w:szCs w:val="20"/>
          <w:color w:val="auto"/>
        </w:rPr>
      </w:pPr>
      <w:r>
        <w:rPr>
          <w:rFonts w:ascii="Times New Roman" w:cs="Times New Roman" w:eastAsia="Times New Roman" w:hAnsi="Times New Roman"/>
          <w:sz w:val="22"/>
          <w:szCs w:val="22"/>
          <w:color w:val="auto"/>
        </w:rPr>
        <w:t>Amendment to Secured Convertible Note, dated May 22, 2025 -</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https://www.sec.gov/Archives/edgar/data/1800637/000121390025046875/ea024318601ex4-3_agrify.htm 99.9 -</w:t>
      </w:r>
    </w:p>
    <w:p>
      <w:pPr>
        <w:ind w:left="920"/>
        <w:spacing w:after="0" w:line="231" w:lineRule="auto"/>
        <w:rPr>
          <w:sz w:val="20"/>
          <w:szCs w:val="20"/>
          <w:color w:val="auto"/>
        </w:rPr>
      </w:pPr>
      <w:r>
        <w:rPr>
          <w:rFonts w:ascii="Times New Roman" w:cs="Times New Roman" w:eastAsia="Times New Roman" w:hAnsi="Times New Roman"/>
          <w:sz w:val="22"/>
          <w:szCs w:val="22"/>
          <w:color w:val="auto"/>
        </w:rPr>
        <w:t>Purchase Agreement, dated May 20, 2025, by and between VCP IP Holdings, LLC and Agrify Corporation -</w:t>
      </w:r>
    </w:p>
    <w:p>
      <w:pPr>
        <w:ind w:left="920"/>
        <w:spacing w:after="0" w:line="230"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https://www.sec.gov/Archives/edgar/data/1800637/000121390025046875/ea024318601ex10-1_agrify.htm 99.10 -</w:t>
      </w:r>
    </w:p>
    <w:p>
      <w:pPr>
        <w:ind w:left="920"/>
        <w:spacing w:after="0" w:line="231" w:lineRule="auto"/>
        <w:rPr>
          <w:sz w:val="20"/>
          <w:szCs w:val="20"/>
          <w:color w:val="auto"/>
        </w:rPr>
      </w:pPr>
      <w:r>
        <w:rPr>
          <w:rFonts w:ascii="Times New Roman" w:cs="Times New Roman" w:eastAsia="Times New Roman" w:hAnsi="Times New Roman"/>
          <w:sz w:val="22"/>
          <w:szCs w:val="22"/>
          <w:color w:val="auto"/>
        </w:rPr>
        <w:t>Trademark and Recipe License Agreement, dated May 20, 2025, by and between MC Brands LLC and GTI Core,</w:t>
      </w:r>
    </w:p>
    <w:p>
      <w:pPr>
        <w:ind w:left="920"/>
        <w:spacing w:after="0" w:line="230" w:lineRule="auto"/>
        <w:rPr>
          <w:sz w:val="20"/>
          <w:szCs w:val="20"/>
          <w:color w:val="auto"/>
        </w:rPr>
      </w:pPr>
      <w:r>
        <w:rPr>
          <w:rFonts w:ascii="Times New Roman" w:cs="Times New Roman" w:eastAsia="Times New Roman" w:hAnsi="Times New Roman"/>
          <w:sz w:val="22"/>
          <w:szCs w:val="22"/>
          <w:color w:val="auto"/>
        </w:rPr>
        <w:t>LLC - https://www.sec.gov/Archives/edgar/data/1800637/000121390025046875/ea024318601ex10-2_agrify.htm</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99.11 - Amended and Restated Shared Services Agreement, dated May 22, 2025, by and between Agrify Corporation</w:t>
      </w:r>
    </w:p>
    <w:p>
      <w:pPr>
        <w:ind w:left="920"/>
        <w:spacing w:after="0" w:line="231" w:lineRule="auto"/>
        <w:rPr>
          <w:sz w:val="20"/>
          <w:szCs w:val="20"/>
          <w:color w:val="auto"/>
        </w:rPr>
      </w:pPr>
      <w:r>
        <w:rPr>
          <w:rFonts w:ascii="Times New Roman" w:cs="Times New Roman" w:eastAsia="Times New Roman" w:hAnsi="Times New Roman"/>
          <w:sz w:val="22"/>
          <w:szCs w:val="22"/>
          <w:color w:val="auto"/>
        </w:rPr>
        <w:t>and Vision Management Services, LLC -</w:t>
      </w:r>
    </w:p>
    <w:p>
      <w:pPr>
        <w:ind w:left="920"/>
        <w:spacing w:after="0" w:line="231" w:lineRule="auto"/>
        <w:rPr>
          <w:sz w:val="20"/>
          <w:szCs w:val="20"/>
          <w:color w:val="auto"/>
        </w:rPr>
      </w:pPr>
      <w:r>
        <w:rPr>
          <w:rFonts w:ascii="Times New Roman" w:cs="Times New Roman" w:eastAsia="Times New Roman" w:hAnsi="Times New Roman"/>
          <w:sz w:val="22"/>
          <w:szCs w:val="22"/>
          <w:color w:val="auto"/>
        </w:rPr>
        <w:t>https://www.sec.gov/Archives/edgar/data/1800637/000121390025046875/ea024318601ex10-5_agrify.htm 99.12 -</w:t>
      </w:r>
    </w:p>
    <w:p>
      <w:pPr>
        <w:ind w:left="920"/>
        <w:spacing w:after="0" w:line="231" w:lineRule="auto"/>
        <w:rPr>
          <w:sz w:val="20"/>
          <w:szCs w:val="20"/>
          <w:color w:val="auto"/>
        </w:rPr>
      </w:pPr>
      <w:r>
        <w:rPr>
          <w:rFonts w:ascii="Times New Roman" w:cs="Times New Roman" w:eastAsia="Times New Roman" w:hAnsi="Times New Roman"/>
          <w:sz w:val="22"/>
          <w:szCs w:val="22"/>
          <w:color w:val="auto"/>
        </w:rPr>
        <w:t>Current Report on Form 8-K dated May 20, 2025 as filed on May 22, 2025 -</w:t>
      </w:r>
    </w:p>
    <w:p>
      <w:pPr>
        <w:ind w:left="920"/>
        <w:spacing w:after="0"/>
        <w:rPr>
          <w:sz w:val="20"/>
          <w:szCs w:val="20"/>
          <w:color w:val="auto"/>
        </w:rPr>
      </w:pPr>
      <w:r>
        <w:rPr>
          <w:rFonts w:ascii="Times New Roman" w:cs="Times New Roman" w:eastAsia="Times New Roman" w:hAnsi="Times New Roman"/>
          <w:sz w:val="21"/>
          <w:szCs w:val="21"/>
          <w:color w:val="auto"/>
        </w:rPr>
        <w:t>https://www.sec.gov/Archives/edgar/data/1800637/000121390025046875/ea0243186-8k_agrify.htm 99.13 - Form of</w:t>
      </w:r>
    </w:p>
    <w:p>
      <w:pPr>
        <w:ind w:left="920"/>
        <w:spacing w:after="0" w:line="231" w:lineRule="auto"/>
        <w:rPr>
          <w:sz w:val="20"/>
          <w:szCs w:val="20"/>
          <w:color w:val="auto"/>
        </w:rPr>
      </w:pPr>
      <w:r>
        <w:rPr>
          <w:rFonts w:ascii="Times New Roman" w:cs="Times New Roman" w:eastAsia="Times New Roman" w:hAnsi="Times New Roman"/>
          <w:sz w:val="22"/>
          <w:szCs w:val="22"/>
          <w:color w:val="auto"/>
        </w:rPr>
        <w:t>Secured Convertible Note dated August 25, 2025 -</w:t>
      </w:r>
    </w:p>
    <w:p>
      <w:pPr>
        <w:ind w:left="920"/>
        <w:spacing w:after="0" w:line="231" w:lineRule="auto"/>
        <w:rPr>
          <w:sz w:val="20"/>
          <w:szCs w:val="20"/>
          <w:color w:val="auto"/>
        </w:rPr>
      </w:pPr>
      <w:r>
        <w:rPr>
          <w:rFonts w:ascii="Times New Roman" w:cs="Times New Roman" w:eastAsia="Times New Roman" w:hAnsi="Times New Roman"/>
          <w:sz w:val="22"/>
          <w:szCs w:val="22"/>
          <w:color w:val="auto"/>
        </w:rPr>
        <w:t>sec.gov/Archives/edgar/data/1800637/000121390025081148/ea025469501ex4-1_agrify.htm 99.14 - Form of Pre-</w:t>
      </w:r>
    </w:p>
    <w:p>
      <w:pPr>
        <w:ind w:left="920"/>
        <w:spacing w:after="0" w:line="231" w:lineRule="auto"/>
        <w:rPr>
          <w:sz w:val="20"/>
          <w:szCs w:val="20"/>
          <w:color w:val="auto"/>
        </w:rPr>
      </w:pPr>
      <w:r>
        <w:rPr>
          <w:rFonts w:ascii="Times New Roman" w:cs="Times New Roman" w:eastAsia="Times New Roman" w:hAnsi="Times New Roman"/>
          <w:sz w:val="22"/>
          <w:szCs w:val="22"/>
          <w:color w:val="auto"/>
        </w:rPr>
        <w:t>Funded Common Stock Purchase Warrant -</w:t>
      </w:r>
    </w:p>
    <w:p>
      <w:pPr>
        <w:ind w:left="920"/>
        <w:spacing w:after="0" w:line="230" w:lineRule="auto"/>
        <w:rPr>
          <w:sz w:val="20"/>
          <w:szCs w:val="20"/>
          <w:color w:val="auto"/>
        </w:rPr>
      </w:pPr>
      <w:r>
        <w:rPr>
          <w:rFonts w:ascii="Times New Roman" w:cs="Times New Roman" w:eastAsia="Times New Roman" w:hAnsi="Times New Roman"/>
          <w:sz w:val="22"/>
          <w:szCs w:val="22"/>
          <w:color w:val="auto"/>
        </w:rPr>
        <w:t>sec.gov/Archives/edgar/data/1800637/000121390025081148/ea025469501ex4-2_agrify.htm 99.15- Current Report</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on Form 8-K as filed on August 27, 2025 - sec.gov/Archives/edgar/data/1800637/000121390025081148/ea0254695-</w:t>
      </w:r>
    </w:p>
    <w:p>
      <w:pPr>
        <w:ind w:left="920"/>
        <w:spacing w:after="0" w:line="231" w:lineRule="auto"/>
        <w:rPr>
          <w:sz w:val="20"/>
          <w:szCs w:val="20"/>
          <w:color w:val="auto"/>
        </w:rPr>
      </w:pPr>
      <w:r>
        <w:rPr>
          <w:rFonts w:ascii="Times New Roman" w:cs="Times New Roman" w:eastAsia="Times New Roman" w:hAnsi="Times New Roman"/>
          <w:sz w:val="22"/>
          <w:szCs w:val="22"/>
          <w:color w:val="auto"/>
        </w:rPr>
        <w:t>8k_agrify.htm 99.16 - Purchase Agreement, dated August 27, 2025, by and between VCP23, LLC and Agrify</w:t>
      </w:r>
    </w:p>
    <w:p>
      <w:pPr>
        <w:ind w:left="920"/>
        <w:spacing w:after="0" w:line="231" w:lineRule="auto"/>
        <w:rPr>
          <w:sz w:val="20"/>
          <w:szCs w:val="20"/>
          <w:color w:val="auto"/>
        </w:rPr>
      </w:pPr>
      <w:r>
        <w:rPr>
          <w:rFonts w:ascii="Times New Roman" w:cs="Times New Roman" w:eastAsia="Times New Roman" w:hAnsi="Times New Roman"/>
          <w:sz w:val="22"/>
          <w:szCs w:val="22"/>
          <w:color w:val="auto"/>
        </w:rPr>
        <w:t>Corporation - sec.gov/Archives/edgar/data/1800637/000121390025081148/ea025469501ex10-1_agrify.htm 99.17 -</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Trademark and Recipe License Agreement, dated August 27, 2025, by and between VCP IP Holdings, LLC and GTI</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Core, LLC - sec.gov/Archives/edgar/data/1800637/000121390025081148/ea025469501ex10-2_agrify.htm</w:t>
      </w: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RSLGH, LLC</w:t>
      </w:r>
    </w:p>
    <w:p>
      <w:pPr>
        <w:spacing w:after="0" w:line="152"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Bret Kravitz</w:t>
      </w:r>
    </w:p>
    <w:p>
      <w:pPr>
        <w:spacing w:after="0" w:line="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color w:val="auto"/>
        </w:rPr>
        <w:t>Name/Title: Bret Kravitz/Corporate Secretary</w:t>
      </w:r>
    </w:p>
    <w:p>
      <w:pPr>
        <w:spacing w:after="0" w:line="44" w:lineRule="exact"/>
        <w:rPr>
          <w:sz w:val="20"/>
          <w:szCs w:val="20"/>
          <w:color w:val="auto"/>
        </w:rPr>
      </w:pPr>
    </w:p>
    <w:p>
      <w:pPr>
        <w:ind w:left="416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10/20/2025</w:t>
      </w:r>
    </w:p>
    <w:p>
      <w:pPr>
        <w:sectPr>
          <w:pgSz w:w="11900" w:h="16838" w:orient="portrait"/>
          <w:cols w:equalWidth="0" w:num="1">
            <w:col w:w="11140"/>
          </w:cols>
          <w:pgMar w:left="360" w:top="111" w:right="399" w:bottom="0" w:gutter="0" w:footer="0" w:header="0"/>
        </w:sectPr>
      </w:pPr>
    </w:p>
    <w:bookmarkStart w:id="9" w:name="page10"/>
    <w:bookmarkEnd w:id="9"/>
    <w:p>
      <w:pPr>
        <w:ind w:left="1460"/>
        <w:spacing w:after="0"/>
        <w:rPr>
          <w:sz w:val="20"/>
          <w:szCs w:val="20"/>
          <w:color w:val="auto"/>
        </w:rPr>
      </w:pPr>
      <w:r>
        <w:rPr>
          <w:rFonts w:ascii="Times New Roman" w:cs="Times New Roman" w:eastAsia="Times New Roman" w:hAnsi="Times New Roman"/>
          <w:sz w:val="22"/>
          <w:szCs w:val="22"/>
          <w:color w:val="auto"/>
        </w:rPr>
        <w:t>WELLNESS MGMT, LLC</w:t>
      </w:r>
    </w:p>
    <w:p>
      <w:pPr>
        <w:spacing w:after="0" w:line="153"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Benjamin Kovler/Authorized Signatory</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10/20/2025</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FOR SUCCESS HOLDING COMPANY</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Benjamin Kovler/CEO &amp; President</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10/20/2025</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VCP23, LLC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Kovler</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Benjamin Kovler/Manager</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10/20/2025</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GTI23, INC.</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3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Benjamin Kovler</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35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Benjamin Kovler/Director &amp; Authorized</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Signatory</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3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10/20/2025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GREEN THUMB INDUSTRIES INC.</w:t>
      </w:r>
    </w:p>
    <w:p>
      <w:pPr>
        <w:spacing w:after="0" w:line="152" w:lineRule="exact"/>
        <w:rPr>
          <w:sz w:val="20"/>
          <w:szCs w:val="20"/>
          <w:color w:val="auto"/>
        </w:rPr>
      </w:pPr>
    </w:p>
    <w:tbl>
      <w:tblPr>
        <w:tblLayout w:type="fixed"/>
        <w:tblInd w:w="4580" w:type="dxa"/>
        <w:tblCellMar>
          <w:top w:w="0" w:type="dxa"/>
          <w:left w:w="0" w:type="dxa"/>
          <w:bottom w:w="0" w:type="dxa"/>
          <w:right w:w="0" w:type="dxa"/>
        </w:tblCellMar>
      </w:tblP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Benjamin Kovler</w:t>
            </w: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Benjamin Kovler/Chairman and Chief Executive</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Officer</w:t>
            </w:r>
          </w:p>
        </w:tc>
        <w:tc>
          <w:tcPr>
            <w:tcW w:w="0" w:type="dxa"/>
            <w:vAlign w:val="bottom"/>
          </w:tcPr>
          <w:p>
            <w:pPr>
              <w:spacing w:after="0"/>
              <w:rPr>
                <w:sz w:val="1"/>
                <w:szCs w:val="1"/>
                <w:color w:val="auto"/>
              </w:rPr>
            </w:pPr>
          </w:p>
        </w:tc>
      </w:tr>
      <w:tr>
        <w:trPr>
          <w:trHeight w:val="297"/>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2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10/20/2025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880"/>
      </w:cols>
      <w:pgMar w:left="144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2"/>
      <w:numFmt w:val="bullet"/>
      <w:start w:val="1"/>
    </w:lvl>
  </w:abstractNum>
  <w:abstractNum w:abstractNumId="1">
    <w:nsid w:val="12200854"/>
    <w:multiLevelType w:val="hybridMultilevel"/>
    <w:lvl w:ilvl="0">
      <w:lvlJc w:val="left"/>
      <w:lvlText w:val="3"/>
      <w:numFmt w:val="bullet"/>
      <w:start w:val="1"/>
    </w:lvl>
  </w:abstractNum>
  <w:abstractNum w:abstractNumId="2">
    <w:nsid w:val="4DB127F8"/>
    <w:multiLevelType w:val="hybridMultilevel"/>
    <w:lvl w:ilvl="0">
      <w:lvlJc w:val="left"/>
      <w:lvlText w:val="2"/>
      <w:numFmt w:val="bullet"/>
      <w:start w:val="1"/>
    </w:lvl>
  </w:abstractNum>
  <w:abstractNum w:abstractNumId="3">
    <w:nsid w:val="216231B"/>
    <w:multiLevelType w:val="hybridMultilevel"/>
    <w:lvl w:ilvl="0">
      <w:lvlJc w:val="left"/>
      <w:lvlText w:val="3"/>
      <w:numFmt w:val="bullet"/>
      <w:start w:val="1"/>
    </w:lvl>
  </w:abstractNum>
  <w:abstractNum w:abstractNumId="4">
    <w:nsid w:val="1F16E9E8"/>
    <w:multiLevelType w:val="hybridMultilevel"/>
    <w:lvl w:ilvl="0">
      <w:lvlJc w:val="left"/>
      <w:lvlText w:val="1"/>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3"/>
      <w:numFmt w:val="bullet"/>
      <w:start w:val="1"/>
    </w:lvl>
  </w:abstractNum>
  <w:abstractNum w:abstractNumId="7">
    <w:nsid w:val="140E0F76"/>
    <w:multiLevelType w:val="hybridMultilevel"/>
    <w:lvl w:ilvl="0">
      <w:lvlJc w:val="left"/>
      <w:lvlText w:val="2"/>
      <w:numFmt w:val="bullet"/>
      <w:start w:val="1"/>
    </w:lvl>
  </w:abstractNum>
  <w:abstractNum w:abstractNumId="8">
    <w:nsid w:val="3352255A"/>
    <w:multiLevelType w:val="hybridMultilevel"/>
    <w:lvl w:ilvl="0">
      <w:lvlJc w:val="left"/>
      <w:lvlText w:val="3"/>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2"/>
      <w:numFmt w:val="bullet"/>
      <w:start w:val="1"/>
    </w:lvl>
  </w:abstractNum>
  <w:abstractNum w:abstractNumId="11">
    <w:nsid w:val="7FDCC233"/>
    <w:multiLevelType w:val="hybridMultilevel"/>
    <w:lvl w:ilvl="0">
      <w:lvlJc w:val="left"/>
      <w:lvlText w:val="3"/>
      <w:numFmt w:val="bullet"/>
      <w:start w:val="1"/>
    </w:lvl>
  </w:abstractNum>
  <w:abstractNum w:abstractNumId="12">
    <w:nsid w:val="1BEFD79F"/>
    <w:multiLevelType w:val="hybridMultilevel"/>
    <w:lvl w:ilvl="0">
      <w:lvlJc w:val="left"/>
      <w:lvlText w:val="2"/>
      <w:numFmt w:val="bullet"/>
      <w:start w:val="1"/>
    </w:lvl>
  </w:abstractNum>
  <w:abstractNum w:abstractNumId="13">
    <w:nsid w:val="41A7C4C9"/>
    <w:multiLevelType w:val="hybridMultilevel"/>
    <w:lvl w:ilvl="0">
      <w:lvlJc w:val="left"/>
      <w:lvlText w:val="3"/>
      <w:numFmt w:val="bullet"/>
      <w:start w:val="1"/>
    </w:lvl>
  </w:abstractNum>
  <w:abstractNum w:abstractNumId="14">
    <w:nsid w:val="6B68079A"/>
    <w:multiLevelType w:val="hybridMultilevel"/>
    <w:lvl w:ilvl="0">
      <w:lvlJc w:val="left"/>
      <w:lvlText w:val="(%1)"/>
      <w:numFmt w:val="lowerRoman"/>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2025-10-20T16:54:59Z</dcterms:created>
  <dcterms:modified xsi:type="dcterms:W3CDTF">2025-10-20T16:54:59Z</dcterms:modified>
</cp:coreProperties>
</file>