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26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left="26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left="26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left="2680"/>
        <w:spacing w:after="0"/>
        <w:rPr>
          <w:sz w:val="20"/>
          <w:szCs w:val="20"/>
          <w:color w:val="auto"/>
        </w:rPr>
      </w:pPr>
      <w:r>
        <w:rPr>
          <w:rFonts w:ascii="Arial" w:cs="Arial" w:eastAsia="Arial" w:hAnsi="Arial"/>
          <w:sz w:val="18"/>
          <w:szCs w:val="18"/>
          <w:b w:val="1"/>
          <w:bCs w:val="1"/>
          <w:color w:val="auto"/>
        </w:rPr>
        <w:t>FORM 12b-25</w:t>
      </w:r>
    </w:p>
    <w:p>
      <w:pPr>
        <w:spacing w:after="0" w:line="27" w:lineRule="exact"/>
        <w:rPr>
          <w:sz w:val="24"/>
          <w:szCs w:val="24"/>
          <w:color w:val="auto"/>
        </w:rPr>
      </w:pPr>
    </w:p>
    <w:p>
      <w:pPr>
        <w:jc w:val="center"/>
        <w:ind w:left="2560"/>
        <w:spacing w:after="0"/>
        <w:rPr>
          <w:sz w:val="20"/>
          <w:szCs w:val="20"/>
          <w:color w:val="auto"/>
        </w:rPr>
      </w:pPr>
      <w:r>
        <w:rPr>
          <w:rFonts w:ascii="Arial" w:cs="Arial" w:eastAsia="Arial" w:hAnsi="Arial"/>
          <w:sz w:val="18"/>
          <w:szCs w:val="18"/>
          <w:b w:val="1"/>
          <w:bCs w:val="1"/>
          <w:color w:val="auto"/>
        </w:rPr>
        <w:t>NOTIFICATION OF LATE FILING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spacing w:after="0" w:line="207" w:lineRule="exact"/>
        <w:tabs>
          <w:tab w:leader="none" w:pos="1280" w:val="left"/>
        </w:tabs>
        <w:rPr>
          <w:sz w:val="20"/>
          <w:szCs w:val="20"/>
          <w:color w:val="auto"/>
        </w:rPr>
      </w:pPr>
      <w:r>
        <w:rPr>
          <w:rFonts w:ascii="Arial" w:cs="Arial" w:eastAsia="Arial" w:hAnsi="Arial"/>
          <w:sz w:val="18"/>
          <w:szCs w:val="18"/>
          <w:i w:val="1"/>
          <w:iCs w:val="1"/>
          <w:color w:val="auto"/>
        </w:rPr>
        <w:t>(Check One)</w:t>
      </w:r>
      <w:r>
        <w:rPr>
          <w:rFonts w:ascii="Arial" w:cs="Arial" w:eastAsia="Arial" w:hAnsi="Arial"/>
          <w:sz w:val="18"/>
          <w:szCs w:val="18"/>
          <w:color w:val="auto"/>
        </w:rPr>
        <w: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Form 10-K</w:t>
      </w:r>
      <w:r>
        <w:rPr>
          <w:rFonts w:ascii="MS PGothic" w:cs="MS PGothic" w:eastAsia="MS PGothic" w:hAnsi="MS PGothic"/>
          <w:sz w:val="17"/>
          <w:szCs w:val="17"/>
          <w:color w:val="auto"/>
        </w:rPr>
        <w:t xml:space="preserve">  ☐ </w:t>
      </w:r>
      <w:r>
        <w:rPr>
          <w:rFonts w:ascii="Arial" w:cs="Arial" w:eastAsia="Arial" w:hAnsi="Arial"/>
          <w:sz w:val="17"/>
          <w:szCs w:val="17"/>
          <w:color w:val="auto"/>
        </w:rPr>
        <w:t>Form 20-F</w:t>
      </w:r>
      <w:r>
        <w:rPr>
          <w:rFonts w:ascii="MS PGothic" w:cs="MS PGothic" w:eastAsia="MS PGothic" w:hAnsi="MS PGothic"/>
          <w:sz w:val="17"/>
          <w:szCs w:val="17"/>
          <w:color w:val="auto"/>
        </w:rPr>
        <w:t xml:space="preserve">  ☐ </w:t>
      </w:r>
      <w:r>
        <w:rPr>
          <w:rFonts w:ascii="Arial" w:cs="Arial" w:eastAsia="Arial" w:hAnsi="Arial"/>
          <w:sz w:val="17"/>
          <w:szCs w:val="17"/>
          <w:color w:val="auto"/>
        </w:rPr>
        <w:t>Form 11-K</w:t>
      </w:r>
      <w:r>
        <w:rPr>
          <w:rFonts w:ascii="MS PGothic" w:cs="MS PGothic" w:eastAsia="MS PGothic" w:hAnsi="MS PGothic"/>
          <w:sz w:val="17"/>
          <w:szCs w:val="17"/>
          <w:color w:val="auto"/>
        </w:rPr>
        <w:t xml:space="preserve">  ☐ </w:t>
      </w:r>
      <w:r>
        <w:rPr>
          <w:rFonts w:ascii="Arial" w:cs="Arial" w:eastAsia="Arial" w:hAnsi="Arial"/>
          <w:sz w:val="17"/>
          <w:szCs w:val="17"/>
          <w:color w:val="auto"/>
        </w:rPr>
        <w:t>Form 10-Q</w:t>
      </w:r>
      <w:r>
        <w:rPr>
          <w:rFonts w:ascii="MS PGothic" w:cs="MS PGothic" w:eastAsia="MS PGothic" w:hAnsi="MS PGothic"/>
          <w:sz w:val="17"/>
          <w:szCs w:val="17"/>
          <w:color w:val="auto"/>
        </w:rPr>
        <w:t xml:space="preserve">  ☐ </w:t>
      </w:r>
      <w:r>
        <w:rPr>
          <w:rFonts w:ascii="Arial" w:cs="Arial" w:eastAsia="Arial" w:hAnsi="Arial"/>
          <w:sz w:val="17"/>
          <w:szCs w:val="17"/>
          <w:color w:val="auto"/>
        </w:rPr>
        <w:t>Form N-SAR</w:t>
      </w:r>
      <w:r>
        <w:rPr>
          <w:rFonts w:ascii="MS PGothic" w:cs="MS PGothic" w:eastAsia="MS PGothic" w:hAnsi="MS PGothic"/>
          <w:sz w:val="17"/>
          <w:szCs w:val="17"/>
          <w:color w:val="auto"/>
        </w:rPr>
        <w:t xml:space="preserve">  ☐ </w:t>
      </w:r>
      <w:r>
        <w:rPr>
          <w:rFonts w:ascii="Arial" w:cs="Arial" w:eastAsia="Arial" w:hAnsi="Arial"/>
          <w:sz w:val="17"/>
          <w:szCs w:val="17"/>
          <w:color w:val="auto"/>
        </w:rPr>
        <w:t>Form N-CSR</w:t>
      </w:r>
    </w:p>
    <w:p>
      <w:pPr>
        <w:spacing w:after="0" w:line="254"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 xml:space="preserve">For Period Ended: </w:t>
      </w:r>
      <w:r>
        <w:rPr>
          <w:rFonts w:ascii="Arial" w:cs="Arial" w:eastAsia="Arial" w:hAnsi="Arial"/>
          <w:sz w:val="18"/>
          <w:szCs w:val="18"/>
          <w:b w:val="1"/>
          <w:bCs w:val="1"/>
          <w:u w:val="single" w:color="auto"/>
          <w:color w:val="auto"/>
        </w:rPr>
        <w:t>December 31, 2020</w:t>
      </w:r>
    </w:p>
    <w:p>
      <w:pPr>
        <w:spacing w:after="0" w:line="229" w:lineRule="exact"/>
        <w:rPr>
          <w:sz w:val="24"/>
          <w:szCs w:val="24"/>
          <w:color w:val="auto"/>
        </w:rPr>
      </w:pPr>
    </w:p>
    <w:p>
      <w:pPr>
        <w:ind w:left="1640" w:hanging="336"/>
        <w:spacing w:after="0"/>
        <w:tabs>
          <w:tab w:leader="none" w:pos="1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5" w:lineRule="exact"/>
        <w:rPr>
          <w:rFonts w:ascii="MS PGothic" w:cs="MS PGothic" w:eastAsia="MS PGothic" w:hAnsi="MS PGothic"/>
          <w:sz w:val="18"/>
          <w:szCs w:val="18"/>
          <w:color w:val="auto"/>
        </w:rPr>
      </w:pPr>
    </w:p>
    <w:p>
      <w:pPr>
        <w:ind w:left="1640" w:hanging="336"/>
        <w:spacing w:after="0"/>
        <w:tabs>
          <w:tab w:leader="none" w:pos="1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640" w:hanging="336"/>
        <w:spacing w:after="0"/>
        <w:tabs>
          <w:tab w:leader="none" w:pos="1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640" w:hanging="336"/>
        <w:spacing w:after="0"/>
        <w:tabs>
          <w:tab w:leader="none" w:pos="1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1640" w:hanging="336"/>
        <w:spacing w:after="0"/>
        <w:tabs>
          <w:tab w:leader="none" w:pos="1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N-SAR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Arial" w:cs="Arial" w:eastAsia="Arial" w:hAnsi="Arial"/>
          <w:sz w:val="17"/>
          <w:szCs w:val="17"/>
          <w:color w:val="auto"/>
        </w:rPr>
        <w:t>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-398145</wp:posOffset>
            </wp:positionH>
            <wp:positionV relativeFrom="paragraph">
              <wp:posOffset>-123190</wp:posOffset>
            </wp:positionV>
            <wp:extent cx="179133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1335" cy="565785"/>
                    </a:xfrm>
                    <a:prstGeom prst="rect">
                      <a:avLst/>
                    </a:prstGeom>
                    <a:noFill/>
                  </pic:spPr>
                </pic:pic>
              </a:graphicData>
            </a:graphic>
          </wp:anchor>
        </w:drawing>
      </w:r>
    </w:p>
    <w:p>
      <w:pPr>
        <w:spacing w:after="0" w:line="15" w:lineRule="exact"/>
        <w:rPr>
          <w:sz w:val="24"/>
          <w:szCs w:val="24"/>
          <w:color w:val="auto"/>
        </w:rPr>
      </w:pPr>
    </w:p>
    <w:p>
      <w:pPr>
        <w:ind w:left="720" w:hanging="320"/>
        <w:spacing w:after="0"/>
        <w:tabs>
          <w:tab w:leader="none" w:pos="7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39946</w:t>
      </w:r>
    </w:p>
    <w:p>
      <w:pPr>
        <w:spacing w:after="0" w:line="9" w:lineRule="exact"/>
        <w:rPr>
          <w:rFonts w:ascii="Arial" w:cs="Arial" w:eastAsia="Arial" w:hAnsi="Arial"/>
          <w:sz w:val="18"/>
          <w:szCs w:val="18"/>
          <w:b w:val="1"/>
          <w:bCs w:val="1"/>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color w:val="auto"/>
        </w:rPr>
        <w:t>CUSIP NUMBER</w:t>
      </w:r>
    </w:p>
    <w:p>
      <w:pPr>
        <w:spacing w:after="0" w:line="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00853E 107</w:t>
      </w:r>
    </w:p>
    <w:p>
      <w:pPr>
        <w:spacing w:after="0" w:line="2375" w:lineRule="exact"/>
        <w:rPr>
          <w:sz w:val="24"/>
          <w:szCs w:val="24"/>
          <w:color w:val="auto"/>
        </w:rPr>
      </w:pPr>
    </w:p>
    <w:p>
      <w:pPr>
        <w:sectPr>
          <w:pgSz w:w="11900" w:h="16838" w:orient="portrait"/>
          <w:cols w:equalWidth="0" w:num="2">
            <w:col w:w="8560" w:space="500"/>
            <w:col w:w="1560"/>
          </w:cols>
          <w:pgMar w:left="320" w:top="540" w:right="959" w:bottom="1440" w:gutter="0" w:footer="0" w:header="0"/>
        </w:sectPr>
      </w:pP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For the Transition Period Ended: 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32" w:lineRule="exact"/>
        <w:rPr>
          <w:sz w:val="24"/>
          <w:szCs w:val="24"/>
          <w:color w:val="auto"/>
        </w:rPr>
      </w:pPr>
    </w:p>
    <w:p>
      <w:pPr>
        <w:jc w:val="center"/>
        <w:ind w:right="-639"/>
        <w:spacing w:after="0"/>
        <w:rPr>
          <w:sz w:val="20"/>
          <w:szCs w:val="20"/>
          <w:color w:val="auto"/>
        </w:rPr>
      </w:pPr>
      <w:r>
        <w:rPr>
          <w:rFonts w:ascii="Arial" w:cs="Arial" w:eastAsia="Arial" w:hAnsi="Arial"/>
          <w:sz w:val="18"/>
          <w:szCs w:val="18"/>
          <w:i w:val="1"/>
          <w:iCs w:val="1"/>
          <w:color w:val="auto"/>
        </w:rPr>
        <w:t>Read attached instruction sheet before preparing form. Please Print or Type.</w:t>
      </w:r>
    </w:p>
    <w:p>
      <w:pPr>
        <w:spacing w:after="0" w:line="23" w:lineRule="exact"/>
        <w:rPr>
          <w:sz w:val="24"/>
          <w:szCs w:val="24"/>
          <w:color w:val="auto"/>
        </w:rPr>
      </w:pPr>
    </w:p>
    <w:p>
      <w:pPr>
        <w:jc w:val="center"/>
        <w:ind w:right="-639"/>
        <w:spacing w:after="0"/>
        <w:rPr>
          <w:sz w:val="20"/>
          <w:szCs w:val="20"/>
          <w:color w:val="auto"/>
        </w:rPr>
      </w:pPr>
      <w:r>
        <w:rPr>
          <w:rFonts w:ascii="Arial" w:cs="Arial" w:eastAsia="Arial" w:hAnsi="Arial"/>
          <w:sz w:val="16"/>
          <w:szCs w:val="16"/>
          <w:color w:val="auto"/>
        </w:rPr>
        <w:t>Nothing in this form shall be construed to imply that the Commission has verified any information contained herein.</w:t>
      </w:r>
    </w:p>
    <w:p>
      <w:pPr>
        <w:spacing w:after="0" w:line="261" w:lineRule="exact"/>
        <w:rPr>
          <w:sz w:val="24"/>
          <w:szCs w:val="24"/>
          <w:color w:val="auto"/>
        </w:rPr>
      </w:pPr>
    </w:p>
    <w:p>
      <w:pPr>
        <w:ind w:left="60"/>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REGISTRANT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4"/>
          <w:szCs w:val="24"/>
          <w:color w:val="auto"/>
        </w:rPr>
      </w:pPr>
    </w:p>
    <w:p>
      <w:pPr>
        <w:ind w:left="60"/>
        <w:spacing w:after="0"/>
        <w:rPr>
          <w:sz w:val="20"/>
          <w:szCs w:val="20"/>
          <w:color w:val="auto"/>
        </w:rPr>
      </w:pPr>
      <w:r>
        <w:rPr>
          <w:rFonts w:ascii="Arial" w:cs="Arial" w:eastAsia="Arial" w:hAnsi="Arial"/>
          <w:sz w:val="18"/>
          <w:szCs w:val="18"/>
          <w:color w:val="auto"/>
        </w:rPr>
        <w:t>Full Name of Registrant</w:t>
      </w:r>
    </w:p>
    <w:p>
      <w:pPr>
        <w:spacing w:after="0" w:line="221"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Agrify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ind w:left="60"/>
        <w:spacing w:after="0"/>
        <w:rPr>
          <w:sz w:val="20"/>
          <w:szCs w:val="20"/>
          <w:color w:val="auto"/>
        </w:rPr>
      </w:pPr>
      <w:r>
        <w:rPr>
          <w:rFonts w:ascii="Arial" w:cs="Arial" w:eastAsia="Arial" w:hAnsi="Arial"/>
          <w:sz w:val="18"/>
          <w:szCs w:val="18"/>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60"/>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21"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101 Middlesex Turnpike</w:t>
      </w:r>
    </w:p>
    <w:p>
      <w:pPr>
        <w:spacing w:after="0" w:line="27"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Suite 6, PMB 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ind w:left="60"/>
        <w:spacing w:after="0"/>
        <w:rPr>
          <w:sz w:val="20"/>
          <w:szCs w:val="20"/>
          <w:color w:val="auto"/>
        </w:rPr>
      </w:pPr>
      <w:r>
        <w:rPr>
          <w:rFonts w:ascii="Arial" w:cs="Arial" w:eastAsia="Arial" w:hAnsi="Arial"/>
          <w:sz w:val="18"/>
          <w:szCs w:val="18"/>
          <w:color w:val="auto"/>
        </w:rPr>
        <w:t>City, State and Zip Code</w:t>
      </w:r>
    </w:p>
    <w:p>
      <w:pPr>
        <w:spacing w:after="0" w:line="200" w:lineRule="exact"/>
        <w:rPr>
          <w:sz w:val="24"/>
          <w:szCs w:val="24"/>
          <w:color w:val="auto"/>
        </w:rPr>
      </w:pPr>
    </w:p>
    <w:p>
      <w:pPr>
        <w:spacing w:after="0" w:line="237"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Burlington, MA 01803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540" w:right="9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12b-25(b) AND (c)</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0"/>
          <w:szCs w:val="20"/>
          <w:color w:val="auto"/>
        </w:rPr>
      </w:pPr>
    </w:p>
    <w:p>
      <w:pPr>
        <w:ind w:left="1300" w:hanging="644"/>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reasons described in reasonable detail in Part III of this form could not be eliminated without unreasonable effort or expense;</w:t>
      </w:r>
    </w:p>
    <w:p>
      <w:pPr>
        <w:spacing w:after="0" w:line="34" w:lineRule="exact"/>
        <w:rPr>
          <w:rFonts w:ascii="Arial" w:cs="Arial" w:eastAsia="Arial" w:hAnsi="Arial"/>
          <w:sz w:val="17"/>
          <w:szCs w:val="17"/>
          <w:color w:val="auto"/>
        </w:rPr>
      </w:pPr>
    </w:p>
    <w:p>
      <w:pPr>
        <w:ind w:left="1300" w:hanging="644"/>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subject annual report, semi-annual report, transition report on Form 10-K, Form 20-F, 11-K, Form N-SAR or From N-CSR, or</w:t>
      </w:r>
    </w:p>
    <w:p>
      <w:pPr>
        <w:spacing w:after="0" w:line="20" w:lineRule="exact"/>
        <w:rPr>
          <w:rFonts w:ascii="Arial" w:cs="Arial" w:eastAsia="Arial" w:hAnsi="Arial"/>
          <w:sz w:val="17"/>
          <w:szCs w:val="17"/>
          <w:color w:val="auto"/>
        </w:rPr>
      </w:pPr>
    </w:p>
    <w:p>
      <w:pPr>
        <w:ind w:left="1300" w:hanging="1292"/>
        <w:spacing w:after="0" w:line="281" w:lineRule="auto"/>
        <w:tabs>
          <w:tab w:leader="none" w:pos="13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portion thereof, will be filed on or before the fifteenth calendar day following the prescribed due date; or the subject quarterly report of transition report on Form 10-Q, or portion thereof will be filed on or before the fifth calendar day following the prescribed due date; and</w:t>
      </w:r>
    </w:p>
    <w:p>
      <w:pPr>
        <w:spacing w:after="0" w:line="1" w:lineRule="exact"/>
        <w:rPr>
          <w:rFonts w:ascii="MS PGothic" w:cs="MS PGothic" w:eastAsia="MS PGothic" w:hAnsi="MS PGothic"/>
          <w:sz w:val="16"/>
          <w:szCs w:val="16"/>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NARRATIVE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State below in reasonable detail the reasons why Forms 10-K, 20-F, 11-K, 10-Q, N-SAR, N-CSR, or the transition report or portion thereof, could not be filed within the prescribed time period.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Annual Report on Form 10-K of Agrify Corporation (the “Company”) could not be filed within the prescribed time period due to the fact that the Company was unable to finalize its financial results without unreasonable expense or effort. As a result, the Company could not solicit and obtain the necessary review of the Form 10-K in a timely fashion prior to the due date of the report.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11" w:lineRule="exact"/>
        <w:rPr>
          <w:sz w:val="20"/>
          <w:szCs w:val="20"/>
          <w:color w:val="auto"/>
        </w:rPr>
      </w:pPr>
    </w:p>
    <w:p>
      <w:pPr>
        <w:ind w:left="180"/>
        <w:spacing w:after="0"/>
        <w:tabs>
          <w:tab w:leader="none" w:pos="5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and telephone number of person to contact in regard to this notification</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51"/>
        </w:trPr>
        <w:tc>
          <w:tcPr>
            <w:tcW w:w="3600" w:type="dxa"/>
            <w:vAlign w:val="bottom"/>
            <w:gridSpan w:val="2"/>
          </w:tcPr>
          <w:p>
            <w:pPr>
              <w:ind w:left="1320"/>
              <w:spacing w:after="0"/>
              <w:rPr>
                <w:sz w:val="20"/>
                <w:szCs w:val="20"/>
                <w:color w:val="auto"/>
              </w:rPr>
            </w:pPr>
            <w:r>
              <w:rPr>
                <w:rFonts w:ascii="Arial" w:cs="Arial" w:eastAsia="Arial" w:hAnsi="Arial"/>
                <w:sz w:val="18"/>
                <w:szCs w:val="18"/>
                <w:color w:val="auto"/>
              </w:rPr>
              <w:t>Niv Krikov</w:t>
            </w:r>
          </w:p>
        </w:tc>
        <w:tc>
          <w:tcPr>
            <w:tcW w:w="3480" w:type="dxa"/>
            <w:vAlign w:val="bottom"/>
          </w:tcPr>
          <w:p>
            <w:pPr>
              <w:jc w:val="right"/>
              <w:ind w:right="1510"/>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3460" w:type="dxa"/>
            <w:vAlign w:val="bottom"/>
          </w:tcPr>
          <w:p>
            <w:pPr>
              <w:jc w:val="right"/>
              <w:ind w:right="1270"/>
              <w:spacing w:after="0"/>
              <w:rPr>
                <w:sz w:val="20"/>
                <w:szCs w:val="20"/>
                <w:color w:val="auto"/>
              </w:rPr>
            </w:pPr>
            <w:r>
              <w:rPr>
                <w:rFonts w:ascii="Arial" w:cs="Arial" w:eastAsia="Arial" w:hAnsi="Arial"/>
                <w:sz w:val="18"/>
                <w:szCs w:val="18"/>
                <w:color w:val="auto"/>
              </w:rPr>
              <w:t>896- 5243</w:t>
            </w:r>
          </w:p>
        </w:tc>
      </w:tr>
      <w:tr>
        <w:trPr>
          <w:trHeight w:val="230"/>
        </w:trPr>
        <w:tc>
          <w:tcPr>
            <w:tcW w:w="3480" w:type="dxa"/>
            <w:vAlign w:val="bottom"/>
            <w:tcBorders>
              <w:top w:val="single" w:sz="8" w:color="auto"/>
            </w:tcBorders>
          </w:tcPr>
          <w:p>
            <w:pPr>
              <w:ind w:left="136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3480" w:type="dxa"/>
            <w:vAlign w:val="bottom"/>
            <w:tcBorders>
              <w:top w:val="single" w:sz="8" w:color="auto"/>
            </w:tcBorders>
          </w:tcPr>
          <w:p>
            <w:pPr>
              <w:jc w:val="right"/>
              <w:ind w:right="1290"/>
              <w:spacing w:after="0"/>
              <w:rPr>
                <w:sz w:val="20"/>
                <w:szCs w:val="20"/>
                <w:color w:val="auto"/>
              </w:rPr>
            </w:pPr>
            <w:r>
              <w:rPr>
                <w:rFonts w:ascii="Arial" w:cs="Arial" w:eastAsia="Arial" w:hAnsi="Arial"/>
                <w:sz w:val="18"/>
                <w:szCs w:val="18"/>
                <w:color w:val="auto"/>
              </w:rPr>
              <w:t>(Area Code)</w:t>
            </w:r>
          </w:p>
        </w:tc>
        <w:tc>
          <w:tcPr>
            <w:tcW w:w="120" w:type="dxa"/>
            <w:vAlign w:val="bottom"/>
          </w:tcPr>
          <w:p>
            <w:pPr>
              <w:spacing w:after="0"/>
              <w:rPr>
                <w:sz w:val="20"/>
                <w:szCs w:val="20"/>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sectPr>
          <w:pgSz w:w="11900" w:h="16838" w:orient="portrait"/>
          <w:cols w:equalWidth="0" w:num="1">
            <w:col w:w="11240"/>
          </w:cols>
          <w:pgMar w:left="320" w:top="904" w:right="339" w:bottom="1440" w:gutter="0" w:footer="0" w:header="0"/>
        </w:sectPr>
      </w:pPr>
    </w:p>
    <w:p>
      <w:pPr>
        <w:jc w:val="both"/>
        <w:ind w:left="580" w:hanging="393"/>
        <w:spacing w:after="0" w:line="263"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83" w:lineRule="exact"/>
        <w:rPr>
          <w:rFonts w:ascii="Arial" w:cs="Arial" w:eastAsia="Arial" w:hAnsi="Arial"/>
          <w:sz w:val="18"/>
          <w:szCs w:val="18"/>
          <w:color w:val="auto"/>
        </w:rPr>
      </w:pPr>
    </w:p>
    <w:p>
      <w:pPr>
        <w:ind w:left="580" w:hanging="393"/>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70" w:lineRule="exact"/>
        <w:rPr>
          <w:rFonts w:ascii="Arial" w:cs="Arial" w:eastAsia="Arial" w:hAnsi="Arial"/>
          <w:sz w:val="18"/>
          <w:szCs w:val="18"/>
          <w:color w:val="auto"/>
        </w:rPr>
      </w:pPr>
    </w:p>
    <w:p>
      <w:pPr>
        <w:ind w:left="580"/>
        <w:spacing w:after="0" w:line="277" w:lineRule="auto"/>
        <w:rPr>
          <w:rFonts w:ascii="Arial" w:cs="Arial" w:eastAsia="Arial" w:hAnsi="Arial"/>
          <w:sz w:val="18"/>
          <w:szCs w:val="18"/>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320"/>
        <w:spacing w:after="0" w:line="207" w:lineRule="exact"/>
        <w:tabs>
          <w:tab w:leader="none" w:pos="2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00" w:lineRule="exact"/>
        <w:rPr>
          <w:sz w:val="20"/>
          <w:szCs w:val="20"/>
          <w:color w:val="auto"/>
        </w:rPr>
      </w:pPr>
    </w:p>
    <w:p>
      <w:pPr>
        <w:spacing w:after="0" w:line="349" w:lineRule="exact"/>
        <w:rPr>
          <w:sz w:val="20"/>
          <w:szCs w:val="20"/>
          <w:color w:val="auto"/>
        </w:rPr>
      </w:pPr>
    </w:p>
    <w:p>
      <w:pPr>
        <w:jc w:val="center"/>
        <w:ind w:right="320"/>
        <w:spacing w:after="0" w:line="207" w:lineRule="exact"/>
        <w:tabs>
          <w:tab w:leader="none" w:pos="2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043" w:lineRule="exact"/>
        <w:rPr>
          <w:sz w:val="20"/>
          <w:szCs w:val="20"/>
          <w:color w:val="auto"/>
        </w:rPr>
      </w:pPr>
    </w:p>
    <w:p>
      <w:pPr>
        <w:sectPr>
          <w:pgSz w:w="11900" w:h="16838" w:orient="portrait"/>
          <w:cols w:equalWidth="0" w:num="2">
            <w:col w:w="9440" w:space="320"/>
            <w:col w:w="1480"/>
          </w:cols>
          <w:pgMar w:left="320" w:top="904" w:right="3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Charter)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6740" w:val="left"/>
          <w:tab w:leader="none" w:pos="7200" w:val="left"/>
        </w:tabs>
        <w:rPr>
          <w:sz w:val="20"/>
          <w:szCs w:val="20"/>
          <w:color w:val="auto"/>
        </w:rPr>
      </w:pPr>
      <w:r>
        <w:rPr>
          <w:rFonts w:ascii="Arial" w:cs="Arial" w:eastAsia="Arial" w:hAnsi="Arial"/>
          <w:sz w:val="18"/>
          <w:szCs w:val="18"/>
          <w:color w:val="auto"/>
        </w:rPr>
        <w:t>Date: April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Niv Krikov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Niv Krikov</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4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ATTENTION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INSTRUCTIONS</w:t>
      </w:r>
    </w:p>
    <w:p>
      <w:pPr>
        <w:spacing w:after="0" w:line="229"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form is required by Rule 12b-25 (17 CFR 240.12b-25) of the General Rules and Regulations under the Securities Exchange Act of 1934.</w:t>
      </w:r>
    </w:p>
    <w:p>
      <w:pPr>
        <w:spacing w:after="0" w:line="236" w:lineRule="exact"/>
        <w:rPr>
          <w:rFonts w:ascii="Arial" w:cs="Arial" w:eastAsia="Arial" w:hAnsi="Arial"/>
          <w:sz w:val="17"/>
          <w:szCs w:val="17"/>
          <w:color w:val="auto"/>
        </w:rPr>
      </w:pPr>
    </w:p>
    <w:p>
      <w:pPr>
        <w:jc w:val="both"/>
        <w:ind w:left="400" w:hanging="392"/>
        <w:spacing w:after="0" w:line="263"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signed original and four conformed copies of this form and amendments thereto must be completed and filed with the Securities and Exchange Commission, Washington, D.C. 20549, in accordance with Rule 0-3 of the General Rules and Regulations under the Act. The information contained in or filed with the form will be made a matter of public record in the Commission files.</w:t>
      </w:r>
    </w:p>
    <w:p>
      <w:pPr>
        <w:spacing w:after="0" w:line="183" w:lineRule="exact"/>
        <w:rPr>
          <w:rFonts w:ascii="Arial" w:cs="Arial" w:eastAsia="Arial" w:hAnsi="Arial"/>
          <w:sz w:val="18"/>
          <w:szCs w:val="18"/>
          <w:color w:val="auto"/>
        </w:rPr>
      </w:pPr>
    </w:p>
    <w:p>
      <w:pPr>
        <w:ind w:left="400" w:right="20" w:hanging="392"/>
        <w:spacing w:after="0" w:line="277"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manually signed copy of the form and amendments thereto shall be filed with each national securities exchange on which any class of securities of the registrant is registered.</w:t>
      </w:r>
    </w:p>
    <w:p>
      <w:pPr>
        <w:spacing w:after="0" w:line="170" w:lineRule="exact"/>
        <w:rPr>
          <w:rFonts w:ascii="Arial" w:cs="Arial" w:eastAsia="Arial" w:hAnsi="Arial"/>
          <w:sz w:val="18"/>
          <w:szCs w:val="18"/>
          <w:color w:val="auto"/>
        </w:rPr>
      </w:pPr>
    </w:p>
    <w:p>
      <w:pPr>
        <w:ind w:left="400" w:hanging="392"/>
        <w:spacing w:after="0" w:line="277"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Amendments to the notifications must also be filed on form 12b-25 but need not restate information that has been correctly furnished. The form shall be clearly identified as an amended notification.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lvl w:ilvl="1">
      <w:lvlJc w:val="left"/>
      <w:lvlText w:val="(%2)"/>
      <w:numFmt w:val="lowerLetter"/>
      <w:start w:val="1"/>
    </w:lvl>
  </w:abstractNum>
  <w:abstractNum w:abstractNumId="3">
    <w:nsid w:val="46E87CCD"/>
    <w:multiLevelType w:val="hybridMultilevel"/>
    <w:lvl w:ilvl="0">
      <w:lvlJc w:val="left"/>
      <w:lvlText w:val="☒"/>
      <w:numFmt w:val="bullet"/>
      <w:start w:val="1"/>
    </w:lvl>
    <w:lvl w:ilvl="1">
      <w:lvlJc w:val="left"/>
      <w:lvlText w:val="(%2)"/>
      <w:numFmt w:val="lowerLetter"/>
      <w:start w:val="3"/>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2021-04-01T06:06:40Z</dcterms:created>
  <dcterms:modified xsi:type="dcterms:W3CDTF">2021-04-01T06:06:40Z</dcterms:modified>
</cp:coreProperties>
</file>