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28, 2023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in its Current Report on Form 8-K filed with the U.S. Securities and Exchange Commission (the “SEC”) on January 6, 2023, Timothy Oakes, the Chief Financial Officer of Agrify Corporation (the “Company”), resigned effective February 28, 2023. In connection with Mr. Oakes’ resignation, the Company has engaged WilliamsMarston LLC (“WilliamsMarston”) to assist with accounting and internal control matters, and is continuing its process to identify a replacement Chief Financial Officer.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engagement of WilliamsMarston, the Company and Timothy Hayden agreed that Mr. Hayden will not serve as Interim Chief Financial Officer as previously reported on the Company’s Current Report on Form 8-K filed with the SEC on January 24, 2023, and will instead transition to the role of Senior Vice President – Business Development. Raymond Chang, the Company’s Chief Executive Officer, will serve as the Company’s principal financial and accounting officer. Mr. Chang’s biography was included in the definitive proxy statement for the Company’s 2022 annual meeting of stockholders filed with the SEC on April 29, 2022 and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2023, the Company held a special meeting of stockholders (the “Special Meeting”) virtually, commencing at 10:00 a.m. Eastern Time. Of the Company’s 20,740,977 shares of common stock, par value $0.001 per share (the “Common Stock”) issued and outstanding and eligible to vote as of the record date of January 13, 2023, a quorum of 11,610,632 shares, or approximately 55.97% of the eligible shares, were represented at the virtual Special Meeting either in person or by proxy.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each matter voted upon at the Special Meeting is described in detail in the Company’s definitive proxy statement filed with the SEC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6, 2023 (the “Proxy Statement”). The matters voted upon at the Special Meeting and the final results of such voting are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Approval of Issuance of Shares Upon Exercise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 of up to 26,769,230 shares of Common Stock upon the exercise of warrants of the Company (the “Warrants”) issued in connection with the Company’s public offering that closed on December 20, 2022, as contemplated by Nasdaq Listing Rule 5635, and to permit the reduction of the exercise price of those Warrants under certain circumstances, was approved.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3,074,619</w:t>
            </w:r>
          </w:p>
        </w:tc>
        <w:tc>
          <w:tcPr>
            <w:tcW w:w="284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370,306</w:t>
            </w:r>
          </w:p>
        </w:tc>
        <w:tc>
          <w:tcPr>
            <w:tcW w:w="278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31,684</w:t>
            </w:r>
          </w:p>
        </w:tc>
        <w:tc>
          <w:tcPr>
            <w:tcW w:w="280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8,134,023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Approval of Amendment to Company’s Article of Incorporation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amendment to the Company’s Articles of Incorporation to increase the number of authorized shares of Common Stock from 100,000,000 to 200,000,000, and to correspondingly increase the total authorized shares of stock from 103,000,000 to 203,000,000, was approved.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8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10,591,334</w:t>
            </w:r>
          </w:p>
        </w:tc>
        <w:tc>
          <w:tcPr>
            <w:tcW w:w="372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990,577</w:t>
            </w:r>
          </w:p>
        </w:tc>
        <w:tc>
          <w:tcPr>
            <w:tcW w:w="37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28,721</w:t>
            </w:r>
          </w:p>
        </w:tc>
      </w:tr>
      <w:tr>
        <w:trPr>
          <w:trHeight w:val="655"/>
        </w:trPr>
        <w:tc>
          <w:tcPr>
            <w:tcW w:w="38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Adjournment of Special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adjournment of the Special Meeting in order to solicit additional proxies if there are not sufficient shares to be voted in favor of any of the foregoing proposals at the time of the Special Meeting, was approved, although no such adjournment was required due to the approval of Proposals 1 and 2. The results of the vote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16"/>
        </w:trPr>
        <w:tc>
          <w:tcPr>
            <w:tcW w:w="38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10,656,747</w:t>
            </w:r>
          </w:p>
        </w:tc>
        <w:tc>
          <w:tcPr>
            <w:tcW w:w="3720" w:type="dxa"/>
            <w:vAlign w:val="bottom"/>
            <w:gridSpan w:val="2"/>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882,089</w:t>
            </w:r>
          </w:p>
        </w:tc>
        <w:tc>
          <w:tcPr>
            <w:tcW w:w="3700" w:type="dxa"/>
            <w:vAlign w:val="bottom"/>
            <w:gridSpan w:val="2"/>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71,796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100,000,000 to 200,000,000, and correspondingly increased the total authorized shares of stock from 103,000,000 to 203,000,000. The Charter Amendment was approved by the Company’s stockholders at the Special Meeting and became effective upon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Charter Amendment does not purport to be complete and is qualified in its entirety by reference to the Charter Amendment, which is filed as Exhibit 3.1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Articles of Incorporation of Agrify Corporation, filed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2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3, 2023</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934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4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4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936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3611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2023-03-03T06:02:34Z</dcterms:created>
  <dcterms:modified xsi:type="dcterms:W3CDTF">2023-03-03T06:02:34Z</dcterms:modified>
</cp:coreProperties>
</file>