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182880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Schedule 14A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Proxy Statement Pursuant to Section 14(a) of the Securities Exchange Act of 1934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(Amendment No. )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Filed by a party other than the Registrant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Check the appropriate box: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Preliminary Proxy Statement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Proxy Statement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Definitive Additional Materials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Soliciting Material under § 240.14a-12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Agrify Corp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10795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(Name of Registrant as Specified In Its Charter)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(Name of Person(s) Filing Proxy Statement, if other than the Registrant)</w:t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Payment of Filing Fee (Check all boxes that apply):</w:t>
      </w: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No fee required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paid previously with preliminary materials.</w:t>
      </w:r>
    </w:p>
    <w:p>
      <w:pPr>
        <w:spacing w:after="0" w:line="22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Fee computed on table in exhibit required by Item 25(b) per Exchange Act Rules 14a- 6(i)(1) and 0-11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151765</wp:posOffset>
            </wp:positionV>
            <wp:extent cx="7132320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177800</wp:posOffset>
            </wp:positionV>
            <wp:extent cx="7132320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332105</wp:posOffset>
            </wp:positionV>
            <wp:extent cx="7132320" cy="1714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337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654685</wp:posOffset>
            </wp:positionV>
            <wp:extent cx="7132320" cy="79724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972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380365</wp:posOffset>
            </wp:positionV>
            <wp:extent cx="7132320" cy="81864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186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2022-04-29T06:41:11Z</dcterms:created>
  <dcterms:modified xsi:type="dcterms:W3CDTF">2022-04-29T06:41:11Z</dcterms:modified>
</cp:coreProperties>
</file>