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52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May 20, 2025, Agrify Corporation (the “Company”) entered into a Purchase Agreement (the “Purchase Agreement”) with VCP IP Holdings, LLC (“VCP”), an indirect wholly-owned subsidiary of Green Thumb Industries Inc. (“Green Thumb”), pursuant to which the Company acquired all of the equity interests in MC Brands LLC (“MC Brands”) and its wholly-owned subsidiary Core Growth LLC (“Core Growth” and, together with MC Brands, the “Acquired Companies”). Green Thumb is an indirect owner of 34% of the outstanding shares of common stock of the Company (“Common Stock”), and Benjamin Kovler, Chairman and Chief Executive Officer of Green Thumb, serves as Chairman and Interim Chief Executive Officer of the Company. The assets of the Acquired Companies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purchase price for the equity interests in the Acquired Companies under the Purchase Agreement consisted of cash consideration of $5,075,000 (the “Purchase Price”). Under the Purchase Agreement, VCP or the Company can cause VCP to repurchase the Acquired Companies within five years from the date of closing under certain circumstances. The Purchase Agreement also includes certain restrictions on transfer during the five years following closing and rights of first refusal and first offer in favor of VCP following such five-year period.</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Purchase Agreement includes customary representations and warranties and covenants of the parties. Subject to certain customary limitations, (i) VCP will indemnify the Company and its affiliates, officers, directors and other agents against certain losses related to breaches of VCP’s representations, warranties or covenants, pre-closing taxes, or any indebtedness of the Acquired Companies outstanding at closing, and (ii) the Company will indemnify VCP and its affiliates, officers, directors and other agents against certain losses related to breaches of the Company’s representations, warranties or covenants.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summary of the Purchase Agreement and related transactions does not purport to be complete and is qualified in its entirety by reference to the complete text of the Purchase Agreement, which is filed as Exhibit 10.1 hereto, and which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Incredibles License Agreement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May 20, 2025, immediately following the execution of the Purchase Agreement, MC Brands, a wholly-owned subsidiary of the Company following the acquisition of the Acquired Companies, entered into a License Agreement (the “Incredibles License Agreement”) with GTI Core, LLC (“GTI Core”), an indirect wholly-owned subsidiary of Green Thumb. Under the Incredibles License Agreement, MC Brands granted to GTI Core an exclusive license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state-licensed cannabis businesses. The consideration payable by GTI Core for the license rights consists of a monthly license fee, payable in cash, based on sales of products using the licensed intellectual property as set forth in the Incredibles License Agreement.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Incredibles License Agreement will automatically terminate upon certain insolvency events involving GTI Core and may be terminated by GTI Core at any time. The Incredibles License Agreement includes customary representations and warranties and covenants of the parties. GTI Core will indemnify MC Brands against certain losses related to breaches of GTI Core’s representations, warranties or covenants, and MC Brands will indemnify GTI Core against certain losses related to breaches of MC Brands’ representations, warranties or covenants or certain claims relating to the licensed intellectual property.</w:t>
      </w:r>
    </w:p>
    <w:p>
      <w:pPr>
        <w:spacing w:after="0" w:line="18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foregoing summary of the Incredibles License Agreement and related transactions does not purport to be complete and is qualified in its entirety by reference to the complete text of the Incredibles License Agreement, which is filed as Exhibit 10.2 hereto, and which is incorporated by reference 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Beboe License Agreement</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On May 20, 2025, concurrently with the execution of the Purchase Agreement, Core Growth, an indirect wholly-owned subsidiary of the Company following the acquisition of the Acquired Companies, entered into a License Agreement (the “Beboe License Agreement”) with For Success Holding Company (“For Success”), an indirect wholly-owned subsidiary of Green Thumb. Under the Beboe License Agreement, For Success granted to Core Growth an exclusive license to use certain intellectual property related to the </w:t>
      </w:r>
      <w:r>
        <w:rPr>
          <w:rFonts w:ascii="Times New Roman" w:cs="Times New Roman" w:eastAsia="Times New Roman" w:hAnsi="Times New Roman"/>
          <w:sz w:val="18"/>
          <w:szCs w:val="18"/>
          <w:i w:val="1"/>
          <w:iCs w:val="1"/>
          <w:color w:val="auto"/>
        </w:rPr>
        <w:t>Beboe</w:t>
      </w:r>
      <w:r>
        <w:rPr>
          <w:rFonts w:ascii="Times New Roman" w:cs="Times New Roman" w:eastAsia="Times New Roman" w:hAnsi="Times New Roman"/>
          <w:sz w:val="18"/>
          <w:szCs w:val="18"/>
          <w:color w:val="auto"/>
        </w:rPr>
        <w:t xml:space="preserve"> brand in connection with the production, marketing and sale of hemp-derived products to the extent such activities are legal under applicable state and federal laws in the United States. The consideration payable by Core Growth for the license rights consists of a monthly license fee based on sales of products using the licensed intellectual property as set forth in the Beboe License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120"/>
        <w:spacing w:after="0" w:line="289" w:lineRule="auto"/>
        <w:rPr>
          <w:sz w:val="20"/>
          <w:szCs w:val="20"/>
          <w:color w:val="auto"/>
        </w:rPr>
      </w:pPr>
      <w:r>
        <w:rPr>
          <w:rFonts w:ascii="Times New Roman" w:cs="Times New Roman" w:eastAsia="Times New Roman" w:hAnsi="Times New Roman"/>
          <w:sz w:val="17"/>
          <w:szCs w:val="17"/>
          <w:color w:val="auto"/>
        </w:rPr>
        <w:t>The license fee is payable in cash or, upon mutual agreement of Core Growth and For Success and, to the extent permitted under applicable Nasdaq listing rules, in pre-funded warrants (the “Pre-Funded Warrants”) to purchase shares of Common Stock, with the value per Pre-Funded Warrant being equal to $26.68, the most recent closing price of the Common Stock on the Nasdaq Capital Market as of the time the Beboe License Agreement was executed.</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the extent issued, each Pre-Funded Warrant will be exercisable upon issuance into one share of Common Stock at an exercise price per share of $0.001 (subject to customary adjustments for stock splits, reverse stock splits, reclassifications or similar events) and will expire when such Pre-Funded Warrant is fully exercised. The Pre-Funded Warrants may not be exercised to the extent that the holder, together with its affiliates, would beneficially own more than 49.99% of the number of shares of Common Stock outstanding immediately after giving effect to such exercise. A holder of a Pre-Funded Warrant may increase or decrease this percentage, but not in excess of 49.99%, by providing at least 61 days’ prior notice to the Company. Additionally, the Pre-Funded Warrants may not be exercised to the extent that the Company determines that the approval of its stockholders is required by applicable Nasdaq listing rules.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Beboe License Agreement will automatically terminate upon certain insolvency events involving Core Growth and may be terminated by For Success at any time. The Beboe License Agreement includes customary representations and warranties and covenants of the parties. Core Growth will indemnify For Success against certain losses related to breaches of Core Growth’s representations, warranties or covenants, and (ii) For Success will indemnify Core Growth against certain losses related to breaches of For Success’s representations, warranties or covenants or certain claims relating to the licensed intellectual property.</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foregoing summaries of the Beboe License Agreement and related transactions, including the terms of the Pre-Funded Warrants, do not purport to be complete and are qualified in their entirety by reference to the complete text of the Beboe License Agreement and the form of Pre-Funded Warrant, which are filed as Exhibit 10.3 and Exhibit 4.1 hereto, respectively, and which are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Rythm License Agreement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May 20, 2025, concurrently with the execution of the Purchase Agreement, VCP entered into a License Agreement (the “Rythm License Agreement”) with Core Growth. Under the Rythm License Agreement, VCP granted to Core Growth an exclusive license to use certain intellectual property related to the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brand in connection with the production, marketing and sale of hemp-derived products to the extent such activities are legal under applicable state and federal laws in the United States. The consideration payable by Core Growth for the license rights consists of a monthly license fee based on sales of products using the licensed intellectual property as set forth in the Rythm License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fee is payable in cash or, upon mutual agreement of Core Growth and VCP and, to the extent permitted under applicable Nasdaq listing rules, in Pre-Funded Warrants, with the value per Pre-Funded Warrant being equal to $26.68, the most recent closing price of the Company’s Common Stock on the Nasdaq Capital Market as of the time the Rythm License Agreement was executed.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Rythm License Agreement will automatically terminate upon certain insolvency events involving Core Growth and may be terminated by VCP at any time. The Rythm License Agreement includes customary representations and warranties and covenants of the parties. Core Growth will indemnify VCP against certain losses related to breaches of Core Growth’s representations, warranties or covenants, and (ii) VCP will indemnify Core Growth against certain losses related to breaches of VCP’s representations, warranties or covenants or certain claims relating to the licensed intellectual property.</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summaries of the Rythm License Agreement and related transactions, including the terms of the Pre-Funded Warrants, do not purport to be complete and are qualified in their entirety by reference to the complete text of the Rythm License Agreement and the form of Pre-Funded Warrant, which are filed as Exhibit 10.4 and Exhibit 4.1 hereto, respectively, and which are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Amended and Restated Shared Services Agreement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Under the Services Agreement, VMS will provide certain administrative, supply chain, operations management, sales and marketing, and technical services to the Company and its subsidiaries. As consideration for those services, the Company will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 year terms unless terminated by either party at least thirty days prior to the end of the applicable term.</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foregoing summaries of the Services Agreement and related transactions, including the terms of the Pre-Funded Warrants, do not purport to be complete and are qualified in their entirety by reference to the complete text of the Services Agreement and the form of Pre-Funded Warrant, which are filed as Exhibit 10.5 and Exhibit 4.1 hereto, respectively, and which are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“Notes”) to RSLGH, LLC (“RSLGH”), an indirect wholly-owned subsidiary of Green Thumb, and to certain other accredited investors. Each Note is a secured obligation of the Company and will rank senior to all indebtedness of the Company except for the Secured Convertible Note issued to RSLGH on November 5, 2024 (the “Existing Note”), with which rank on parity with the Notes. The Notes will mature on November 22, 2026 and will contain a 10.0% annualized interest rate, with interest to be paid on the first calendar day of each September and March while the Note is outstanding, in Pre-Funded Warrants, beginning September 1, 2025. The principal amount of the Note will be payable on the maturity date.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Notes impose certain customary affirmative and negative covenants upon the Company, including covenants relating to ranking and reservation of shares. If an event of default under a Note occurs and is not waived, the holder can elect to accelerate all or a portion of the then-outstanding principal amount of the Note, plus accrued and unpaid interest, including default interest, which accrues at a rate per annum equal to 14% from the date of a default or event of default.</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a Note into Common Stock, the conversion price per share will be $23.53 (the “Conversion Price”), equal to the most recent closing price of the Common Stock on the Nasdaq Capital Market at the time the Notes were issued, subject to customary adjustments for certain corporate events. If a holder elects to convert a Note into Pre-Funded Warrants, and for interest payments payable in the form of Pre-Funded Warrants the conversion price per Pre-Funded Warrant will be equal to the Conversion Price less than $0.001 exercise price of the warrant. The conversion of the Notes into Common Stock and/or Pre-Funded Warrants will be subject to certain customary conditions and, to the extent necessary, the receipt of stockholder approval under Nasdaq listing rules.</w:t>
      </w:r>
    </w:p>
    <w:p>
      <w:pPr>
        <w:spacing w:after="0" w:line="19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foregoing summaries of the Notes and related transactions, including the terms of the Pre-Funded Warrants, do not purport to be complete and are qualified in their entirety by reference to the complete text of the form of Note and the form of Pre-Funded Warrant, which are filed as Exhibit 4.2 and Exhibit 4.1 hereto, respectively, and which are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Convertible Note</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previously disclosed, on November 5, 2024, the Company issued the Existing Note to RSLGH. On May 22, 2025, the Company and RSLGH entered into a second amendment to the Existing Note (the “Existing Note Amendment”). The Existing Note Amendment amended the terms of the Existing Note to, among other things, (i) permit RSLGH to elect, subject to any required approvals under Nasdaq listing rules, to receive Pre-Funded Warrants in lieu of shares of Common Stock upon conversion of the Existing Note at a conversion price equal to the existing conversion price under the Note of $3.158 less the $0.001 exercise price of each Pre-Funded Warrant, and (ii) provide that the Existing Note ranks on parity with the Notes.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 w:name="page5"/>
    <w:bookmarkEnd w:id="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summaries of the Existing Note Amendment and related transactions, including the terms of the Pre-Funded Warrants, do not purport to be complete and are qualified in their entirety by reference to the complete text of the Existing Note Amendment and the form of Pre-Funded Warrant, which are filed as Exhibit 4.3 and Exhibit 4.1 hereto, respectively, and which are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Purchase Agreement, the Incredibles License Agreement, the Beboe License Agreement, the Rythm License Agreement and the Services Agreement have been included as exhibits hereto to provide investors with information regarding their respective terms and are not intended to provide any financial or other factual information about the Company, the Acquired Companies or the counterparties to those agreements. In particular, the representations, warranties and covenants contained in those agreements (i) were made only for purposes of that agreement and as of specific dates, (ii) were made solely for the benefit of the parties to the respective agreements, (iii) may be subject to limitations agreed upon by the parties, including being qualified by confidential disclosures made for the purpose of allocating contractual risk between the parties to agreements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applicable agreements, which subsequent information may or may not be fully reflected in the Company’s public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Notes and the Existing Note Amendment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1.01 of this Current Report on Form 8-K regarding the issuance of the Notes, the Existing Note Amendment, the potential future issuance of Common Stock and Pre-Funded Warrants, and the shares of Common Stock issuable upon conversion of the Notes or the Existing Note and upon exercise of any Pre-Funded Warrants, is incorporated herein by reference into this Item 3.02.</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Notes, the Existing Note, the Pre-Funded Warrants, the shares of Common Stock and the shares of Common Stock underlying the Note, the Existing Notes and any Pre-Funded Warrants (collectively, the “Securities”) were, and will be, offered and sold in transactions exempt from registration under the Securities Act of 1933, as amended (the “Securities Act”) in reliance on Section 4(a)(2) thereof and Rule 506(b) of Regulation D thereunder. Each recipient of such securities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warrants, or any other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Common Stock Purchase Warrant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Secured Convertible Note dated May 22,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 Amendment, dated May 22, 2025, to Secured Convertible Note issued on November 5,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 Agreement, dated May 20, 2025, by and between VCP IP Holdings, LLC and Agrify Corporation</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 and Recipe License Agreement, dated May 20, 2025, by and between MC Brands LLC and GTI Core,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 and Recipe License Agreement, dated May 20, 2025, by and between For Success Holding Company and Core Growth,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 and Recipe License Agreement, dated May 20, 2025, by and between VCP IP Holdings, LLC and Core Growth,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and Restated Shared Services Agreement, dated May 20, 2025, by and between Vision Management Services, LLC and Agrify</w:t>
            </w:r>
          </w:p>
        </w:tc>
        <w:tc>
          <w:tcPr>
            <w:tcW w:w="220" w:type="dxa"/>
            <w:vAlign w:val="bottom"/>
            <w:tcBorders>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Corporation</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right="2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82" w:gutter="0" w:footer="0" w:header="0"/>
        </w:sectPr>
      </w:pPr>
    </w:p>
    <w:bookmarkStart w:id="5" w:name="page6"/>
    <w:bookmarkEnd w:id="5"/>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________</w:t>
      </w:r>
    </w:p>
    <w:p>
      <w:pPr>
        <w:spacing w:after="0" w:line="200" w:lineRule="exact"/>
        <w:rPr>
          <w:sz w:val="20"/>
          <w:szCs w:val="20"/>
          <w:color w:val="auto"/>
        </w:rPr>
      </w:pPr>
    </w:p>
    <w:p>
      <w:pPr>
        <w:sectPr>
          <w:pgSz w:w="11900" w:h="16838" w:orient="portrait"/>
          <w:cols w:equalWidth="0" w:num="2">
            <w:col w:w="8960" w:space="720"/>
            <w:col w:w="1560"/>
          </w:cols>
          <w:pgMar w:left="320" w:top="117"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spacing w:after="0" w:line="9"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set forth, at any time on or after the Issue Date set forth above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but not thereafter, to subscribe for and purchase from Agrify Corporation,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_________ shares (as</w:t>
      </w:r>
    </w:p>
    <w:p>
      <w:pPr>
        <w:ind w:right="180"/>
        <w:spacing w:after="0" w:line="260" w:lineRule="auto"/>
        <w:rPr>
          <w:sz w:val="20"/>
          <w:szCs w:val="20"/>
          <w:color w:val="auto"/>
        </w:rPr>
      </w:pPr>
      <w:r>
        <w:rPr>
          <w:rFonts w:ascii="Times New Roman" w:cs="Times New Roman" w:eastAsia="Times New Roman" w:hAnsi="Times New Roman"/>
          <w:sz w:val="18"/>
          <w:szCs w:val="18"/>
          <w:color w:val="auto"/>
        </w:rPr>
        <w:t>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ind w:left="660"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right="220"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ind w:left="660" w:right="240" w:hanging="4"/>
        <w:spacing w:after="0" w:line="260" w:lineRule="auto"/>
        <w:tabs>
          <w:tab w:leader="none" w:pos="9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8" w:name="page9"/>
    <w:bookmarkEnd w:id="8"/>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644"/>
        <w:spacing w:after="0" w:line="272" w:lineRule="auto"/>
        <w:tabs>
          <w:tab w:leader="none" w:pos="83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two (2)</w:t>
      </w:r>
    </w:p>
    <w:p>
      <w:pPr>
        <w:spacing w:after="0" w:line="1" w:lineRule="exact"/>
        <w:rPr>
          <w:rFonts w:ascii="Times New Roman" w:cs="Times New Roman" w:eastAsia="Times New Roman" w:hAnsi="Times New Roman"/>
          <w:sz w:val="17"/>
          <w:szCs w:val="17"/>
          <w:color w:val="auto"/>
        </w:rPr>
      </w:pPr>
    </w:p>
    <w:p>
      <w:pPr>
        <w:ind w:right="6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9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 w:name="page10"/>
    <w:bookmarkEnd w:id="9"/>
    <w:p>
      <w:pPr>
        <w:ind w:left="-460" w:right="20" w:firstLine="644"/>
        <w:spacing w:after="0" w:line="25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60" w:firstLine="644"/>
        <w:spacing w:after="0" w:line="261" w:lineRule="auto"/>
        <w:tabs>
          <w:tab w:leader="none" w:pos="3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680" w:right="40" w:hanging="496"/>
        <w:spacing w:after="0" w:line="253" w:lineRule="auto"/>
        <w:tabs>
          <w:tab w:leader="none" w:pos="4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225" w:lineRule="exact"/>
        <w:rPr>
          <w:sz w:val="20"/>
          <w:szCs w:val="20"/>
          <w:color w:val="auto"/>
        </w:rPr>
      </w:pPr>
    </w:p>
    <w:p>
      <w:pPr>
        <w:ind w:left="1140" w:right="80" w:hanging="496"/>
        <w:spacing w:after="0" w:line="282" w:lineRule="auto"/>
        <w:tabs>
          <w:tab w:leader="none" w:pos="9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 In the case of a dispute as to the determination of the number of Warrant Shares to be issued pursuant to the cashless exercise, or the arithmetic calculation of the Warrant Shares to be issued thereunder, the Company shall promptly issue to the Holder the number of Warrant Shares that are not disputed and resolve such dispute in accordance with Section 5(e).</w:t>
      </w:r>
    </w:p>
    <w:p>
      <w:pPr>
        <w:spacing w:after="0" w:line="187" w:lineRule="exact"/>
        <w:rPr>
          <w:sz w:val="20"/>
          <w:szCs w:val="20"/>
          <w:color w:val="auto"/>
        </w:rPr>
      </w:pPr>
    </w:p>
    <w:p>
      <w:pPr>
        <w:ind w:left="840" w:hanging="19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40"/>
        <w:spacing w:after="0" w:line="252" w:lineRule="auto"/>
        <w:tabs>
          <w:tab w:leader="none" w:pos="20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337" w:right="399" w:bottom="1440" w:gutter="0" w:footer="0" w:header="0"/>
        </w:sectPr>
      </w:pPr>
    </w:p>
    <w:bookmarkStart w:id="11" w:name="page12"/>
    <w:bookmarkEnd w:id="11"/>
    <w:p>
      <w:pPr>
        <w:jc w:val="both"/>
        <w:ind w:left="840" w:right="120" w:firstLine="640"/>
        <w:spacing w:after="0" w:line="261" w:lineRule="auto"/>
        <w:tabs>
          <w:tab w:leader="none" w:pos="1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right="160" w:firstLine="640"/>
        <w:spacing w:after="0" w:line="312" w:lineRule="auto"/>
        <w:tabs>
          <w:tab w:leader="none" w:pos="172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840" w:right="40" w:firstLine="640"/>
        <w:spacing w:after="0" w:line="261" w:lineRule="auto"/>
        <w:tabs>
          <w:tab w:leader="none" w:pos="17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ind w:left="840" w:firstLine="640"/>
        <w:spacing w:after="0" w:line="254" w:lineRule="auto"/>
        <w:tabs>
          <w:tab w:leader="none" w:pos="1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right="60" w:firstLine="640"/>
        <w:spacing w:after="0" w:line="282" w:lineRule="auto"/>
        <w:tabs>
          <w:tab w:leader="none" w:pos="1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337" w:right="479" w:bottom="1440" w:gutter="0" w:footer="0" w:header="0"/>
        </w:sectPr>
      </w:pPr>
    </w:p>
    <w:bookmarkStart w:id="12" w:name="page13"/>
    <w:bookmarkEnd w:id="12"/>
    <w:p>
      <w:pPr>
        <w:ind w:left="360" w:hanging="176"/>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p>
    <w:p>
      <w:pPr>
        <w:spacing w:after="0" w:line="225" w:lineRule="exact"/>
        <w:rPr>
          <w:rFonts w:ascii="Times New Roman" w:cs="Times New Roman" w:eastAsia="Times New Roman" w:hAnsi="Times New Roman"/>
          <w:sz w:val="18"/>
          <w:szCs w:val="18"/>
          <w:color w:val="auto"/>
        </w:rPr>
      </w:pPr>
    </w:p>
    <w:p>
      <w:pPr>
        <w:ind w:left="840" w:firstLine="640"/>
        <w:spacing w:after="0" w:line="266" w:lineRule="auto"/>
        <w:tabs>
          <w:tab w:leader="none" w:pos="162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Limitation</w:t>
      </w:r>
      <w:r>
        <w:rPr>
          <w:rFonts w:ascii="Times New Roman" w:cs="Times New Roman" w:eastAsia="Times New Roman" w:hAnsi="Times New Roman"/>
          <w:sz w:val="17"/>
          <w:szCs w:val="17"/>
          <w:color w:val="auto"/>
        </w:rPr>
        <w:t>” shall be 49.99%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49.99% of the number of shares of the Common Stock outstanding immediately after giving effect to the issuance of shares of Common Stock upon exercise of this Warrant held by the Holder and the provisions of this</w:t>
      </w:r>
    </w:p>
    <w:p>
      <w:pPr>
        <w:spacing w:after="0" w:line="211" w:lineRule="exact"/>
        <w:rPr>
          <w:sz w:val="20"/>
          <w:szCs w:val="20"/>
          <w:color w:val="auto"/>
        </w:rPr>
      </w:pPr>
    </w:p>
    <w:p>
      <w:pPr>
        <w:ind w:left="840" w:right="80"/>
        <w:spacing w:after="0" w:line="234" w:lineRule="auto"/>
        <w:rPr>
          <w:sz w:val="20"/>
          <w:szCs w:val="20"/>
          <w:color w:val="auto"/>
        </w:rPr>
      </w:pPr>
      <w:r>
        <w:rPr>
          <w:rFonts w:ascii="Times New Roman" w:cs="Times New Roman" w:eastAsia="Times New Roman" w:hAnsi="Times New Roman"/>
          <w:sz w:val="18"/>
          <w:szCs w:val="18"/>
          <w:color w:val="auto"/>
        </w:rPr>
        <w:t>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840" w:right="300" w:firstLine="640"/>
        <w:spacing w:after="0" w:line="266" w:lineRule="auto"/>
        <w:tabs>
          <w:tab w:leader="none" w:pos="1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exercise of this Warrant, and a Holder shall not have the right to exercise any portion of this Warrant, pursuant to Section 2 or otherwise, to the extent that the Company determines that the approval of its stockholders is required by the applicable rules of the Nasdaq Capital Market.</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right="20" w:firstLine="644"/>
        <w:spacing w:after="0" w:line="253"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14" w:name="page15"/>
    <w:bookmarkEnd w:id="14"/>
    <w:p>
      <w:pPr>
        <w:ind w:left="-460" w:firstLine="644"/>
        <w:spacing w:after="0" w:line="251"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337" w:right="399" w:bottom="1440" w:gutter="0" w:footer="0" w:header="0"/>
        </w:sectPr>
      </w:pPr>
    </w:p>
    <w:bookmarkStart w:id="15" w:name="page16"/>
    <w:bookmarkEnd w:id="15"/>
    <w:p>
      <w:pPr>
        <w:ind w:left="-460" w:firstLine="644"/>
        <w:spacing w:after="0" w:line="266" w:lineRule="auto"/>
        <w:tabs>
          <w:tab w:leader="none" w:pos="3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89" w:lineRule="auto"/>
        <w:tabs>
          <w:tab w:leader="none" w:pos="162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ind w:left="840" w:firstLine="640"/>
        <w:spacing w:after="0" w:line="252" w:lineRule="auto"/>
        <w:tabs>
          <w:tab w:leader="none" w:pos="16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ind w:right="40" w:firstLine="644"/>
        <w:spacing w:after="0" w:line="256"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820" w:hanging="17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w:t>
      </w:r>
    </w:p>
    <w:p>
      <w:pPr>
        <w:spacing w:after="0" w:line="27"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40" w:firstLine="644"/>
        <w:spacing w:after="0" w:line="25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17" w:name="page18"/>
    <w:bookmarkEnd w:id="17"/>
    <w:p>
      <w:pPr>
        <w:ind w:right="40" w:firstLine="644"/>
        <w:spacing w:after="0" w:line="261"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61" w:lineRule="auto"/>
        <w:tabs>
          <w:tab w:leader="none" w:pos="8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ind w:right="120" w:firstLine="644"/>
        <w:spacing w:after="0" w:line="258"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right="260" w:firstLine="644"/>
        <w:spacing w:after="0" w:line="312" w:lineRule="auto"/>
        <w:tabs>
          <w:tab w:leader="none" w:pos="83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39" w:lineRule="exact"/>
        <w:rPr>
          <w:rFonts w:ascii="Times New Roman" w:cs="Times New Roman" w:eastAsia="Times New Roman" w:hAnsi="Times New Roman"/>
          <w:sz w:val="17"/>
          <w:szCs w:val="17"/>
          <w:color w:val="auto"/>
        </w:rPr>
      </w:pPr>
    </w:p>
    <w:p>
      <w:pPr>
        <w:ind w:left="840" w:hanging="196"/>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 w:name="page19"/>
    <w:bookmarkEnd w:id="18"/>
    <w:p>
      <w:pPr>
        <w:ind w:left="180" w:right="4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180" w:right="12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52" w:lineRule="auto"/>
        <w:tabs>
          <w:tab w:leader="none" w:pos="3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Court of Chancery in the State of Delaware. Each party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19" w:name="page20"/>
    <w:bookmarkEnd w:id="19"/>
    <w:p>
      <w:pPr>
        <w:ind w:left="4" w:right="200" w:firstLine="644"/>
        <w:spacing w:after="0" w:line="282" w:lineRule="auto"/>
        <w:tabs>
          <w:tab w:leader="none" w:pos="8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 w:firstLine="644"/>
        <w:spacing w:after="0" w:line="256" w:lineRule="auto"/>
        <w:tabs>
          <w:tab w:leader="none" w:pos="8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 w:firstLine="644"/>
        <w:spacing w:after="0" w:line="267" w:lineRule="auto"/>
        <w:tabs>
          <w:tab w:leader="none" w:pos="84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2220 Hicks Road, Suite 210, Rolling Meadows, Illinois 60008, Attention: Chief Executive Officer, email address: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3"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337" w:right="419" w:bottom="1440" w:gutter="0" w:footer="0" w:header="0"/>
        </w:sectPr>
      </w:pPr>
    </w:p>
    <w:bookmarkStart w:id="20" w:name="page21"/>
    <w:bookmarkEnd w:id="20"/>
    <w:p>
      <w:pPr>
        <w:ind w:left="-460" w:right="40" w:firstLine="644"/>
        <w:spacing w:after="0" w:line="261" w:lineRule="auto"/>
        <w:tabs>
          <w:tab w:leader="none" w:pos="3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3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40" w:firstLine="644"/>
        <w:spacing w:after="0" w:line="282" w:lineRule="auto"/>
        <w:tabs>
          <w:tab w:leader="none" w:pos="3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6" w:lineRule="auto"/>
        <w:tabs>
          <w:tab w:leader="none" w:pos="4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1" w:name="page22"/>
    <w:bookmarkEnd w:id="2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7" w:right="6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right="220" w:firstLine="1304"/>
        <w:spacing w:after="0" w:line="28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2280" w:hanging="328"/>
        <w:spacing w:after="0" w:line="266" w:lineRule="auto"/>
        <w:tabs>
          <w:tab w:leader="none" w:pos="2280" w:val="left"/>
        </w:tabs>
        <w:numPr>
          <w:ilvl w:val="1"/>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pre-funded warrants to purchase _______ ( ) shares of common stock under the foregoing Warrant and all rights evidenced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are hereby assigned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5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466"/>
        </w:trPr>
        <w:tc>
          <w:tcPr>
            <w:tcW w:w="67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2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2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Holder’s Name:</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65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17"/>
                <w:szCs w:val="17"/>
                <w:color w:val="auto"/>
              </w:rPr>
            </w:pP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39"/>
        </w:trPr>
        <w:tc>
          <w:tcPr>
            <w:tcW w:w="67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871"/>
        </w:trPr>
        <w:tc>
          <w:tcPr>
            <w:tcW w:w="6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SIX (6) MONTHS AFTER MAY 22, 2025,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E-[_]</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value received, promises to pay to [_______], a [____________]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registered assigns, the principal sum of up to [_______] Dollars ($[________]) (such principal sum,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November 22, 2026,</w:t>
      </w:r>
    </w:p>
    <w:p>
      <w:pPr>
        <w:spacing w:after="0" w:line="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and to pay any outstanding interest thereon, as provided in this Note, in each case as provided in and subject to the other provisions of this Note, including the earlier redemption, repurchase or conversion of this Note.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Agrify Corporation has caused this instrument to be duly executed as of the date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6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grify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r>
      <w:tr>
        <w:trPr>
          <w:trHeight w:val="43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2025</w:t>
            </w:r>
          </w:p>
        </w:tc>
        <w:tc>
          <w:tcPr>
            <w:tcW w:w="86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2640" w:type="dxa"/>
            <w:vAlign w:val="bottom"/>
          </w:tcPr>
          <w:p>
            <w:pPr>
              <w:spacing w:after="0"/>
              <w:rPr>
                <w:sz w:val="17"/>
                <w:szCs w:val="17"/>
                <w:color w:val="auto"/>
              </w:rPr>
            </w:pPr>
          </w:p>
        </w:tc>
        <w:tc>
          <w:tcPr>
            <w:tcW w:w="4680" w:type="dxa"/>
            <w:vAlign w:val="bottom"/>
          </w:tcPr>
          <w:p>
            <w:pPr>
              <w:ind w:left="4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2640" w:type="dxa"/>
            <w:vAlign w:val="bottom"/>
          </w:tcPr>
          <w:p>
            <w:pPr>
              <w:spacing w:after="0"/>
              <w:rPr>
                <w:sz w:val="20"/>
                <w:szCs w:val="20"/>
                <w:color w:val="auto"/>
              </w:rPr>
            </w:pPr>
          </w:p>
        </w:tc>
        <w:tc>
          <w:tcPr>
            <w:tcW w:w="86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414"/>
        </w:trPr>
        <w:tc>
          <w:tcPr>
            <w:tcW w:w="2640" w:type="dxa"/>
            <w:vAlign w:val="bottom"/>
          </w:tcPr>
          <w:p>
            <w:pPr>
              <w:spacing w:after="0"/>
              <w:rPr>
                <w:sz w:val="24"/>
                <w:szCs w:val="24"/>
                <w:color w:val="auto"/>
              </w:rPr>
            </w:pPr>
          </w:p>
        </w:tc>
        <w:tc>
          <w:tcPr>
            <w:tcW w:w="8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(Signature Page to Secured</w:t>
            </w:r>
          </w:p>
        </w:tc>
      </w:tr>
      <w:tr>
        <w:trPr>
          <w:trHeight w:val="234"/>
        </w:trPr>
        <w:tc>
          <w:tcPr>
            <w:tcW w:w="2640" w:type="dxa"/>
            <w:vAlign w:val="bottom"/>
          </w:tcPr>
          <w:p>
            <w:pPr>
              <w:spacing w:after="0"/>
              <w:rPr>
                <w:sz w:val="20"/>
                <w:szCs w:val="20"/>
                <w:color w:val="auto"/>
              </w:rPr>
            </w:pPr>
          </w:p>
        </w:tc>
        <w:tc>
          <w:tcPr>
            <w:tcW w:w="8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Convertible Note due 2026, Certificate No. E-[_])</w:t>
            </w:r>
          </w:p>
        </w:tc>
      </w:tr>
      <w:tr>
        <w:trPr>
          <w:trHeight w:val="682"/>
        </w:trPr>
        <w:tc>
          <w:tcPr>
            <w:tcW w:w="26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This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by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designated as its “Secured Convertible Notes due 2026.”</w:t>
      </w:r>
    </w:p>
    <w:p>
      <w:pPr>
        <w:spacing w:after="0" w:line="15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Note is one of a series of secured convertible notes issued on the date hereof with an aggregate original principal amount of $30,000,000.00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under the Securities Act.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w:t>
      </w:r>
    </w:p>
    <w:p>
      <w:pPr>
        <w:spacing w:after="0" w:line="182"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6"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all cash and liquid funds.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w:t>
      </w:r>
    </w:p>
    <w:p>
      <w:pPr>
        <w:spacing w:after="0" w:line="8" w:lineRule="exact"/>
        <w:rPr>
          <w:sz w:val="20"/>
          <w:szCs w:val="20"/>
          <w:color w:val="auto"/>
        </w:rPr>
      </w:pPr>
    </w:p>
    <w:p>
      <w:pPr>
        <w:ind w:right="80" w:firstLine="8"/>
        <w:spacing w:after="0" w:line="260" w:lineRule="auto"/>
        <w:tabs>
          <w:tab w:leader="none" w:pos="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(ii) has net assets of not less than $5,000,000,000, and (iii) has the highest rating obtainable from either Standard &amp; Poor’s Corporation or Moody’s Investors Service.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applied to any Person, any direct or indirect liability, contingent or otherwise, of that Person with respect to</w:t>
      </w:r>
    </w:p>
    <w:p>
      <w:pPr>
        <w:spacing w:after="0" w:line="31" w:lineRule="exact"/>
        <w:rPr>
          <w:sz w:val="20"/>
          <w:szCs w:val="20"/>
          <w:color w:val="auto"/>
        </w:rPr>
      </w:pPr>
    </w:p>
    <w:p>
      <w:pPr>
        <w:ind w:firstLine="8"/>
        <w:spacing w:after="0" w:line="251"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first Business Day on which the requirements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 xml:space="preserve"> to convert this Note are satisfied.</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an amount equal to $23.53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59" w:lineRule="exact"/>
        <w:rPr>
          <w:sz w:val="20"/>
          <w:szCs w:val="20"/>
          <w:color w:val="auto"/>
        </w:rPr>
      </w:pPr>
    </w:p>
    <w:p>
      <w:pPr>
        <w:ind w:left="1600" w:hanging="296"/>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of clauses (A), (B) and (C), at any point prior to the one hundred eighty-first (181st) day after the Maturity Date.</w:t>
      </w:r>
    </w:p>
    <w:p>
      <w:pPr>
        <w:spacing w:after="0" w:line="22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Exchange</w:t>
      </w:r>
      <w:r>
        <w:rPr>
          <w:rFonts w:ascii="Times New Roman" w:cs="Times New Roman" w:eastAsia="Times New Roman" w:hAnsi="Times New Roman"/>
          <w:sz w:val="18"/>
          <w:szCs w:val="18"/>
          <w:color w:val="auto"/>
        </w:rPr>
        <w:t>” means any of The New York Stock Exchange, The NYSE American LLC, The Nasdaq Capital Market, The Nasdaq Global Market or The Nasdaq Global Select Market (or any of their respective successors).</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7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Acceleration Amount</w:t>
      </w:r>
      <w:r>
        <w:rPr>
          <w:rFonts w:ascii="Times New Roman" w:cs="Times New Roman" w:eastAsia="Times New Roman" w:hAnsi="Times New Roman"/>
          <w:sz w:val="18"/>
          <w:szCs w:val="18"/>
          <w:color w:val="auto"/>
        </w:rPr>
        <w:t xml:space="preserve">” means, with respect to the delivery of a notice pursuant to </w:t>
      </w:r>
      <w:r>
        <w:rPr>
          <w:rFonts w:ascii="Times New Roman" w:cs="Times New Roman" w:eastAsia="Times New Roman" w:hAnsi="Times New Roman"/>
          <w:sz w:val="18"/>
          <w:szCs w:val="18"/>
          <w:b w:val="1"/>
          <w:bCs w:val="1"/>
          <w:color w:val="auto"/>
        </w:rPr>
        <w:t>Section 11(B)(ii)</w:t>
      </w:r>
      <w:r>
        <w:rPr>
          <w:rFonts w:ascii="Times New Roman" w:cs="Times New Roman" w:eastAsia="Times New Roman" w:hAnsi="Times New Roman"/>
          <w:sz w:val="18"/>
          <w:szCs w:val="18"/>
          <w:color w:val="auto"/>
        </w:rPr>
        <w:t xml:space="preserve"> declaring this Note to be due and payable immediately on account of an Event of Default, a cash amount equal to one hundred percent (100%) of the then outstanding Principal Amount of this Note (or such lesser principal amount accelerated pursuant to such notice) plus accrued and unpaid interest on this Note.</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means the Company’s Senior Secured Convertible Note due 2026, as amended, originally issued on November 5,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three month period ending March 31, June 30, September 30, and December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unless the context provides otherwise.</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has the meaning set forth in the cover page of this Note.</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the first calendar day of each September and March during the term of this Note, beginning on September 1, 2025; and (B) if not otherwise included in clause (A), the Maturity Date.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 w:name="page33"/>
    <w:bookmarkEnd w:id="32"/>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22, 2025.</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w:t>
      </w:r>
    </w:p>
    <w:p>
      <w:pPr>
        <w:spacing w:after="0" w:line="18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November 22,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is not exclusive, unless the context expressly provides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Holder</w:t>
      </w:r>
      <w:r>
        <w:rPr>
          <w:rFonts w:ascii="Times New Roman" w:cs="Times New Roman" w:eastAsia="Times New Roman" w:hAnsi="Times New Roman"/>
          <w:sz w:val="18"/>
          <w:szCs w:val="18"/>
          <w:color w:val="auto"/>
        </w:rPr>
        <w:t>” means any person in whose name any Other Note is registered on the books of the Company.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3" w:name="page34"/>
    <w:bookmarkEnd w:id="33"/>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Intellectual Property Licenses</w:t>
      </w:r>
      <w:r>
        <w:rPr>
          <w:rFonts w:ascii="Times New Roman" w:cs="Times New Roman" w:eastAsia="Times New Roman" w:hAnsi="Times New Roman"/>
          <w:sz w:val="18"/>
          <w:szCs w:val="18"/>
          <w:color w:val="auto"/>
        </w:rPr>
        <w:t>” means (A) intellectual property licenses in existence as of the Issuance Date,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179" w:lineRule="exact"/>
        <w:rPr>
          <w:sz w:val="20"/>
          <w:szCs w:val="20"/>
          <w:color w:val="auto"/>
        </w:rPr>
      </w:pPr>
    </w:p>
    <w:p>
      <w:pPr>
        <w:ind w:right="4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xml:space="preserve">” shall mean a warrant for the purchase of Common Stock, substantially in the form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xml:space="preserve">” has the meaning set forth in the cover page of this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Principal Amount of this Note will be subject to reduction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 certain date, holders of a majority of the aggregate principal amount under all outstanding Notes as of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has the meaning in </w:t>
      </w:r>
      <w:r>
        <w:rPr>
          <w:rFonts w:ascii="Times New Roman" w:cs="Times New Roman" w:eastAsia="Times New Roman" w:hAnsi="Times New Roman"/>
          <w:sz w:val="18"/>
          <w:szCs w:val="18"/>
          <w:b w:val="1"/>
          <w:bCs w:val="1"/>
          <w:color w:val="auto"/>
        </w:rPr>
        <w:t>Section 9(F)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Amended and Restated Security Agreement, dated May 22, 2025, between the Company, the Holder, and the holders of the other Notes, as amended, supplemented or otherwise modified from time to time.</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34" w:name="page35"/>
    <w:bookmarkEnd w:id="34"/>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any Subsidiary of such Person that constitutes a “significant subsidiary” (as defined in Rule 1-02(w) of Regulation S-X under the Exchange Act)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 Rate</w:t>
      </w:r>
      <w:r>
        <w:rPr>
          <w:rFonts w:ascii="Times New Roman" w:cs="Times New Roman" w:eastAsia="Times New Roman" w:hAnsi="Times New Roman"/>
          <w:sz w:val="18"/>
          <w:szCs w:val="18"/>
          <w:color w:val="auto"/>
        </w:rPr>
        <w:t>” means, as of any date, a rate per annum equal to ten percent (10.0%).</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Indebtedness subordinated to the Notes that is in amounts and on terms and conditions satisfactory to the Holder in its sole discretion.</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the same is, from time to time, in effect in the State of New York.</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5" w:name="page36"/>
    <w:bookmarkEnd w:id="35"/>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Conversion Price</w:t>
      </w:r>
      <w:r>
        <w:rPr>
          <w:rFonts w:ascii="Times New Roman" w:cs="Times New Roman" w:eastAsia="Times New Roman" w:hAnsi="Times New Roman"/>
          <w:sz w:val="18"/>
          <w:szCs w:val="18"/>
          <w:color w:val="auto"/>
        </w:rPr>
        <w:t>” means the Conversion Price less $0.001.</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eemed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and any Note issued in exchange therefor or in substitution thereof, will be in registered form, without coupons.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aturity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repayment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20" w:firstLine="1304"/>
        <w:spacing w:after="0" w:line="259" w:lineRule="auto"/>
        <w:tabs>
          <w:tab w:leader="none" w:pos="15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will accrue interest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on each Interest Payment Date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and (iv) be computed on the basis of a 360-day year comprised of twelve 30-day months.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6" w:name="page37"/>
    <w:bookmarkEnd w:id="36"/>
    <w:p>
      <w:pPr>
        <w:ind w:firstLine="1304"/>
        <w:spacing w:after="0" w:line="257" w:lineRule="auto"/>
        <w:tabs>
          <w:tab w:leader="none" w:pos="156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an Event of Default occurs, then in each case,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will accrue (rather than at the Stated Interest Rate, if applicable) on the Principal Amount outstanding as of the date of such Default or Event of Default at a rate per annum equal to the Stated Interest Rate plus four percent (4.0%),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184" w:lineRule="exact"/>
        <w:rPr>
          <w:rFonts w:ascii="Times New Roman" w:cs="Times New Roman" w:eastAsia="Times New Roman" w:hAnsi="Times New Roman"/>
          <w:sz w:val="18"/>
          <w:szCs w:val="18"/>
          <w:color w:val="auto"/>
        </w:rPr>
      </w:pPr>
    </w:p>
    <w:p>
      <w:pPr>
        <w:ind w:right="300" w:firstLine="656"/>
        <w:spacing w:after="0" w:line="284" w:lineRule="auto"/>
        <w:tabs>
          <w:tab w:leader="none" w:pos="9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Date Payment</w:t>
      </w:r>
      <w:r>
        <w:rPr>
          <w:rFonts w:ascii="Times New Roman" w:cs="Times New Roman" w:eastAsia="Times New Roman" w:hAnsi="Times New Roman"/>
          <w:sz w:val="18"/>
          <w:szCs w:val="18"/>
          <w:color w:val="auto"/>
        </w:rPr>
        <w:t>. On the Maturity Date, the Company will pay the Holder an amount in cash equal to the then-outstanding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plus any accrued and unpaid interest on this Note.</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The Company may not prepay the Note.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80" w:firstLine="656"/>
        <w:spacing w:after="0" w:line="258" w:lineRule="auto"/>
        <w:tabs>
          <w:tab w:leader="none" w:pos="9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all cash amounts due under this Note by wire transfer of immediately available funds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Holder that is provided to the Company on the date hereof, which account may be changed for any cash amount due under this Note by written notice provided by the Holder to the Company at least three (3) Business Days before the date such amount is due. Payments of Stated Interest at each Interest Payment Date (which, for the avoidance of doubt, for the purposes of this sentence shall include the Maturity Date) shall be made in the form of Pre-Funded Warrants, pursuant to the terms set forth in Section 5(C).</w:t>
      </w:r>
    </w:p>
    <w:p>
      <w:pPr>
        <w:spacing w:after="0" w:line="183" w:lineRule="exact"/>
        <w:rPr>
          <w:rFonts w:ascii="Times New Roman" w:cs="Times New Roman" w:eastAsia="Times New Roman" w:hAnsi="Times New Roman"/>
          <w:sz w:val="18"/>
          <w:szCs w:val="18"/>
          <w:color w:val="auto"/>
        </w:rPr>
      </w:pPr>
    </w:p>
    <w:p>
      <w:pPr>
        <w:ind w:right="120" w:firstLine="656"/>
        <w:spacing w:after="0" w:line="267" w:lineRule="auto"/>
        <w:tabs>
          <w:tab w:leader="none" w:pos="9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this Note as provided in this Note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73" w:lineRule="exact"/>
        <w:rPr>
          <w:rFonts w:ascii="Times New Roman" w:cs="Times New Roman" w:eastAsia="Times New Roman" w:hAnsi="Times New Roman"/>
          <w:sz w:val="18"/>
          <w:szCs w:val="18"/>
          <w:color w:val="auto"/>
        </w:rPr>
      </w:pPr>
    </w:p>
    <w:p>
      <w:pPr>
        <w:ind w:right="20" w:firstLine="656"/>
        <w:spacing w:after="0" w:line="257" w:lineRule="auto"/>
        <w:tabs>
          <w:tab w:leader="none" w:pos="9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of Stated Interest</w:t>
      </w:r>
      <w:r>
        <w:rPr>
          <w:rFonts w:ascii="Times New Roman" w:cs="Times New Roman" w:eastAsia="Times New Roman" w:hAnsi="Times New Roman"/>
          <w:sz w:val="18"/>
          <w:szCs w:val="18"/>
          <w:color w:val="auto"/>
        </w:rPr>
        <w:t>. Payments of Stated Interest at each Interest Payment Date, including payment of any Stated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Maturity Date, shall be made in the form of a Pre-Funded Warrant. The number of warrant shares for each such Pre-Funded Warrant shall be equal to (i) the amount of Stated Interest accrued and outstanding as of such Interest Payment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Warrant Conversion Price. Following an Interest Payment Date, Holder shall notify the Company, with sufficient detail, the Stated Interest accrued and outstanding as of such Interest Payment Date and the resulting number of warrant shares for such Pre-Funded Warrant. No later than ten Business Days following receipt of such notification, the Company shall issue to the Holder the applicable Pre-Funded Warrant, dated as of the applicable Interest Payment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Section 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100" w:firstLine="1385"/>
        <w:spacing w:after="0" w:line="268" w:lineRule="auto"/>
        <w:tabs>
          <w:tab w:leader="none" w:pos="15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into shares of Common Stock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Holder’s election, Pre-Funded Warrants, but only in an Authorized 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applying to the conversion of this Note in whole will equally apply to conversions of any permitted portion of this Note.</w:t>
      </w:r>
    </w:p>
    <w:p>
      <w:pPr>
        <w:spacing w:after="0" w:line="17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1385"/>
        <w:spacing w:after="0" w:line="284" w:lineRule="auto"/>
        <w:tabs>
          <w:tab w:leader="none" w:pos="15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Holder may convert this Note at any time until the Close of Business on the second (2nd) Scheduled 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Maturity Date.</w:t>
      </w:r>
    </w:p>
    <w:p>
      <w:pPr>
        <w:spacing w:after="0" w:line="15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57" w:lineRule="auto"/>
        <w:tabs>
          <w:tab w:leader="none" w:pos="15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 notice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If the Company fails to deliver, by the related Conversion Settlement Date, any shares of Common Stock or Pre-Funded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forming part of the Conversion Consideration of the conversion of this Note, the Holder, by notice to the Company, may rescind all or any portion of the corresponding Holder Conversion Notice at any time until such securities are delivered.</w:t>
      </w:r>
    </w:p>
    <w:p>
      <w:pPr>
        <w:spacing w:after="0" w:line="182" w:lineRule="exact"/>
        <w:rPr>
          <w:rFonts w:ascii="Times New Roman" w:cs="Times New Roman" w:eastAsia="Times New Roman" w:hAnsi="Times New Roman"/>
          <w:sz w:val="18"/>
          <w:szCs w:val="18"/>
          <w:color w:val="auto"/>
        </w:rPr>
      </w:pPr>
    </w:p>
    <w:p>
      <w:pPr>
        <w:jc w:val="both"/>
        <w:ind w:left="660" w:right="60" w:firstLine="644"/>
        <w:spacing w:after="0" w:line="261" w:lineRule="auto"/>
        <w:tabs>
          <w:tab w:leader="none" w:pos="157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shares of Common Stock is issuable upon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deemed to become the holder of record of such shares of Common Stock or Pre-Funded Warrants as of the Close of Business on the Conversion Date for such conversion, conferring, as of such time, upon such person, without limitation, all voting and other rights appurtenant to such securities.</w:t>
      </w:r>
    </w:p>
    <w:p>
      <w:pPr>
        <w:spacing w:after="0" w:line="179" w:lineRule="exact"/>
        <w:rPr>
          <w:rFonts w:ascii="Times New Roman" w:cs="Times New Roman" w:eastAsia="Times New Roman" w:hAnsi="Times New Roman"/>
          <w:sz w:val="18"/>
          <w:szCs w:val="18"/>
          <w:color w:val="auto"/>
        </w:rPr>
      </w:pPr>
    </w:p>
    <w:p>
      <w:pPr>
        <w:ind w:left="660" w:right="260" w:firstLine="644"/>
        <w:spacing w:after="0" w:line="284" w:lineRule="auto"/>
        <w:tabs>
          <w:tab w:leader="none" w:pos="16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If the Holder converts a Note, the Company will pay any documentary, stamp or similar issue or transfer tax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due on the issue of any shares of Common Stock or Pre-Funded Warrants upon such conversion.</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right="420" w:firstLine="644"/>
        <w:spacing w:after="0" w:line="286" w:lineRule="auto"/>
        <w:tabs>
          <w:tab w:leader="none" w:pos="15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 any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this Note, to be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will consist of the following:</w:t>
      </w:r>
    </w:p>
    <w:p>
      <w:pPr>
        <w:spacing w:after="0" w:line="154" w:lineRule="exact"/>
        <w:rPr>
          <w:rFonts w:ascii="Times New Roman" w:cs="Times New Roman" w:eastAsia="Times New Roman" w:hAnsi="Times New Roman"/>
          <w:sz w:val="18"/>
          <w:szCs w:val="18"/>
          <w:color w:val="auto"/>
        </w:rPr>
      </w:pPr>
    </w:p>
    <w:p>
      <w:pPr>
        <w:ind w:left="660" w:right="560" w:firstLine="1292"/>
        <w:spacing w:after="0" w:line="286" w:lineRule="auto"/>
        <w:tabs>
          <w:tab w:leader="none" w:pos="2211"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shares of Common Stock, a number of shares of Common Stock determined by dividing the Conversion Amount by the Conversion Price;</w:t>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8" w:name="page39"/>
    <w:bookmarkEnd w:id="38"/>
    <w:p>
      <w:pPr>
        <w:ind w:left="4" w:firstLine="1292"/>
        <w:spacing w:after="0" w:line="286" w:lineRule="auto"/>
        <w:tabs>
          <w:tab w:leader="none" w:pos="155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Pre-Funded Warrants, a number of Pre-Funded Warrants determined by dividing the Conversion Amount by the Warrant Conversion Price; and</w:t>
      </w:r>
    </w:p>
    <w:p>
      <w:pPr>
        <w:spacing w:after="0" w:line="158" w:lineRule="exact"/>
        <w:rPr>
          <w:rFonts w:ascii="Times New Roman" w:cs="Times New Roman" w:eastAsia="Times New Roman" w:hAnsi="Times New Roman"/>
          <w:sz w:val="18"/>
          <w:szCs w:val="18"/>
          <w:color w:val="auto"/>
        </w:rPr>
      </w:pPr>
    </w:p>
    <w:p>
      <w:pPr>
        <w:ind w:left="4" w:right="40" w:firstLine="1292"/>
        <w:spacing w:after="0" w:line="261" w:lineRule="auto"/>
        <w:tabs>
          <w:tab w:leader="none" w:pos="155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Company, a number of Pre-Funded Warrants equal to the quotient (rounded up to the closest whole number) obtained by dividing the aggregate accrued and unpaid interest on this Note to, but excluding, the Conversion Settlement Date by the Warrant Conversion Price.</w:t>
      </w:r>
    </w:p>
    <w:p>
      <w:pPr>
        <w:spacing w:after="0" w:line="177" w:lineRule="exact"/>
        <w:rPr>
          <w:rFonts w:ascii="Times New Roman" w:cs="Times New Roman" w:eastAsia="Times New Roman" w:hAnsi="Times New Roman"/>
          <w:sz w:val="18"/>
          <w:szCs w:val="18"/>
          <w:color w:val="auto"/>
        </w:rPr>
      </w:pPr>
    </w:p>
    <w:p>
      <w:pPr>
        <w:ind w:left="4" w:right="200" w:firstLine="644"/>
        <w:spacing w:after="0" w:line="261" w:lineRule="auto"/>
        <w:tabs>
          <w:tab w:leader="none" w:pos="91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shares of Common Stock or Pre-Funded Warrants due in respect of any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pursuant to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will be determined on the basis of the total Principal Amount of this Note to be converted with the same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or Pre-Funded Warrants is not a whole number, then such number will be rounded up to the nearest whole number.</w:t>
      </w:r>
    </w:p>
    <w:p>
      <w:pPr>
        <w:spacing w:after="0" w:line="179" w:lineRule="exact"/>
        <w:rPr>
          <w:rFonts w:ascii="Times New Roman" w:cs="Times New Roman" w:eastAsia="Times New Roman" w:hAnsi="Times New Roman"/>
          <w:sz w:val="18"/>
          <w:szCs w:val="18"/>
          <w:color w:val="auto"/>
        </w:rPr>
      </w:pPr>
    </w:p>
    <w:p>
      <w:pPr>
        <w:ind w:left="4" w:right="100" w:firstLine="644"/>
        <w:spacing w:after="0" w:line="261"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deliver the Conversion Consideration due upon the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40" w:firstLine="644"/>
        <w:spacing w:after="0" w:line="284" w:lineRule="auto"/>
        <w:tabs>
          <w:tab w:leader="none" w:pos="9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 Consideration therefor is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in settlement of such conversion, this Note will cease to be outstanding and all interest will cease to accrue on this Note.</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Issued upon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80" w:firstLine="644"/>
        <w:spacing w:after="0" w:line="258" w:lineRule="auto"/>
        <w:tabs>
          <w:tab w:leader="none" w:pos="8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share of Common Stock delivered pursuant to this Note will be a newly issued or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0" w:right="359" w:bottom="1440" w:gutter="0" w:footer="0" w:header="0"/>
        </w:sectPr>
      </w:pPr>
    </w:p>
    <w:bookmarkStart w:id="39" w:name="page40"/>
    <w:bookmarkEnd w:id="39"/>
    <w:p>
      <w:pPr>
        <w:ind w:left="304" w:hanging="304"/>
        <w:spacing w:after="0"/>
        <w:tabs>
          <w:tab w:leader="none" w:pos="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w:t>
      </w:r>
    </w:p>
    <w:p>
      <w:pPr>
        <w:spacing w:after="0" w:line="227" w:lineRule="exact"/>
        <w:rPr>
          <w:rFonts w:ascii="Times New Roman" w:cs="Times New Roman" w:eastAsia="Times New Roman" w:hAnsi="Times New Roman"/>
          <w:sz w:val="18"/>
          <w:szCs w:val="18"/>
          <w:color w:val="auto"/>
        </w:rPr>
      </w:pPr>
    </w:p>
    <w:p>
      <w:pPr>
        <w:ind w:left="4" w:right="100" w:firstLine="1292"/>
        <w:spacing w:after="0" w:line="266" w:lineRule="auto"/>
        <w:tabs>
          <w:tab w:leader="none" w:pos="155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644" w:right="200" w:firstLine="652"/>
        <w:spacing w:after="0" w:line="282" w:lineRule="auto"/>
        <w:tabs>
          <w:tab w:leader="none" w:pos="154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 or</w:t>
      </w:r>
    </w:p>
    <w:p>
      <w:pPr>
        <w:spacing w:after="0" w:line="161" w:lineRule="exact"/>
        <w:rPr>
          <w:rFonts w:ascii="Times New Roman" w:cs="Times New Roman" w:eastAsia="Times New Roman" w:hAnsi="Times New Roman"/>
          <w:sz w:val="18"/>
          <w:szCs w:val="18"/>
          <w:color w:val="auto"/>
        </w:rPr>
      </w:pPr>
    </w:p>
    <w:p>
      <w:pPr>
        <w:ind w:left="644" w:firstLine="652"/>
        <w:spacing w:after="0" w:line="268" w:lineRule="auto"/>
        <w:tabs>
          <w:tab w:leader="none" w:pos="1547"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similar event, 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7"/>
          <w:szCs w:val="17"/>
          <w:b w:val="1"/>
          <w:bCs w:val="1"/>
          <w:color w:val="auto"/>
        </w:rPr>
        <w:t>Common Stock Change Event</w:t>
      </w:r>
      <w:r>
        <w:rPr>
          <w:rFonts w:ascii="Times New Roman" w:cs="Times New Roman" w:eastAsia="Times New Roman" w:hAnsi="Times New Roman"/>
          <w:sz w:val="17"/>
          <w:szCs w:val="17"/>
          <w:color w:val="auto"/>
        </w:rPr>
        <w:t>,” and such other securities or other property, the “</w:t>
      </w:r>
      <w:r>
        <w:rPr>
          <w:rFonts w:ascii="Times New Roman" w:cs="Times New Roman" w:eastAsia="Times New Roman" w:hAnsi="Times New Roman"/>
          <w:sz w:val="17"/>
          <w:szCs w:val="17"/>
          <w:b w:val="1"/>
          <w:bCs w:val="1"/>
          <w:color w:val="auto"/>
        </w:rPr>
        <w:t>Reference Property</w:t>
      </w:r>
      <w:r>
        <w:rPr>
          <w:rFonts w:ascii="Times New Roman" w:cs="Times New Roman" w:eastAsia="Times New Roman" w:hAnsi="Times New Roman"/>
          <w:sz w:val="17"/>
          <w:szCs w:val="17"/>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7"/>
          <w:szCs w:val="17"/>
          <w:b w:val="1"/>
          <w:b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Property Unit</w:t>
      </w:r>
      <w:r>
        <w:rPr>
          <w:rFonts w:ascii="Times New Roman" w:cs="Times New Roman" w:eastAsia="Times New Roman" w:hAnsi="Times New Roman"/>
          <w:sz w:val="17"/>
          <w:szCs w:val="17"/>
          <w:color w:val="auto"/>
        </w:rPr>
        <w:t>”), then, notwithstanding anything to the contrary in this Note, at the effective time of such Common Stock Change Event,</w:t>
      </w:r>
    </w:p>
    <w:p>
      <w:pPr>
        <w:spacing w:after="0" w:line="4" w:lineRule="exact"/>
        <w:rPr>
          <w:rFonts w:ascii="Times New Roman" w:cs="Times New Roman" w:eastAsia="Times New Roman" w:hAnsi="Times New Roman"/>
          <w:sz w:val="17"/>
          <w:szCs w:val="17"/>
          <w:color w:val="auto"/>
        </w:rPr>
      </w:pPr>
    </w:p>
    <w:p>
      <w:pPr>
        <w:ind w:left="644" w:firstLine="4"/>
        <w:spacing w:after="0" w:line="251" w:lineRule="auto"/>
        <w:tabs>
          <w:tab w:leader="none" w:pos="8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in any related definitions) were instead a reference to the same number of Reference Property Units; and (y) for 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40" w:name="page41"/>
    <w:bookmarkEnd w:id="40"/>
    <w:p>
      <w:pPr>
        <w:ind w:left="4" w:right="480"/>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will also execute such instruments or agreements and such instruments or agreements will contain such additional provisions the Company reasonably determines are appropriate to preserve the economic interests of the Holder.</w:t>
      </w:r>
    </w:p>
    <w:p>
      <w:pPr>
        <w:spacing w:after="0" w:line="187" w:lineRule="exact"/>
        <w:rPr>
          <w:sz w:val="20"/>
          <w:szCs w:val="20"/>
          <w:color w:val="auto"/>
        </w:rPr>
      </w:pPr>
    </w:p>
    <w:p>
      <w:pPr>
        <w:ind w:left="904" w:hanging="256"/>
        <w:spacing w:after="0"/>
        <w:tabs>
          <w:tab w:leader="none" w:pos="9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60" w:firstLine="644"/>
        <w:spacing w:after="0" w:line="284" w:lineRule="auto"/>
        <w:tabs>
          <w:tab w:leader="none" w:pos="96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Conversions.</w:t>
      </w:r>
    </w:p>
    <w:p>
      <w:pPr>
        <w:spacing w:after="0" w:line="227" w:lineRule="exact"/>
        <w:rPr>
          <w:rFonts w:ascii="Times New Roman" w:cs="Times New Roman" w:eastAsia="Times New Roman" w:hAnsi="Times New Roman"/>
          <w:sz w:val="18"/>
          <w:szCs w:val="18"/>
          <w:color w:val="auto"/>
        </w:rPr>
      </w:pPr>
    </w:p>
    <w:p>
      <w:pPr>
        <w:ind w:left="4" w:firstLine="644"/>
        <w:spacing w:after="0" w:line="251" w:lineRule="auto"/>
        <w:tabs>
          <w:tab w:leader="none" w:pos="8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conversion of this Note, and the Holder shall not have the right to convert any portion of this Note, pursuant to Section 7 or otherwise, to the extent that after giving effect to such issuance after conversion as set forth on the applicable Holder Conversion Notice,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unconverted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7(I)(i),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7(I)(i) applies, the determination of whether this Note is convertible (in relation to other securities owned by the Holder together with any Affiliates and Attribution Parties) and of which portion of this Note is convertible shall be in the sole discretion of the Holder, and the submission of a Holder Conversion Notice shall be deemed to be the Holder’s determination of whether this Note is convertible (in relation to other securities owned by the Holder together with any Affiliates and Attribution Parties) and of which portion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7(I)(i),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its transfer agent setting forth the number of shares of Common Stock outstanding. Upon the written or oral request of the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[4.99%/49.99]% of the number of shares of the Common Stock outstanding immediately after giving effect to the issuance of shares of Common Stock issuable upon conversion of this Note. The Holder, upon notice to the Company, may increase or decrease the Beneficial Ownership Limitation provisions of this Section 7(I)(i), provided that the Beneficial Ownership Limitation in no event exceeds [9.99%/49.99%] of the number of shares of the Common Stock outstanding immediately after giving effect to the issuance of shares of Common Stock upon conversion of this Note held by the Holder and the provisions of this Section</w:t>
      </w:r>
    </w:p>
    <w:p>
      <w:pPr>
        <w:spacing w:after="0" w:line="3" w:lineRule="exact"/>
        <w:rPr>
          <w:sz w:val="20"/>
          <w:szCs w:val="20"/>
          <w:color w:val="auto"/>
        </w:rPr>
      </w:pPr>
    </w:p>
    <w:p>
      <w:pPr>
        <w:ind w:left="4" w:right="240"/>
        <w:spacing w:after="0" w:line="231" w:lineRule="auto"/>
        <w:rPr>
          <w:sz w:val="20"/>
          <w:szCs w:val="20"/>
          <w:color w:val="auto"/>
        </w:rPr>
      </w:pPr>
      <w:r>
        <w:rPr>
          <w:rFonts w:ascii="Times New Roman" w:cs="Times New Roman" w:eastAsia="Times New Roman" w:hAnsi="Times New Roman"/>
          <w:sz w:val="18"/>
          <w:szCs w:val="18"/>
          <w:color w:val="auto"/>
        </w:rPr>
        <w:t>7(I)(i)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7(I)(i)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Note</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ind w:left="660" w:right="60" w:firstLine="644"/>
        <w:spacing w:after="0" w:line="261" w:lineRule="auto"/>
        <w:tabs>
          <w:tab w:leader="none" w:pos="1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contained herein to the contrary, the Holder shall not be entitled to convert any portion of this Note until the Company has obtained the approval of the shareholders of the Company for such conversion in accordance with Listing Rule 5635(b) and 5635(d) of The Nasdaq Stock Market, Inc., as applicable, solely to the extent that, at such time, the Company determines that such approval is required under such Listing Rules for such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w:t>
      </w:r>
      <w:r>
        <w:rPr>
          <w:rFonts w:ascii="Times New Roman" w:cs="Times New Roman" w:eastAsia="Times New Roman" w:hAnsi="Times New Roman"/>
          <w:sz w:val="12"/>
          <w:szCs w:val="12"/>
          <w:b w:val="1"/>
          <w:bCs w:val="1"/>
          <w:color w:val="auto"/>
        </w:rPr>
        <w:t>ffirmative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120" w:firstLine="656"/>
        <w:spacing w:after="0" w:line="258" w:lineRule="auto"/>
        <w:tabs>
          <w:tab w:leader="none" w:pos="9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rFonts w:ascii="Times New Roman" w:cs="Times New Roman" w:eastAsia="Times New Roman" w:hAnsi="Times New Roman"/>
          <w:sz w:val="18"/>
          <w:szCs w:val="18"/>
          <w:color w:val="auto"/>
        </w:rPr>
      </w:pPr>
    </w:p>
    <w:p>
      <w:pPr>
        <w:ind w:right="40" w:firstLine="656"/>
        <w:spacing w:after="0" w:line="284" w:lineRule="auto"/>
        <w:tabs>
          <w:tab w:leader="none" w:pos="9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All payments due under this Note (i) shall rank</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the Existing Note and the other Notes, and (ii) shall rank senior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Indebtedness of the Company (other than the indebtedness described in clause (i)) and any Subordinated Indebtedness.</w:t>
      </w:r>
    </w:p>
    <w:p>
      <w:pPr>
        <w:spacing w:after="0" w:line="160" w:lineRule="exact"/>
        <w:rPr>
          <w:rFonts w:ascii="Times New Roman" w:cs="Times New Roman" w:eastAsia="Times New Roman" w:hAnsi="Times New Roman"/>
          <w:sz w:val="18"/>
          <w:szCs w:val="18"/>
          <w:color w:val="auto"/>
        </w:rPr>
      </w:pPr>
    </w:p>
    <w:p>
      <w:pPr>
        <w:ind w:firstLine="656"/>
        <w:spacing w:after="0" w:line="254" w:lineRule="auto"/>
        <w:tabs>
          <w:tab w:leader="none" w:pos="9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Holder is not a fiduciary or agent of the Company, the Holder will not have any obligations hereunder except those obligations expressly set forth herein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firstLine="656"/>
        <w:spacing w:after="0" w:line="254" w:lineRule="auto"/>
        <w:tabs>
          <w:tab w:leader="none" w:pos="91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91" w:lineRule="exact"/>
        <w:rPr>
          <w:rFonts w:ascii="Times New Roman" w:cs="Times New Roman" w:eastAsia="Times New Roman" w:hAnsi="Times New Roman"/>
          <w:sz w:val="18"/>
          <w:szCs w:val="18"/>
          <w:color w:val="auto"/>
        </w:rPr>
      </w:pPr>
    </w:p>
    <w:p>
      <w:pPr>
        <w:ind w:right="260" w:firstLine="656"/>
        <w:spacing w:after="0" w:line="257" w:lineRule="auto"/>
        <w:tabs>
          <w:tab w:leader="none" w:pos="9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held by Holder or its affiliates and any other warrants outstanding, plus</w:t>
      </w:r>
    </w:p>
    <w:p>
      <w:pPr>
        <w:spacing w:after="0" w:line="1" w:lineRule="exact"/>
        <w:rPr>
          <w:rFonts w:ascii="Times New Roman" w:cs="Times New Roman" w:eastAsia="Times New Roman" w:hAnsi="Times New Roman"/>
          <w:sz w:val="18"/>
          <w:szCs w:val="18"/>
          <w:color w:val="auto"/>
        </w:rPr>
      </w:pPr>
    </w:p>
    <w:p>
      <w:pPr>
        <w:ind w:right="40" w:firstLine="8"/>
        <w:spacing w:after="0" w:line="251"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number of shares of Common Stock that the Principal Amount and all accrued interest would convert into (assuming conversion of all amounts outstanding) under this Note, the other Notes, the Existing Note, and any other convertible instrument of the Company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Reserve Amount</w:t>
      </w:r>
      <w:r>
        <w:rPr>
          <w:rFonts w:ascii="Times New Roman" w:cs="Times New Roman" w:eastAsia="Times New Roman" w:hAnsi="Times New Roman"/>
          <w:sz w:val="18"/>
          <w:szCs w:val="18"/>
          <w:color w:val="auto"/>
        </w:rPr>
        <w:t>”), provided that at no time shall the number of shares of Common Stock reserved pursuant to this</w:t>
      </w:r>
      <w:r>
        <w:rPr>
          <w:rFonts w:ascii="Times New Roman" w:cs="Times New Roman" w:eastAsia="Times New Roman" w:hAnsi="Times New Roman"/>
          <w:sz w:val="18"/>
          <w:szCs w:val="18"/>
          <w:b w:val="1"/>
          <w:bCs w:val="1"/>
          <w:color w:val="auto"/>
        </w:rPr>
        <w:t xml:space="preserve"> Section 9(F) </w:t>
      </w:r>
      <w:r>
        <w:rPr>
          <w:rFonts w:ascii="Times New Roman" w:cs="Times New Roman" w:eastAsia="Times New Roman" w:hAnsi="Times New Roman"/>
          <w:sz w:val="18"/>
          <w:szCs w:val="18"/>
          <w:color w:val="auto"/>
        </w:rPr>
        <w:t>be reduced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hereunder,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2" w:lineRule="exact"/>
        <w:rPr>
          <w:sz w:val="20"/>
          <w:szCs w:val="20"/>
          <w:color w:val="auto"/>
        </w:rPr>
      </w:pPr>
    </w:p>
    <w:p>
      <w:pPr>
        <w:ind w:right="200" w:firstLine="656"/>
        <w:spacing w:after="0" w:line="262" w:lineRule="auto"/>
        <w:tabs>
          <w:tab w:leader="none" w:pos="9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(B) immediately after giving effect to such Business Combination Event, no Default or Event of Default will have occurred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w:t>
      </w:r>
      <w:r>
        <w:rPr>
          <w:rFonts w:ascii="Times New Roman" w:cs="Times New Roman" w:eastAsia="Times New Roman" w:hAnsi="Times New Roman"/>
          <w:sz w:val="12"/>
          <w:szCs w:val="12"/>
          <w:b w:val="1"/>
          <w:bCs w:val="1"/>
          <w:color w:val="auto"/>
        </w:rPr>
        <w:t>efaults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5" w:lineRule="exact"/>
        <w:rPr>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of the Principal Amount;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three (3) Business Days in the payment when due of the interest on this Note;</w:t>
      </w:r>
    </w:p>
    <w:p>
      <w:pPr>
        <w:spacing w:after="0" w:line="221" w:lineRule="exact"/>
        <w:rPr>
          <w:rFonts w:ascii="Times New Roman" w:cs="Times New Roman" w:eastAsia="Times New Roman" w:hAnsi="Times New Roman"/>
          <w:sz w:val="18"/>
          <w:szCs w:val="18"/>
          <w:color w:val="auto"/>
        </w:rPr>
      </w:pPr>
    </w:p>
    <w:p>
      <w:pPr>
        <w:jc w:val="both"/>
        <w:ind w:right="140" w:firstLine="1304"/>
        <w:spacing w:after="0" w:line="268" w:lineRule="auto"/>
        <w:tabs>
          <w:tab w:leader="none" w:pos="161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issue shares pursuant to this Note (or any portion of this Note)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7(C) </w:t>
      </w:r>
      <w:r>
        <w:rPr>
          <w:rFonts w:ascii="Times New Roman" w:cs="Times New Roman" w:eastAsia="Times New Roman" w:hAnsi="Times New Roman"/>
          <w:sz w:val="18"/>
          <w:szCs w:val="18"/>
          <w:color w:val="auto"/>
        </w:rPr>
        <w:t>upon the exercise of the Holder’s right with respect thereto that remains uncured for ten (10) Business Days following written notice of such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Holder;</w:t>
      </w:r>
    </w:p>
    <w:p>
      <w:pPr>
        <w:spacing w:after="0" w:line="172"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Company’s obligation to deliver when due any Event of Default Acceleration Amount;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timely deliver an Event of Default Notice or a materially false or inaccurate certification as to whether any Event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has occurred;</w:t>
      </w:r>
    </w:p>
    <w:p>
      <w:pPr>
        <w:spacing w:after="0" w:line="206" w:lineRule="exact"/>
        <w:rPr>
          <w:rFonts w:ascii="Times New Roman" w:cs="Times New Roman" w:eastAsia="Times New Roman" w:hAnsi="Times New Roman"/>
          <w:sz w:val="18"/>
          <w:szCs w:val="18"/>
          <w:color w:val="auto"/>
        </w:rPr>
      </w:pPr>
    </w:p>
    <w:p>
      <w:pPr>
        <w:ind w:right="40" w:firstLine="1304"/>
        <w:spacing w:after="0" w:line="258" w:lineRule="auto"/>
        <w:tabs>
          <w:tab w:leader="none" w:pos="16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Note, any other Note or the Existing Note, (in each case, other than a default set forth in clauses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(xix)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this Note, any other Note or the Existing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can be cured, then such default shall not be an Event of Default unless the Company has failed to cure such default within ten (10) Business Days after its occurrence;</w:t>
      </w:r>
    </w:p>
    <w:p>
      <w:pPr>
        <w:spacing w:after="0" w:line="183" w:lineRule="exact"/>
        <w:rPr>
          <w:rFonts w:ascii="Times New Roman" w:cs="Times New Roman" w:eastAsia="Times New Roman" w:hAnsi="Times New Roman"/>
          <w:sz w:val="18"/>
          <w:szCs w:val="18"/>
          <w:color w:val="auto"/>
        </w:rPr>
      </w:pPr>
    </w:p>
    <w:p>
      <w:pPr>
        <w:ind w:right="40" w:firstLine="1304"/>
        <w:spacing w:after="0" w:line="261" w:lineRule="auto"/>
        <w:tabs>
          <w:tab w:leader="none" w:pos="17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Existing Note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left="1580" w:hanging="296"/>
        <w:spacing w:after="0"/>
        <w:tabs>
          <w:tab w:leader="none" w:pos="1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comply with any covenant set forth in </w:t>
      </w:r>
      <w:r>
        <w:rPr>
          <w:rFonts w:ascii="Times New Roman" w:cs="Times New Roman" w:eastAsia="Times New Roman" w:hAnsi="Times New Roman"/>
          <w:sz w:val="18"/>
          <w:szCs w:val="18"/>
          <w:b w:val="1"/>
          <w:bCs w:val="1"/>
          <w:color w:val="auto"/>
        </w:rPr>
        <w:t>Section 9(W)</w:t>
      </w:r>
      <w:r>
        <w:rPr>
          <w:rFonts w:ascii="Times New Roman" w:cs="Times New Roman" w:eastAsia="Times New Roman" w:hAnsi="Times New Roman"/>
          <w:sz w:val="18"/>
          <w:szCs w:val="18"/>
          <w:color w:val="auto"/>
        </w:rPr>
        <w:t>of this Note;</w:t>
      </w:r>
    </w:p>
    <w:p>
      <w:pPr>
        <w:spacing w:after="0" w:line="229"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1304"/>
        <w:spacing w:after="0" w:line="255" w:lineRule="auto"/>
        <w:tabs>
          <w:tab w:leader="none" w:pos="15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Company or any of its Subsidiaries to pay when due or within any applicable grace period any Indebtedness having an individual principal amount in excess of at least five hundred thousand dollars ($3,000,000)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($3,000,000)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($3,000,000) to become or be declared due prior to its stated maturity;</w:t>
      </w:r>
    </w:p>
    <w:p>
      <w:pPr>
        <w:spacing w:after="0" w:line="188" w:lineRule="exact"/>
        <w:rPr>
          <w:rFonts w:ascii="Times New Roman" w:cs="Times New Roman" w:eastAsia="Times New Roman" w:hAnsi="Times New Roman"/>
          <w:sz w:val="18"/>
          <w:szCs w:val="18"/>
          <w:color w:val="auto"/>
        </w:rPr>
      </w:pPr>
    </w:p>
    <w:p>
      <w:pPr>
        <w:ind w:left="-20" w:right="120" w:firstLine="1304"/>
        <w:spacing w:after="0" w:line="256" w:lineRule="auto"/>
        <w:tabs>
          <w:tab w:leader="none" w:pos="16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orders or awards (or any settlement of any litigation or other proceeding that, if breached, could result in a judgment, order or award) for the payment of at least five hundred thousand dollars ($3,000,000)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187" w:lineRule="exact"/>
        <w:rPr>
          <w:rFonts w:ascii="Times New Roman" w:cs="Times New Roman" w:eastAsia="Times New Roman" w:hAnsi="Times New Roman"/>
          <w:sz w:val="18"/>
          <w:szCs w:val="18"/>
          <w:color w:val="auto"/>
        </w:rPr>
      </w:pPr>
    </w:p>
    <w:p>
      <w:pPr>
        <w:ind w:left="1680" w:hanging="396"/>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40" w:firstLine="1304"/>
        <w:spacing w:after="0" w:line="258" w:lineRule="auto"/>
        <w:tabs>
          <w:tab w:leader="none" w:pos="16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shall for any reason fail or cease to create a separate valid and perfected first priority (other than for Existing Note and the other Notes) Lien on the Collateral, in each case, in favor of the Holder in accordance with the terms thereof, or any material provision of the Security Agreement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83"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80" w:hanging="396"/>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20" w:hanging="436"/>
        <w:spacing w:after="0"/>
        <w:tabs>
          <w:tab w:leader="none" w:pos="1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45" w:name="page46"/>
    <w:bookmarkEnd w:id="45"/>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right="80" w:firstLine="1952"/>
        <w:spacing w:after="0" w:line="282" w:lineRule="auto"/>
        <w:tabs>
          <w:tab w:leader="none" w:pos="21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with respect to the Company or any of its Significant Subsidiaries under any foreign Bankruptcy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color w:val="auto"/>
        </w:rPr>
        <w:t>, such order or decree remains unstayed and in effect for at least thirty (30) days.</w:t>
      </w:r>
    </w:p>
    <w:p>
      <w:pPr>
        <w:spacing w:after="0" w:line="229" w:lineRule="exact"/>
        <w:rPr>
          <w:sz w:val="20"/>
          <w:szCs w:val="20"/>
          <w:color w:val="auto"/>
        </w:rPr>
      </w:pPr>
    </w:p>
    <w:p>
      <w:pPr>
        <w:ind w:left="1700" w:hanging="396"/>
        <w:spacing w:after="0"/>
        <w:tabs>
          <w:tab w:leader="none" w:pos="1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for the liquidation or dissolution of the Company:</w:t>
      </w:r>
    </w:p>
    <w:p>
      <w:pPr>
        <w:spacing w:after="0" w:line="22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p>
    <w:p>
      <w:pPr>
        <w:spacing w:after="0" w:line="223" w:lineRule="exact"/>
        <w:rPr>
          <w:rFonts w:ascii="Times New Roman" w:cs="Times New Roman" w:eastAsia="Times New Roman" w:hAnsi="Times New Roman"/>
          <w:sz w:val="18"/>
          <w:szCs w:val="18"/>
          <w:color w:val="auto"/>
        </w:rPr>
      </w:pPr>
    </w:p>
    <w:p>
      <w:pPr>
        <w:jc w:val="both"/>
        <w:ind w:right="180" w:firstLine="1304"/>
        <w:spacing w:after="0" w:line="262" w:lineRule="auto"/>
        <w:tabs>
          <w:tab w:leader="none" w:pos="15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ind w:firstLine="1304"/>
        <w:spacing w:after="0" w:line="262" w:lineRule="auto"/>
        <w:tabs>
          <w:tab w:leader="none" w:pos="15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and not solely with respect to a Subsidiary of the Company) occurs and has not been waived by the Required Holders, then the Holder, by notice to the Company, may declare this Note (or any portion thereof) to become due and payable immediately for cash in an amount equal to the Event of Default Acceleration Amount.</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6" w:name="page47"/>
    <w:bookmarkEnd w:id="46"/>
    <w:p>
      <w:pPr>
        <w:ind w:right="80" w:firstLine="656"/>
        <w:spacing w:after="0" w:line="261" w:lineRule="auto"/>
        <w:tabs>
          <w:tab w:leader="none" w:pos="9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Promptly, but in no event later than two (2) Business Days after an Event of Default, the Company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of such Event of Default to the Holder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All payments due under this Note shall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Note and the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notice or communication to the Company or Holder will be deemed to have been duly given if in writing and delivered in person or by first class mail (registered or certified, return receipt requested), electronic transmission (including e-mail) (with written confirmation of receipt)) or other similar means of unsecured electronic communication or overnight air courier guaranteeing next day delivery, or to the other’s address, which initially is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Brad Asher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617.415.1222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Bret Kravitz, General Counsel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233 S. Wacker Drive, Suite 5900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Ross Docksey and Zac Moskowitz</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Ross.Docksey@dentons.com; zac.moskowitz@dentons.com</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by notice to the Holder, may designate additional or different addresses for subsequent notices or communications. The Holder, by notice to the Company, may designate additional or different addresses for subsequent notices or communications.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in the manner provided above within the time prescribed, it will be deemed to have been duly given, whether or not the addressee receives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S</w:t>
      </w:r>
      <w:r>
        <w:rPr>
          <w:rFonts w:ascii="Times New Roman" w:cs="Times New Roman" w:eastAsia="Times New Roman" w:hAnsi="Times New Roman"/>
          <w:sz w:val="12"/>
          <w:szCs w:val="12"/>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Note will bind its successors and will inure to the benefit of the Holder’s successors and assigns. Holder may assign this Note to the extent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Section 18. 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amended, waived or modified unless in writing by the Company and the Required Holders, and no condition herein (express or implied) may be waived unless waived in writing by the Required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with any transaction contemplated 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IN CONNECTION WITH OR ARISING OUT OF THIS NOTE OR ANY TRANSACTION CONTEMPLATED HEREBY.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60" w:firstLine="648"/>
        <w:spacing w:after="0" w:line="281" w:lineRule="auto"/>
        <w:rPr>
          <w:sz w:val="20"/>
          <w:szCs w:val="20"/>
          <w:color w:val="auto"/>
        </w:rPr>
      </w:pPr>
      <w:r>
        <w:rPr>
          <w:rFonts w:ascii="Times New Roman" w:cs="Times New Roman" w:eastAsia="Times New Roman" w:hAnsi="Times New Roman"/>
          <w:sz w:val="17"/>
          <w:szCs w:val="17"/>
          <w:color w:val="auto"/>
        </w:rPr>
        <w:t>The Company and the Holder (A) agree that any suit, action or proceeding against it arising out of or relating to this Note may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exclusive jurisdiction of such court in any such suit, action or proceeding.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E</w:t>
      </w:r>
      <w:r>
        <w:rPr>
          <w:rFonts w:ascii="Times New Roman" w:cs="Times New Roman" w:eastAsia="Times New Roman" w:hAnsi="Times New Roman"/>
          <w:sz w:val="12"/>
          <w:szCs w:val="12"/>
          <w:b w:val="1"/>
          <w:bCs w:val="1"/>
          <w:color w:val="auto"/>
        </w:rPr>
        <w:t>nforcement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Secured Convertible Note due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Company to convert</w:t>
      </w:r>
    </w:p>
    <w:p>
      <w:pPr>
        <w:spacing w:after="0" w:line="27"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the following Principal Amount of this Note: $</w:t>
      </w:r>
      <w:r>
        <w:rPr>
          <w:sz w:val="20"/>
          <w:szCs w:val="20"/>
          <w:color w:val="auto"/>
        </w:rPr>
        <w:tab/>
      </w:r>
      <w:r>
        <w:rPr>
          <w:rFonts w:ascii="Times New Roman" w:cs="Times New Roman" w:eastAsia="Times New Roman" w:hAnsi="Times New Roman"/>
          <w:sz w:val="17"/>
          <w:szCs w:val="17"/>
          <w:color w:val="auto"/>
        </w:rPr>
        <w:t>,000 in accordance with the following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-19050</wp:posOffset>
            </wp:positionV>
            <wp:extent cx="1113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for Principal Amount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1399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be delivered for Principal Amount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13995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be delivered for accrued interest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13709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7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-119380</wp:posOffset>
            </wp:positionV>
            <wp:extent cx="36258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26035</wp:posOffset>
            </wp:positionV>
            <wp:extent cx="2623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SECURED CONVERTIBLE NOTE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May 22, 2025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RSLGH, LLC, a Delaware limited liability company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with reference to the following facts: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The Company issued to Holder that certain Secured Convertible Note, dated November 5, 2024, issued as Certificate No. D-1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capitalized terms used but not defined herein shall have the meanings set forth in the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and the Holder previously amended the Note pursuant to an Amendment and Waiver dated as of May 8, 2025.</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 On the Amendment Effective Date and simultaneously with the execution of this Amendment, the Company has issued new Secured Convertible Notes with an aggregate original principal amount of $30,000,000.00 to the Holder and to certain other investors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xml:space="preserve">”), which New Notes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 The Company and the Holder desire to amend the Note to (i) revise certain sections to reflect the issuance of the New Notes, and (ii) provide that the Holder may elect to receive pre-funded warrants in lieu of shares of Common Stock upon conversion of the Note.</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execution and delivery of the Holder and other good and valuable consideration, the receipt and sufficiency of which are hereby acknowledged, and intending to be legally bound hereby, the parties hereto hereby further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foregoing recitals are true and correct and are incorporated herein in their entirety.</w:t>
      </w:r>
    </w:p>
    <w:p>
      <w:pPr>
        <w:spacing w:after="0" w:line="225" w:lineRule="exact"/>
        <w:rPr>
          <w:rFonts w:ascii="Times New Roman" w:cs="Times New Roman" w:eastAsia="Times New Roman" w:hAnsi="Times New Roman"/>
          <w:sz w:val="18"/>
          <w:szCs w:val="18"/>
          <w:color w:val="auto"/>
        </w:rPr>
      </w:pPr>
    </w:p>
    <w:p>
      <w:pPr>
        <w:ind w:left="1300" w:right="2020" w:hanging="644"/>
        <w:spacing w:after="0" w:line="498" w:lineRule="auto"/>
        <w:tabs>
          <w:tab w:leader="none" w:pos="8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Note</w:t>
      </w:r>
      <w:r>
        <w:rPr>
          <w:rFonts w:ascii="Times New Roman" w:cs="Times New Roman" w:eastAsia="Times New Roman" w:hAnsi="Times New Roman"/>
          <w:sz w:val="18"/>
          <w:szCs w:val="18"/>
          <w:color w:val="auto"/>
        </w:rPr>
        <w:t>. As of the Amendment Effective Date, the Note is hereby amended or modified as follows: a. The following Note is hereby amended by adding the following defined terms:</w:t>
      </w:r>
    </w:p>
    <w:p>
      <w:pPr>
        <w:spacing w:after="0" w:line="1" w:lineRule="exact"/>
        <w:rPr>
          <w:sz w:val="20"/>
          <w:szCs w:val="20"/>
          <w:color w:val="auto"/>
        </w:rPr>
      </w:pPr>
    </w:p>
    <w:p>
      <w:pPr>
        <w:ind w:lef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shall mean those certain Secured Convertible Notes issued by the Company on May 22, 2025 to the Holder and certain other investors.</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Conversion Price</w:t>
      </w:r>
      <w:r>
        <w:rPr>
          <w:rFonts w:ascii="Times New Roman" w:cs="Times New Roman" w:eastAsia="Times New Roman" w:hAnsi="Times New Roman"/>
          <w:sz w:val="18"/>
          <w:szCs w:val="18"/>
          <w:color w:val="auto"/>
        </w:rPr>
        <w:t>” means the Conversion Price less $0.001.</w:t>
      </w:r>
    </w:p>
    <w:p>
      <w:pPr>
        <w:spacing w:after="0" w:line="225" w:lineRule="exact"/>
        <w:rPr>
          <w:sz w:val="20"/>
          <w:szCs w:val="20"/>
          <w:color w:val="auto"/>
        </w:rPr>
      </w:pPr>
    </w:p>
    <w:p>
      <w:pPr>
        <w:ind w:left="1620" w:hanging="316"/>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replacing the defined term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with the following:</w:t>
      </w:r>
    </w:p>
    <w:p>
      <w:pPr>
        <w:spacing w:after="0" w:line="225" w:lineRule="exact"/>
        <w:rPr>
          <w:sz w:val="20"/>
          <w:szCs w:val="20"/>
          <w:color w:val="auto"/>
        </w:rPr>
      </w:pPr>
    </w:p>
    <w:p>
      <w:pPr>
        <w:ind w:left="1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Amended and Restated Security Agreement, dated May 22, 2025, between the Company, the Holder, and the holders of the New Notes, as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left="500" w:hanging="316"/>
        <w:spacing w:after="0" w:line="28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deleting the defined terms “</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Mack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Turnkey Investment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500" w:hanging="316"/>
        <w:spacing w:after="0" w:line="268"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replacing all references to the defined term “</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in each place where the former term appears, except for Section 9(C) and Section 12, which sections shall be amended as set forth elsewhere in this Amendment.</w:t>
      </w:r>
    </w:p>
    <w:p>
      <w:pPr>
        <w:spacing w:after="0" w:line="170"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deleting all references to the defined term “</w:t>
      </w:r>
      <w:r>
        <w:rPr>
          <w:rFonts w:ascii="Times New Roman" w:cs="Times New Roman" w:eastAsia="Times New Roman" w:hAnsi="Times New Roman"/>
          <w:sz w:val="18"/>
          <w:szCs w:val="18"/>
          <w:b w:val="1"/>
          <w:bCs w:val="1"/>
          <w:color w:val="auto"/>
        </w:rPr>
        <w:t>Mack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deleting Section 7 in its entirety and replacing it with the following in lieu thereof:</w:t>
      </w:r>
    </w:p>
    <w:p>
      <w:pPr>
        <w:spacing w:after="0" w:line="2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2100" w:hanging="296"/>
        <w:spacing w:after="0"/>
        <w:tabs>
          <w:tab w:leader="none" w:pos="2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160" w:right="260" w:firstLine="1373"/>
        <w:spacing w:after="0" w:line="262" w:lineRule="auto"/>
        <w:tabs>
          <w:tab w:leader="none" w:pos="27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Common Stock or, at the Holder’s election, Pre-Funded Warrants, but only in an Authorized 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applying to the conversion of this Note in whole will equally apply to conversions of any permitted portion of this Note.</w:t>
      </w:r>
    </w:p>
    <w:p>
      <w:pPr>
        <w:spacing w:after="0" w:line="178" w:lineRule="exact"/>
        <w:rPr>
          <w:rFonts w:ascii="Times New Roman" w:cs="Times New Roman" w:eastAsia="Times New Roman" w:hAnsi="Times New Roman"/>
          <w:sz w:val="18"/>
          <w:szCs w:val="18"/>
          <w:color w:val="auto"/>
        </w:rPr>
      </w:pPr>
    </w:p>
    <w:p>
      <w:pPr>
        <w:ind w:left="2080" w:hanging="276"/>
        <w:spacing w:after="0"/>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right="240" w:firstLine="1373"/>
        <w:spacing w:after="0" w:line="284" w:lineRule="auto"/>
        <w:tabs>
          <w:tab w:leader="none" w:pos="27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Holder may convert this Note at any time until the Close of Business on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(2nd) Scheduled Trading Day immediately before the Maturity Date.</w:t>
      </w:r>
    </w:p>
    <w:p>
      <w:pPr>
        <w:spacing w:after="0" w:line="158" w:lineRule="exact"/>
        <w:rPr>
          <w:rFonts w:ascii="Times New Roman" w:cs="Times New Roman" w:eastAsia="Times New Roman" w:hAnsi="Times New Roman"/>
          <w:sz w:val="18"/>
          <w:szCs w:val="18"/>
          <w:color w:val="auto"/>
        </w:rPr>
      </w:pPr>
    </w:p>
    <w:p>
      <w:pPr>
        <w:ind w:left="2080" w:hanging="276"/>
        <w:spacing w:after="0"/>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right="140" w:firstLine="644"/>
        <w:spacing w:after="0" w:line="256" w:lineRule="auto"/>
        <w:tabs>
          <w:tab w:leader="none" w:pos="20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attached to this 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If the Company fails to deliver, by the related Conversion Settlement Date, any shares of Common Stock or Pre-Funded Warrants forming part of the Conversion Consideration of the conversion of this Note, the Holder, by notice to the Company, may rescind all or any portion of the corresponding Holder Conversion Notice at any time until such securities are delivered.</w:t>
      </w:r>
    </w:p>
    <w:p>
      <w:pPr>
        <w:spacing w:after="0" w:line="182" w:lineRule="exact"/>
        <w:rPr>
          <w:rFonts w:ascii="Times New Roman" w:cs="Times New Roman" w:eastAsia="Times New Roman" w:hAnsi="Times New Roman"/>
          <w:sz w:val="18"/>
          <w:szCs w:val="18"/>
          <w:color w:val="auto"/>
        </w:rPr>
      </w:pPr>
    </w:p>
    <w:p>
      <w:pPr>
        <w:ind w:left="1160" w:right="60" w:firstLine="644"/>
        <w:spacing w:after="0" w:line="261" w:lineRule="auto"/>
        <w:tabs>
          <w:tab w:leader="none" w:pos="20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shares of Common Stock is issuable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conversion of this Note will be deemed to become the holder of record of such shares of Common Stock or Pre-Funded Warrants as of the Close of Business on the Conversion Date for such conversion, conferring, as of such time, upon such person, without limitation, all voting and other rights appurtenant to such securities.</w:t>
      </w: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2" w:name="page53"/>
    <w:bookmarkEnd w:id="52"/>
    <w:p>
      <w:pPr>
        <w:ind w:left="1160" w:firstLine="644"/>
        <w:spacing w:after="0" w:line="315" w:lineRule="auto"/>
        <w:tabs>
          <w:tab w:leader="none" w:pos="212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Taxes and Duties. </w:t>
      </w:r>
      <w:r>
        <w:rPr>
          <w:rFonts w:ascii="Times New Roman" w:cs="Times New Roman" w:eastAsia="Times New Roman" w:hAnsi="Times New Roman"/>
          <w:sz w:val="17"/>
          <w:szCs w:val="17"/>
          <w:color w:val="auto"/>
        </w:rPr>
        <w:t>If the Holder converts a Note, the Company will pay any documentary, stamp or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 or transfer tax or duty due on the issue of any shares of Common Stock or Pre-Funded Warrants upon such conversion.</w:t>
      </w:r>
    </w:p>
    <w:p>
      <w:pPr>
        <w:spacing w:after="0" w:line="135" w:lineRule="exact"/>
        <w:rPr>
          <w:sz w:val="20"/>
          <w:szCs w:val="20"/>
          <w:color w:val="auto"/>
        </w:rPr>
      </w:pPr>
    </w:p>
    <w:p>
      <w:pPr>
        <w:ind w:left="2100" w:hanging="296"/>
        <w:spacing w:after="0"/>
        <w:tabs>
          <w:tab w:leader="none" w:pos="2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160" w:right="160" w:firstLine="644"/>
        <w:spacing w:after="0" w:line="268" w:lineRule="auto"/>
        <w:tabs>
          <w:tab w:leader="none" w:pos="20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portion of the outstanding Principal Amount of this Note, to be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will consist of the following:</w:t>
      </w:r>
    </w:p>
    <w:p>
      <w:pPr>
        <w:spacing w:after="0" w:line="170" w:lineRule="exact"/>
        <w:rPr>
          <w:rFonts w:ascii="Times New Roman" w:cs="Times New Roman" w:eastAsia="Times New Roman" w:hAnsi="Times New Roman"/>
          <w:sz w:val="18"/>
          <w:szCs w:val="18"/>
          <w:color w:val="auto"/>
        </w:rPr>
      </w:pPr>
    </w:p>
    <w:p>
      <w:pPr>
        <w:ind w:left="1160" w:right="480" w:firstLine="1292"/>
        <w:spacing w:after="0" w:line="286" w:lineRule="auto"/>
        <w:tabs>
          <w:tab w:leader="none" w:pos="27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shares of Common Stock, a number of shares of Common Stock determined by dividing the Conversion Amount by the Conversion Price;</w:t>
      </w:r>
    </w:p>
    <w:p>
      <w:pPr>
        <w:spacing w:after="0" w:line="154" w:lineRule="exact"/>
        <w:rPr>
          <w:rFonts w:ascii="Times New Roman" w:cs="Times New Roman" w:eastAsia="Times New Roman" w:hAnsi="Times New Roman"/>
          <w:sz w:val="18"/>
          <w:szCs w:val="18"/>
          <w:color w:val="auto"/>
        </w:rPr>
      </w:pPr>
    </w:p>
    <w:p>
      <w:pPr>
        <w:ind w:left="1160" w:right="180" w:firstLine="1292"/>
        <w:spacing w:after="0" w:line="286" w:lineRule="auto"/>
        <w:tabs>
          <w:tab w:leader="none" w:pos="27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Pre-Funded Warrants, a number of Pre-Funded Warrants determined by dividing the Conversion Amount by the Warrant Conversion Price; and</w:t>
      </w:r>
    </w:p>
    <w:p>
      <w:pPr>
        <w:spacing w:after="0" w:line="158" w:lineRule="exact"/>
        <w:rPr>
          <w:rFonts w:ascii="Times New Roman" w:cs="Times New Roman" w:eastAsia="Times New Roman" w:hAnsi="Times New Roman"/>
          <w:sz w:val="18"/>
          <w:szCs w:val="18"/>
          <w:color w:val="auto"/>
        </w:rPr>
      </w:pPr>
    </w:p>
    <w:p>
      <w:pPr>
        <w:jc w:val="both"/>
        <w:ind w:left="1160" w:right="200" w:firstLine="1292"/>
        <w:spacing w:after="0" w:line="261" w:lineRule="auto"/>
        <w:tabs>
          <w:tab w:leader="none" w:pos="27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Company, a number of Pre-Funded Warrants equal to the quotient (rounded up to the closest whole number) obtained by dividing the aggregate accrued and unpaid interest on this Note to, but excluding, the Conversion Settlement Date by the Warrant Conversion Price.</w:t>
      </w:r>
    </w:p>
    <w:p>
      <w:pPr>
        <w:spacing w:after="0" w:line="177" w:lineRule="exact"/>
        <w:rPr>
          <w:rFonts w:ascii="Times New Roman" w:cs="Times New Roman" w:eastAsia="Times New Roman" w:hAnsi="Times New Roman"/>
          <w:sz w:val="18"/>
          <w:szCs w:val="18"/>
          <w:color w:val="auto"/>
        </w:rPr>
      </w:pPr>
    </w:p>
    <w:p>
      <w:pPr>
        <w:jc w:val="both"/>
        <w:ind w:left="1160" w:firstLine="644"/>
        <w:spacing w:after="0" w:line="261" w:lineRule="auto"/>
        <w:tabs>
          <w:tab w:leader="none" w:pos="20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shares of Common Stock or Pre-Funded Warrants due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of this Note pursuant to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will be determined on the basis of the total Principal Amount of this Note to be converted with the same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or Pre-Funded Warrants is not a whole number, then such number will be rounded up to the nearest whole number.</w:t>
      </w:r>
    </w:p>
    <w:p>
      <w:pPr>
        <w:spacing w:after="0" w:line="179" w:lineRule="exact"/>
        <w:rPr>
          <w:rFonts w:ascii="Times New Roman" w:cs="Times New Roman" w:eastAsia="Times New Roman" w:hAnsi="Times New Roman"/>
          <w:sz w:val="18"/>
          <w:szCs w:val="18"/>
          <w:color w:val="auto"/>
        </w:rPr>
      </w:pPr>
    </w:p>
    <w:p>
      <w:pPr>
        <w:jc w:val="both"/>
        <w:ind w:left="1160" w:right="80" w:firstLine="644"/>
        <w:spacing w:after="0" w:line="258" w:lineRule="auto"/>
        <w:tabs>
          <w:tab w:leader="none" w:pos="21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deliver the Conversion Consideration due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this 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8"/>
          <w:szCs w:val="18"/>
          <w:b w:val="1"/>
          <w:bCs w:val="1"/>
          <w:color w:val="auto"/>
        </w:rPr>
        <w:t>Conversion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160" w:right="80" w:firstLine="644"/>
        <w:spacing w:after="0" w:line="267" w:lineRule="auto"/>
        <w:tabs>
          <w:tab w:leader="none" w:pos="21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therefor is issued or delivered in settlement of such conversion, this Note will cease to be outstanding and all interest will cease to accrue on this Note.</w:t>
      </w: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5" w:right="339" w:bottom="1440" w:gutter="0" w:footer="0" w:header="0"/>
        </w:sectPr>
      </w:pPr>
    </w:p>
    <w:bookmarkStart w:id="53" w:name="page54"/>
    <w:bookmarkEnd w:id="53"/>
    <w:p>
      <w:pPr>
        <w:ind w:left="2080" w:hanging="276"/>
        <w:spacing w:after="0"/>
        <w:tabs>
          <w:tab w:leader="none" w:pos="2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Issued upon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firstLine="644"/>
        <w:spacing w:after="0" w:line="257" w:lineRule="auto"/>
        <w:tabs>
          <w:tab w:leader="none" w:pos="20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share of Common Stock delivered pursuant to this Note will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w:t>
      </w:r>
    </w:p>
    <w:p>
      <w:pPr>
        <w:spacing w:after="0" w:line="182" w:lineRule="exact"/>
        <w:rPr>
          <w:rFonts w:ascii="Times New Roman" w:cs="Times New Roman" w:eastAsia="Times New Roman" w:hAnsi="Times New Roman"/>
          <w:sz w:val="18"/>
          <w:szCs w:val="18"/>
          <w:color w:val="auto"/>
        </w:rPr>
      </w:pPr>
    </w:p>
    <w:p>
      <w:pPr>
        <w:ind w:left="2060" w:hanging="256"/>
        <w:spacing w:after="0"/>
        <w:tabs>
          <w:tab w:leader="none" w:pos="2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2060" w:hanging="256"/>
        <w:spacing w:after="0"/>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100" w:hanging="296"/>
        <w:spacing w:after="0"/>
        <w:tabs>
          <w:tab w:leader="none" w:pos="2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100" w:hanging="296"/>
        <w:spacing w:after="0"/>
        <w:tabs>
          <w:tab w:leader="none" w:pos="2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w:t>
      </w:r>
    </w:p>
    <w:p>
      <w:pPr>
        <w:spacing w:after="0" w:line="227" w:lineRule="exact"/>
        <w:rPr>
          <w:rFonts w:ascii="Times New Roman" w:cs="Times New Roman" w:eastAsia="Times New Roman" w:hAnsi="Times New Roman"/>
          <w:sz w:val="18"/>
          <w:szCs w:val="18"/>
          <w:color w:val="auto"/>
        </w:rPr>
      </w:pPr>
    </w:p>
    <w:p>
      <w:pPr>
        <w:ind w:left="1160" w:right="220" w:firstLine="1292"/>
        <w:spacing w:after="0" w:line="261" w:lineRule="auto"/>
        <w:tabs>
          <w:tab w:leader="none" w:pos="27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9" w:lineRule="exact"/>
        <w:rPr>
          <w:rFonts w:ascii="Times New Roman" w:cs="Times New Roman" w:eastAsia="Times New Roman" w:hAnsi="Times New Roman"/>
          <w:sz w:val="18"/>
          <w:szCs w:val="18"/>
          <w:color w:val="auto"/>
        </w:rPr>
      </w:pPr>
    </w:p>
    <w:p>
      <w:pPr>
        <w:ind w:left="2700" w:hanging="248"/>
        <w:spacing w:after="0"/>
        <w:tabs>
          <w:tab w:leader="none" w:pos="27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1160" w:right="60" w:firstLine="1292"/>
        <w:spacing w:after="0" w:line="282" w:lineRule="auto"/>
        <w:tabs>
          <w:tab w:leader="none" w:pos="27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 or</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5" w:right="339" w:bottom="1440" w:gutter="0" w:footer="0" w:header="0"/>
        </w:sectPr>
      </w:pPr>
    </w:p>
    <w:bookmarkStart w:id="54" w:name="page55"/>
    <w:bookmarkEnd w:id="54"/>
    <w:p>
      <w:pPr>
        <w:ind w:left="1800"/>
        <w:spacing w:after="0"/>
        <w:rPr>
          <w:sz w:val="20"/>
          <w:szCs w:val="20"/>
          <w:color w:val="auto"/>
        </w:rPr>
      </w:pPr>
      <w:r>
        <w:rPr>
          <w:rFonts w:ascii="Times New Roman" w:cs="Times New Roman" w:eastAsia="Times New Roman" w:hAnsi="Times New Roman"/>
          <w:sz w:val="18"/>
          <w:szCs w:val="18"/>
          <w:color w:val="auto"/>
        </w:rPr>
        <w:t>(4) other similar event,</w:t>
      </w:r>
    </w:p>
    <w:p>
      <w:pPr>
        <w:spacing w:after="0" w:line="225" w:lineRule="exact"/>
        <w:rPr>
          <w:sz w:val="20"/>
          <w:szCs w:val="20"/>
          <w:color w:val="auto"/>
        </w:rPr>
      </w:pPr>
    </w:p>
    <w:p>
      <w:pPr>
        <w:ind w:left="1160" w:right="80"/>
        <w:spacing w:after="0" w:line="252"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or other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(or in any related definitions) were instead a reference to the same number of Reference Property Units; and (y)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For these purposes,</w:t>
      </w:r>
    </w:p>
    <w:p>
      <w:pPr>
        <w:spacing w:after="0" w:line="4" w:lineRule="exact"/>
        <w:rPr>
          <w:sz w:val="20"/>
          <w:szCs w:val="20"/>
          <w:color w:val="auto"/>
        </w:rPr>
      </w:pPr>
    </w:p>
    <w:p>
      <w:pPr>
        <w:ind w:left="1160" w:right="20" w:hanging="4"/>
        <w:spacing w:after="0" w:line="252" w:lineRule="auto"/>
        <w:tabs>
          <w:tab w:leader="none" w:pos="13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88" w:lineRule="exact"/>
        <w:rPr>
          <w:sz w:val="20"/>
          <w:szCs w:val="20"/>
          <w:color w:val="auto"/>
        </w:rPr>
      </w:pPr>
    </w:p>
    <w:p>
      <w:pPr>
        <w:ind w:left="1160" w:right="60"/>
        <w:spacing w:after="0" w:line="281" w:lineRule="auto"/>
        <w:rPr>
          <w:sz w:val="20"/>
          <w:szCs w:val="20"/>
          <w:color w:val="auto"/>
        </w:rPr>
      </w:pPr>
      <w:r>
        <w:rPr>
          <w:rFonts w:ascii="Times New Roman" w:cs="Times New Roman" w:eastAsia="Times New Roman" w:hAnsi="Times New Roman"/>
          <w:sz w:val="17"/>
          <w:szCs w:val="17"/>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164" w:lineRule="exact"/>
        <w:rPr>
          <w:sz w:val="20"/>
          <w:szCs w:val="20"/>
          <w:color w:val="auto"/>
        </w:rPr>
      </w:pPr>
    </w:p>
    <w:p>
      <w:pPr>
        <w:ind w:left="1160"/>
        <w:spacing w:after="0" w:line="254"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 other Person will also execute such instruments or agreements and such instruments or agreements will contain such additional provisions the Company reasonably determines are appropriate to preserve the economic interests of the Holder.</w:t>
      </w:r>
    </w:p>
    <w:p>
      <w:pPr>
        <w:spacing w:after="0" w:line="190" w:lineRule="exact"/>
        <w:rPr>
          <w:sz w:val="20"/>
          <w:szCs w:val="20"/>
          <w:color w:val="auto"/>
        </w:rPr>
      </w:pPr>
    </w:p>
    <w:p>
      <w:pPr>
        <w:ind w:left="2060" w:hanging="256"/>
        <w:spacing w:after="0"/>
        <w:tabs>
          <w:tab w:leader="none" w:pos="2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right="100" w:firstLine="644"/>
        <w:spacing w:after="0" w:line="284" w:lineRule="auto"/>
        <w:tabs>
          <w:tab w:leader="none" w:pos="21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are consistent with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55" w:name="page56"/>
    <w:bookmarkEnd w:id="55"/>
    <w:p>
      <w:pPr>
        <w:ind w:left="2020" w:hanging="216"/>
        <w:spacing w:after="0"/>
        <w:tabs>
          <w:tab w:leader="none" w:pos="2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Conversions.</w:t>
      </w:r>
    </w:p>
    <w:p>
      <w:pPr>
        <w:spacing w:after="0" w:line="227" w:lineRule="exact"/>
        <w:rPr>
          <w:sz w:val="20"/>
          <w:szCs w:val="20"/>
          <w:color w:val="auto"/>
        </w:rPr>
      </w:pPr>
    </w:p>
    <w:p>
      <w:pPr>
        <w:ind w:left="1160" w:firstLine="644"/>
        <w:spacing w:after="0" w:line="251" w:lineRule="auto"/>
        <w:tabs>
          <w:tab w:leader="none" w:pos="20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conversion of this Note, and the Holder shall not have the right to convert any portion of this Note, pursuant to Section 7 or otherwise, to the extent that after giving effect to such issuance after conversion as set forth on the applicable Holder Conversion Notice,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would beneficially own in excess of the Beneficial Ownership Limitation (as defined below).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sentence, the number of shares of Common Stock beneficially owned by the Holder and its Affiliates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unconverted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7(I)(i),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7(I)(i) applies, the determination of whether this Note is convertible (in relation to other securities owned by the Holder together with any Affiliates and Attribution Parties) and of which portion of this Note is convertible shall be in the sole discretion of the Holder, and the submission of a Holder Conversion Notice shall be deemed to be the Holder’s determination of whether this Note is convertible (in relation to other securities owned by the Holder together with any Affiliates and Attribution Parties) and of which portion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7(I)(i),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its transfer agent setting forth the number of shares of Common Stock outstanding. Upon the written or oral request of the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 of the number of shares of the Common Stock outstanding immediately after giving effect to the issuance of shares of Common Stock issuable upon conversion of this Note. The Holder, upon notice to the Company, may increase or decrease the Beneficial Ownership Limitation provisions of this Section 7(I)(i), provided that the Beneficial Ownership Limitation in no event exceeds 49.99% of the number of shares of the Common Stock outstanding immediately after giving effect to the issuance of shares of Common Stock upon conversion of this Note held by the Holder and the provisions of this Section 7(I)(i) shall continue to apply. Any increase in</w:t>
      </w:r>
    </w:p>
    <w:p>
      <w:pPr>
        <w:ind w:left="1160" w:right="20"/>
        <w:spacing w:after="0" w:line="234" w:lineRule="auto"/>
        <w:rPr>
          <w:sz w:val="20"/>
          <w:szCs w:val="20"/>
          <w:color w:val="auto"/>
        </w:rPr>
      </w:pPr>
      <w:r>
        <w:rPr>
          <w:rFonts w:ascii="Times New Roman" w:cs="Times New Roman" w:eastAsia="Times New Roman" w:hAnsi="Times New Roman"/>
          <w:sz w:val="18"/>
          <w:szCs w:val="18"/>
          <w:color w:val="auto"/>
        </w:rPr>
        <w:t>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7(I)(i)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Note</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5" w:right="339" w:bottom="1440" w:gutter="0" w:footer="0" w:header="0"/>
        </w:sectPr>
      </w:pPr>
    </w:p>
    <w:bookmarkStart w:id="56" w:name="page57"/>
    <w:bookmarkEnd w:id="56"/>
    <w:p>
      <w:pPr>
        <w:ind w:left="1624" w:right="20" w:firstLine="644"/>
        <w:spacing w:after="0" w:line="258" w:lineRule="auto"/>
        <w:tabs>
          <w:tab w:leader="none" w:pos="25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contained herein to the contrary, the Holder shall not be entitled to convert any portion of this Note until the Company has obtained the approval of the shareholders of the Company for such conversion in accordance with Listing Rule 5635(b) and 5635(d) of The Nasdaq Stock Market, Inc., as applicable, solely to the extent that, at such time, the Company determines that such approval is required under such Listing Rules for such conversion.”</w:t>
      </w:r>
    </w:p>
    <w:p>
      <w:pPr>
        <w:spacing w:after="0" w:line="183"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deleting Section 9(C) in its entirety and replacing it with the following in lieu thereof:</w:t>
      </w:r>
    </w:p>
    <w:p>
      <w:pPr>
        <w:spacing w:after="0" w:line="223" w:lineRule="exact"/>
        <w:rPr>
          <w:sz w:val="20"/>
          <w:szCs w:val="20"/>
          <w:color w:val="auto"/>
        </w:rPr>
      </w:pPr>
    </w:p>
    <w:p>
      <w:pPr>
        <w:ind w:left="1304" w:right="180"/>
        <w:spacing w:after="0" w:line="315"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Ranking.</w:t>
      </w:r>
      <w:r>
        <w:rPr>
          <w:rFonts w:ascii="Times New Roman" w:cs="Times New Roman" w:eastAsia="Times New Roman" w:hAnsi="Times New Roman"/>
          <w:sz w:val="17"/>
          <w:szCs w:val="17"/>
          <w:color w:val="auto"/>
        </w:rPr>
        <w:t xml:space="preserve"> All payments due under this Note (i) shall rank pari passu with the New Notes, and (ii) shall rank senior to all other Indebtedness of the Company (other than the indebtedness described in clause (i)) and any Subordinated Indebtedness.”</w:t>
      </w:r>
    </w:p>
    <w:p>
      <w:pPr>
        <w:spacing w:after="0" w:line="137" w:lineRule="exact"/>
        <w:rPr>
          <w:sz w:val="20"/>
          <w:szCs w:val="20"/>
          <w:color w:val="auto"/>
        </w:rPr>
      </w:pPr>
    </w:p>
    <w:p>
      <w:pPr>
        <w:ind w:left="964" w:hanging="316"/>
        <w:spacing w:after="0"/>
        <w:tabs>
          <w:tab w:leader="none" w:pos="9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hereby amended by deleting Section 12 in its entirety and replacing it with the following in lieu thereof:</w:t>
      </w:r>
    </w:p>
    <w:p>
      <w:pPr>
        <w:spacing w:after="0" w:line="22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04"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All payments due under this Note shall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New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75" w:lineRule="exact"/>
        <w:rPr>
          <w:sz w:val="20"/>
          <w:szCs w:val="20"/>
          <w:color w:val="auto"/>
        </w:rPr>
      </w:pPr>
    </w:p>
    <w:p>
      <w:pPr>
        <w:ind w:left="324" w:hanging="324"/>
        <w:spacing w:after="0" w:line="254"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Effect</w:t>
      </w:r>
      <w:r>
        <w:rPr>
          <w:rFonts w:ascii="Times New Roman" w:cs="Times New Roman" w:eastAsia="Times New Roman" w:hAnsi="Times New Roman"/>
          <w:sz w:val="18"/>
          <w:szCs w:val="18"/>
          <w:color w:val="auto"/>
        </w:rPr>
        <w:t xml:space="preserve">. The Note is not amended in any other respect. All other terms and provisions of the Note not herein specifically modified and amended shall remain in full force and effect as originally set forth therein, and the Company hereby ratifies and confirms all such terms and provisions as if such terms and provisions were restated herein in their entirety. All references in the Note, the Security Agreement or any related document or agreement (collectively, the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shall be deemed a reference to the Note as modified and amended herein. The Company agrees that its obligations under the Note and each other Loan Document are its valid and binding obligations, enforceable in accordance with their terms, subject to no defense, counterclaim, or objection. This Amendment amends the Note, and is intended to be a continuation of the obligations set forth therein and in each other Loan Document. Nothing in this Amendment is intended, nor shall be construed, to constitute a novation or an accord or satisfaction of the Note or any other Loan Document.</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337" w:right="399" w:bottom="1440" w:gutter="0" w:footer="0" w:header="0"/>
        </w:sectPr>
      </w:pPr>
    </w:p>
    <w:bookmarkStart w:id="57" w:name="page58"/>
    <w:bookmarkEnd w:id="57"/>
    <w:p>
      <w:pPr>
        <w:ind w:left="324" w:hanging="324"/>
        <w:spacing w:after="0"/>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right="120" w:hanging="316"/>
        <w:spacing w:after="0" w:line="255"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reaffirms and restates as of the date hereof each and every representation and warranty made by the Company in the Loan Documents except for representations or warranties that expressly relate to an earlier date. The representations and warranties made by the Company in the Loan Documents were true and correct in all material respects when made and are true and correct in all material respects as of the hereof, except to the extent of changes in the facts and circumstances after the date such representation and warranty was made that resulted from actions or inactions expressly contemplated by a Loan Document (it being understood and agreed that any representation or warranty which by its terms is made as of a specified date shall be required to be true and correct only as of such specified date).</w:t>
      </w:r>
    </w:p>
    <w:p>
      <w:pPr>
        <w:spacing w:after="0" w:line="188" w:lineRule="exact"/>
        <w:rPr>
          <w:rFonts w:ascii="Times New Roman" w:cs="Times New Roman" w:eastAsia="Times New Roman" w:hAnsi="Times New Roman"/>
          <w:sz w:val="18"/>
          <w:szCs w:val="18"/>
          <w:color w:val="auto"/>
        </w:rPr>
      </w:pPr>
    </w:p>
    <w:p>
      <w:pPr>
        <w:ind w:left="964" w:right="20" w:hanging="316"/>
        <w:spacing w:after="0" w:line="254"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 ratifies and confirms all of the liens, conveyances and grants contained in and created by the Security Agreement or any other Loan Document and/or otherwise securing any of the Secured Obligations (as defined in the Security Agreement); (b) covenants and agrees that nothing contained in this Amendment is intended to or shall impair the liens, conveyances or grants contained in and created by the Loan Documents or otherwise, (c) ratifies and confirms all of the terms and conditions of, and all obligations owing under the Loan Documents, the Loan Documents as modified hereby, and this Amendment, and the indebtedness owing to the Holder under the foregoing, and all other obligations, and (d) covenants and agrees that as of the date this Amendment is executed, there are no off-sets or defenses to, or claims or counterclaims or rights of recoupment of any kind or nature whatsoever in respect of, the Loan Documents, the Loan Documents as modified hereby, this Amendment, or the obligations arising under any Loan Document.</w:t>
      </w:r>
    </w:p>
    <w:p>
      <w:pPr>
        <w:spacing w:after="0" w:line="188" w:lineRule="exact"/>
        <w:rPr>
          <w:rFonts w:ascii="Times New Roman" w:cs="Times New Roman" w:eastAsia="Times New Roman" w:hAnsi="Times New Roman"/>
          <w:sz w:val="18"/>
          <w:szCs w:val="18"/>
          <w:color w:val="auto"/>
        </w:rPr>
      </w:pPr>
    </w:p>
    <w:p>
      <w:pPr>
        <w:ind w:left="324" w:hanging="324"/>
        <w:spacing w:after="0" w:line="256"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85"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WITNESS WHEREOF, the Company and Holder have executed this Amendment as of the Amendment Effective Date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5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RSLGH,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1"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SIGNATURE PAGE TO SECOND AMENDMENT TO SENIOR SECURED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431165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337" w:right="8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VCP IP HOLDINGS,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840105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866140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1165860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PURCHASE AGREEMENT</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May 20, 2025, is made by and between VCP IP HOLDINGS, LLC, a Delaware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AGRIFY CORPORATION, a Nevada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Seller and Purchaser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40" w:firstLine="656"/>
        <w:spacing w:after="0" w:line="257" w:lineRule="auto"/>
        <w:tabs>
          <w:tab w:leader="none" w:pos="11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 Brands LLC, a Colorado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direct wholly owned subsidiary, Core Growth, LLC, a Delaware limited liability company (“</w:t>
      </w:r>
      <w:r>
        <w:rPr>
          <w:rFonts w:ascii="Times New Roman" w:cs="Times New Roman" w:eastAsia="Times New Roman" w:hAnsi="Times New Roman"/>
          <w:sz w:val="18"/>
          <w:szCs w:val="18"/>
          <w:b w:val="1"/>
          <w:bCs w:val="1"/>
          <w:color w:val="auto"/>
        </w:rPr>
        <w:t>Core Growth</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Acquired Companies</w:t>
      </w:r>
      <w:r>
        <w:rPr>
          <w:rFonts w:ascii="Times New Roman" w:cs="Times New Roman" w:eastAsia="Times New Roman" w:hAnsi="Times New Roman"/>
          <w:sz w:val="18"/>
          <w:szCs w:val="18"/>
          <w:color w:val="auto"/>
        </w:rPr>
        <w:t xml:space="preserve">”), are engaged in the business of (i) owning Intellectual Property (as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and licensing it to (a) state-licensed cannabis businesses that manufacture, distribute, market, and sell cannabis and (b) businesses that manufacture, distribute, market, and sell hemp products that are compliant with the Agriculture Improvement Act of 2018 (the “</w:t>
      </w:r>
      <w:r>
        <w:rPr>
          <w:rFonts w:ascii="Times New Roman" w:cs="Times New Roman" w:eastAsia="Times New Roman" w:hAnsi="Times New Roman"/>
          <w:sz w:val="18"/>
          <w:szCs w:val="18"/>
          <w:b w:val="1"/>
          <w:bCs w:val="1"/>
          <w:color w:val="auto"/>
        </w:rPr>
        <w:t>Farm Bill</w:t>
      </w:r>
      <w:r>
        <w:rPr>
          <w:rFonts w:ascii="Times New Roman" w:cs="Times New Roman" w:eastAsia="Times New Roman" w:hAnsi="Times New Roman"/>
          <w:sz w:val="18"/>
          <w:szCs w:val="18"/>
          <w:color w:val="auto"/>
        </w:rPr>
        <w:t>”) and (ii) manufacturing, distributing, marketing, and selling hemp products that are compliant with the Farm Bill, in each case, within the United States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100% of the Company’s membership interests (the “</w:t>
      </w:r>
      <w:r>
        <w:rPr>
          <w:rFonts w:ascii="Times New Roman" w:cs="Times New Roman" w:eastAsia="Times New Roman" w:hAnsi="Times New Roman"/>
          <w:sz w:val="18"/>
          <w:szCs w:val="18"/>
          <w:b w:val="1"/>
          <w:bCs w:val="1"/>
          <w:color w:val="auto"/>
        </w:rPr>
        <w:t>Membership Interests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100% of the membership interests of Core Growth.</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1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desires to transfer, assign, and sell the Membership Interests to Purchaser in exchange for payment of the Purchase Price (defined herein), and Purchaser desires to accept such transfer and to pay the Purchase Price, on the terms and subject to the conditions contained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Accordingly, for good and valuable consideration, the receipt and sufficiency of which is hereby acknowledged, the Parties, intending to be legally bound,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terms have the meanings specified or referred to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agreements, documents, instruments, or certificates delivered or required to be delivered by any party at the Closing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on which commercial banks located in Chicago, Illinois are open for the conduct of ordinary banking business.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w:t>
      </w:r>
      <w:r>
        <w:rPr>
          <w:rFonts w:ascii="Times New Roman" w:cs="Times New Roman" w:eastAsia="Times New Roman" w:hAnsi="Times New Roman"/>
          <w:sz w:val="18"/>
          <w:szCs w:val="18"/>
          <w:color w:val="auto"/>
        </w:rPr>
        <w:t>” means: (i) the Current Assets of Core Growth, less (ii) the Current Liabilities of Core Growth, determined as of the open of business on the Closing Date, as calculated in the Closing Working Capital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 Target</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Agreements</w:t>
      </w:r>
      <w:r>
        <w:rPr>
          <w:rFonts w:ascii="Times New Roman" w:cs="Times New Roman" w:eastAsia="Times New Roman" w:hAnsi="Times New Roman"/>
          <w:sz w:val="18"/>
          <w:szCs w:val="18"/>
          <w:color w:val="auto"/>
        </w:rPr>
        <w:t>” means all licenses, sublicenses, consent to use agreements, settlements, coexistence agreements, covenants not to sue, waivers, releases, permissions and other Contracts, whether written or oral, relating to material Company Intellectual Property to which any Acquired Company is a party, beneficiary or otherwise bound.</w:t>
      </w:r>
    </w:p>
    <w:p>
      <w:pPr>
        <w:spacing w:after="0" w:line="17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Registrations</w:t>
      </w:r>
      <w:r>
        <w:rPr>
          <w:rFonts w:ascii="Times New Roman" w:cs="Times New Roman" w:eastAsia="Times New Roman" w:hAnsi="Times New Roman"/>
          <w:sz w:val="18"/>
          <w:szCs w:val="18"/>
          <w:color w:val="auto"/>
        </w:rPr>
        <w:t>” means all Company Intellectual Property that is subject to any issuance, registration or application by or with any Governmental Authority or authorized private registrar in any jurisdiction, including issued patents, registered trademarks, and copyrights, and pending applications for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agreement, contract, lease, consensual obligation, promise or undertaking.</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copyrights and works of authorship, whether or not copyrightable, and all registrations, applications for registration, and renewals of any of the foregoing.</w:t>
      </w:r>
    </w:p>
    <w:p>
      <w:pPr>
        <w:spacing w:after="0" w:line="15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cash and cash equivalents, accounts receivable, inventory and prepaid expenses, but excluding deferred Tax assets, each determined in accordance with GAAP using the same accounting methods, practices, principles, policies, and procedures, with consistent classifications, judgments, and valuation and estimation methodologies that were used in the preparation of the Financial Statements for the most recent fiscal year end as if such accounts were being prepared as of a fiscal year end.</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accounts payable and accrued expenses, but excluding deferred Tax liabilities and the current portion of any Indebtedness, each determined in accordance with GAAP applied using the same accounting methods, practices, principles, policies, and procedures, with consistent classifications, judgments, and valuation and estimation methodologies that were used in the preparation of the Financial Statements for the most recent fiscal year end as if such accounts were being prepared as of a fiscal year end.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 or $</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Cannabis Laws</w:t>
      </w:r>
      <w:r>
        <w:rPr>
          <w:rFonts w:ascii="Times New Roman" w:cs="Times New Roman" w:eastAsia="Times New Roman" w:hAnsi="Times New Roman"/>
          <w:sz w:val="17"/>
          <w:szCs w:val="17"/>
          <w:color w:val="auto"/>
        </w:rPr>
        <w:t>” means federal laws of the United States that make illegal the manufacture, possession, sale, or distribution of cannabis.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unaudited balance sheets for Core Growth as of December 31, 2024 and as of March 31, 2025.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Flow-Through Tax Return</w:t>
      </w:r>
      <w:r>
        <w:rPr>
          <w:rFonts w:ascii="Times New Roman" w:cs="Times New Roman" w:eastAsia="Times New Roman" w:hAnsi="Times New Roman"/>
          <w:sz w:val="18"/>
          <w:szCs w:val="18"/>
          <w:color w:val="auto"/>
        </w:rPr>
        <w:t>” means any income Tax Return (such as IRS Form 1065 and associated Schedules K-1 and corresponding state and local Tax Returns) for a Tax period ending on or before the Closing Date (not including a Straddle Period) that allocates income or Taxes to its owners and does not reflect or concern federal income Taxes that are imposed on the entity itself for which the Tax Return is filed.</w:t>
      </w:r>
    </w:p>
    <w:p>
      <w:pPr>
        <w:spacing w:after="0" w:line="17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an act in the making of a specific representation or warranty expressly set forth herein, committed by the Person making such express representation or warranty, with specific intent to deceive the Person(s) to whom the representation or warranty is made hereunder, and to induce such Person(s) to enter into and perform its obligations under this Agreement and requires: (a) a false representation of material fact expressly set forth in the representations and warranties set forth in this Agreement; (b) actual knowledge that such representation is false; (c) an intention to induce the Person(s) to whom the representation or warranty is made to act or refrain from acting in reliance upon it; (d) causing the Person(s) to whom the representation or warranty is made, in justifiable reliance upon such false representation to take or refrain from taking action; and (e) causing the Person(s) to whom the representation or warranty is made to suffer material damage by reason of such reliance.</w:t>
      </w:r>
    </w:p>
    <w:p>
      <w:pPr>
        <w:spacing w:after="0" w:line="183"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the Acquired Companies, all indebtedness for borrowed money.</w:t>
      </w:r>
    </w:p>
    <w:p>
      <w:pPr>
        <w:spacing w:after="0" w:line="225" w:lineRule="exact"/>
        <w:rPr>
          <w:sz w:val="20"/>
          <w:szCs w:val="20"/>
          <w:color w:val="auto"/>
        </w:rPr>
      </w:pPr>
    </w:p>
    <w:p>
      <w:pPr>
        <w:jc w:val="both"/>
        <w:ind w:right="8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all (a) Patents, (b) Trademarks, (c) Trade Names, (d) know-how, (e) Copyrights, inventions, (f) Trade Secrets, (g) service marks, (h) recipes, and (i) all other intellectual property rights, and, in each case, all goodwill associated therewith or related thereto, and together with all causes of action (in law or equity), claims, demands and any other rights for, or arising from any past, present or future infringement thereof.</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foregoing, Intellectual Property shall exclude (i) internet domain names, social media account or user names, and all associated web addresses, URLs, websites and web pages and all content and data thereon or relating thereto, whether or not Copyrights, and (ii) historic sales, production, and marketing data with respect to the Acquired Companies’ products, it being understood, in each case, that any such intellectual property related to the Acquired Companies’ products and Trademarks are owned (and shall be retained) by Green Thumb Industries Inc. or its Affiliates.</w:t>
      </w:r>
    </w:p>
    <w:p>
      <w:pPr>
        <w:spacing w:after="0" w:line="18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3" w:name="page64"/>
    <w:bookmarkEnd w:id="63"/>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xml:space="preserve">” means any event, occurrence, fact, condition or change that is materially adverse to (a) the business, results of operations, financial condition or assets of the Acquired Companies, or (b) the ability of Seller to consummate the transactions contemplated hereby;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“Material Adverse Effect” shall not include any event, occurrence, fact, condition or change, directly or indirectly, arising out of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attributable to: (i) general economic or political conditions; (ii) conditions generally affecting the industries in which the Acquired Companies operate;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Purchaser; (vi) any changes in applicable Laws or accounting rules (including GAAP) or the enforcement, implementation or interpretation thereof; (vii) the announcement, pendency or completion of the transactions contemplated by this Agreement, including losses or threatened losses of employees, customers, suppliers, distributors or others having relationships with the Acquired Companies; (viii) any natural or man-made disaster or acts of God; (ix) any epidemics, pandemics, disease outbreaks, or other public health emergencies; or (x) any failure by the Acquired Companies to meet any internal or published projections, forecasts or revenue or earnings predictions (provided that the underlying causes of such failures (subject to the other provisions of this definition) shall not be excluded); </w:t>
      </w:r>
      <w:r>
        <w:rPr>
          <w:rFonts w:ascii="Times New Roman" w:cs="Times New Roman" w:eastAsia="Times New Roman" w:hAnsi="Times New Roman"/>
          <w:sz w:val="17"/>
          <w:szCs w:val="17"/>
          <w:i w:val="1"/>
          <w:iCs w:val="1"/>
          <w:color w:val="auto"/>
        </w:rPr>
        <w:t>provided further, however,</w:t>
      </w:r>
      <w:r>
        <w:rPr>
          <w:rFonts w:ascii="Times New Roman" w:cs="Times New Roman" w:eastAsia="Times New Roman" w:hAnsi="Times New Roman"/>
          <w:sz w:val="17"/>
          <w:szCs w:val="17"/>
          <w:color w:val="auto"/>
        </w:rPr>
        <w:t xml:space="preserve"> that any event, occurrence, fact, condition or change referred to in clauses</w:t>
      </w:r>
    </w:p>
    <w:p>
      <w:pPr>
        <w:spacing w:after="0" w:line="3" w:lineRule="exact"/>
        <w:rPr>
          <w:sz w:val="20"/>
          <w:szCs w:val="20"/>
          <w:color w:val="auto"/>
        </w:rPr>
      </w:pPr>
    </w:p>
    <w:p>
      <w:pPr>
        <w:jc w:val="both"/>
        <w:ind w:right="460" w:firstLine="8"/>
        <w:spacing w:after="0" w:line="255"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182"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17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liens for current Taxes, assessments, and other governmental charges not yet due and payable and (ii) Seller Affiliate Liens (but only to the extent that such Seller Affiliate Liens will be released at or promptly following the Closing).</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association, partnership (general or limited), joint venture, trust, estate, limited liability company or other legal entity or organization.</w:t>
      </w:r>
    </w:p>
    <w:p>
      <w:pPr>
        <w:spacing w:after="0" w:line="15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taxable period ending on and including the Closing Date.</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xml:space="preserve">” means any Taxes (i) of the Acquired Companies for any Pre-Closing Tax Period, allocated in the case of Straddle Periods in accordance with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(ii) for which Seller is responsible pursuant to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and (iii) of Seller or any of its Affiliates (other than the Acquired Companies) for which the Acquired Companies are liable under Treasury Regulation Section 1.1502-6 (or under any similar provision of state, local or foreign Law), which Tax relates to a Pre-Closing Tax Period. “Pre-Closing Taxes” shall not include any Taxes (A) arising from actions taken by Purchaser on the Closing Date following the Closing that are outside of the ordinary course of business or (B) arising from any breach of the covenants in this Agreement by Purchaser.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4" w:name="page65"/>
    <w:bookmarkEnd w:id="64"/>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arbitration, audit, hearing, investigation, litigation or suit (whether civil, criminal, administrative, judicial or investigative, whether formal or informal, whether public or private) commenced, brought, conducted or heard by or before, or otherwise involving, any Governmental Authority or arbitrator.</w:t>
      </w:r>
    </w:p>
    <w:p>
      <w:pPr>
        <w:spacing w:after="0" w:line="17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Knowledge of Seller</w:t>
      </w:r>
      <w:r>
        <w:rPr>
          <w:rFonts w:ascii="Times New Roman" w:cs="Times New Roman" w:eastAsia="Times New Roman" w:hAnsi="Times New Roman"/>
          <w:sz w:val="18"/>
          <w:szCs w:val="18"/>
          <w:color w:val="auto"/>
        </w:rPr>
        <w:t>” or similar phrases as used herein means the knowledge of Anthony Georgiadis and Dominic O’Brien, after reasonable inquiry.</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“Seller Affiliate Liens</w:t>
      </w:r>
      <w:r>
        <w:rPr>
          <w:rFonts w:ascii="Times New Roman" w:cs="Times New Roman" w:eastAsia="Times New Roman" w:hAnsi="Times New Roman"/>
          <w:sz w:val="18"/>
          <w:szCs w:val="18"/>
          <w:color w:val="auto"/>
        </w:rPr>
        <w:t>” means Liens under credit facilities of Seller’s Affiliates that are in effect as of the Closing and that have been disclosed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service marks, brand marks, Trade Names, and, in each case, registrations thereof, pending applications for registration thereof, and unregistered rights (including, with respect to the Acquired Companies, those used in the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Names</w:t>
      </w:r>
      <w:r>
        <w:rPr>
          <w:rFonts w:ascii="Times New Roman" w:cs="Times New Roman" w:eastAsia="Times New Roman" w:hAnsi="Times New Roman"/>
          <w:sz w:val="18"/>
          <w:szCs w:val="18"/>
          <w:color w:val="auto"/>
        </w:rPr>
        <w:t>” means (i) trade names, (ii) brand names and (iii) logos and all other names and slogans.</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trade secrets, know-how, inventions (whether or not patentable), discoveries, improvements, technology, business and technical information, databases, data compilations and collections, tools, and other confidential and proprietary information, in each case, to the extent primarily related to the Acquired Companies’ products or services, and all rights therein. Notwithstanding the foregoing, Trade Secrets shall exclude historic sales, production, and marketing data with respect to the Acquired Companies’ products, it being understood, in each case, that any such intellectual property related to the Acquired Companies’ products and Trademarks are owned (and shall be retained) by Green Thumb Industries Inc. or its Affiliates.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PURCHASE CONSIDERATION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At the Closing, Seller shall contribute, assign, and transfer the Membership Interests to Purchaser, free and clear of all liens, claims, options, charges, security interests, pledges, mortgages or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 and Purchaser shall accept such contribution.</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aggregate purchase price for Seller’s transfer of the Membership Interests, at the Closing, shall be Five Million Seventy-Five Thousand Dollars ($5,075,000.00), subject to the following adjustment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280" w:firstLine="644"/>
        <w:spacing w:after="0" w:line="282" w:lineRule="auto"/>
        <w:tabs>
          <w:tab w:leader="none" w:pos="18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Closing Working Capital exceeds (ii) the Closing Working Capital Target plus $100,000, then the Purchase Price shall be increased by such excess amount.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5" w:name="page66"/>
    <w:bookmarkEnd w:id="65"/>
    <w:p>
      <w:pPr>
        <w:ind w:left="660" w:right="300" w:firstLine="644"/>
        <w:spacing w:after="0" w:line="282" w:lineRule="auto"/>
        <w:tabs>
          <w:tab w:leader="none" w:pos="18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Closing Working Capital Target less $100,000 exceeds (ii) Closing Working Capital, then the Purchase Price shall be reduced by such shortfall amount.</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Following the Closing, Purchaser and Seller shall cooperate to allocate the value of the Purchase Price (and all other items treated as consideration for Tax purposes) among the assets of the Acquired Companies in accordance with Section 1060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adjustments to the Purchase Price for the Membership Interests herein shall be allocated in a manner consistent with such allocation. The Parties shall file, and cause their Affiliates to file, all returns, declarations, reports, information returns and statements, attachments thereto and other documents required or permitted to be filed under the provisions of any applicable Law and relating to Taxes (including amended returns and claims for refund) (“</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in a manner consistent with such allocation except as otherwise required by a final (or similar) determination of a tax authority.</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Purchaser (and any of its Affiliates or agents) shall be entitled to deduct and withhold from any payment pursuant to this Agreement such amounts as are required to be deducted and withheld under any applicable Law; provided, that Purchaser shall provide prior written notice to Seller regarding such withholding, shall reasonably cooperate with Seller to reduce or eliminate any such withholding, and shall timely remit any amount withheld to the appropriate tax authority. Such withheld or deducted amounts shall be treated for all purposes of this Agreement as having been delivered and paid to Seller or other applicable recipient of payment in respect of which such deduction and withholding was made.</w:t>
      </w: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of the transactions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on the date hereof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electronic transmission of documents and signatures. The Closing shall be deemed effective at 8:00 a.m. Central time on the Closing Date.</w:t>
      </w:r>
    </w:p>
    <w:p>
      <w:pPr>
        <w:spacing w:after="0" w:line="15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Seller’s Deliveries</w:t>
      </w:r>
      <w:r>
        <w:rPr>
          <w:rFonts w:ascii="Times New Roman" w:cs="Times New Roman" w:eastAsia="Times New Roman" w:hAnsi="Times New Roman"/>
          <w:sz w:val="18"/>
          <w:szCs w:val="18"/>
          <w:color w:val="auto"/>
        </w:rPr>
        <w:t>. At the Closing, Seller shall deliver to Purchaser all of the following, all in form and substance reasonably acceptable to Purchaser:</w:t>
      </w:r>
    </w:p>
    <w:p>
      <w:pPr>
        <w:spacing w:after="0" w:line="162" w:lineRule="exact"/>
        <w:rPr>
          <w:sz w:val="20"/>
          <w:szCs w:val="20"/>
          <w:color w:val="auto"/>
        </w:rPr>
      </w:pPr>
    </w:p>
    <w:p>
      <w:pPr>
        <w:ind w:left="1820" w:hanging="516"/>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An assignment instrument executed by Seller, assigning the Membership Interests to Purchaser;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18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officer or manager of Seller, certifying that (i) attached thereto are true and complete copies of any corporate or company resolutions of Seller or its Affiliates that are required in order to authorize the execution, delivery, and performance of this Agreement and the other documents and transactions contemplated hereby, and (ii) attached thereto are true and complete copies of the Acquired Companies’ formation and governing documents.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6" w:name="page67"/>
    <w:bookmarkEnd w:id="66"/>
    <w:p>
      <w:pPr>
        <w:ind w:left="660" w:firstLine="644"/>
        <w:spacing w:after="0" w:line="266" w:lineRule="auto"/>
        <w:tabs>
          <w:tab w:leader="none" w:pos="18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w:t>
      </w:r>
      <w:r>
        <w:rPr>
          <w:rFonts w:ascii="Times New Roman" w:cs="Times New Roman" w:eastAsia="Times New Roman" w:hAnsi="Times New Roman"/>
          <w:sz w:val="18"/>
          <w:szCs w:val="18"/>
          <w:color w:val="auto"/>
        </w:rPr>
        <w:t>. A certificate evidencing the good standing of the Company issued by the Secretary of State of Colorado and a certificate evidencing the good standing of Core Growth issued by the Secretary of State of Delaware, in each case, dated not more than seven (7) Business Days prior to the Closing Date;</w:t>
      </w:r>
    </w:p>
    <w:p>
      <w:pPr>
        <w:spacing w:after="0" w:line="17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Releases</w:t>
      </w:r>
      <w:r>
        <w:rPr>
          <w:rFonts w:ascii="Times New Roman" w:cs="Times New Roman" w:eastAsia="Times New Roman" w:hAnsi="Times New Roman"/>
          <w:sz w:val="18"/>
          <w:szCs w:val="18"/>
          <w:color w:val="auto"/>
        </w:rPr>
        <w:t>. UCC termination statements (or other appropriate evidence) releasing any Liens upon the assets of the Acquired Companies, other than Permitted Liens;</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w:t>
      </w:r>
      <w:r>
        <w:rPr>
          <w:rFonts w:ascii="Times New Roman" w:cs="Times New Roman" w:eastAsia="Times New Roman" w:hAnsi="Times New Roman"/>
          <w:sz w:val="18"/>
          <w:szCs w:val="18"/>
          <w:color w:val="auto"/>
        </w:rPr>
        <w:t>. A valid and complete IRS Form W-9, duly executed by Seller;</w:t>
      </w:r>
    </w:p>
    <w:p>
      <w:pPr>
        <w:spacing w:after="0" w:line="225" w:lineRule="exact"/>
        <w:rPr>
          <w:rFonts w:ascii="Times New Roman" w:cs="Times New Roman" w:eastAsia="Times New Roman" w:hAnsi="Times New Roman"/>
          <w:sz w:val="18"/>
          <w:szCs w:val="18"/>
          <w:color w:val="auto"/>
        </w:rPr>
      </w:pPr>
    </w:p>
    <w:p>
      <w:pPr>
        <w:ind w:left="660" w:right="460" w:firstLine="644"/>
        <w:spacing w:after="0" w:line="282" w:lineRule="auto"/>
        <w:tabs>
          <w:tab w:leader="none" w:pos="18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Incredibles Trademark and Recipe License Agreement</w:t>
      </w:r>
      <w:r>
        <w:rPr>
          <w:rFonts w:ascii="Times New Roman" w:cs="Times New Roman" w:eastAsia="Times New Roman" w:hAnsi="Times New Roman"/>
          <w:sz w:val="18"/>
          <w:szCs w:val="18"/>
          <w:color w:val="auto"/>
        </w:rPr>
        <w:t xml:space="preserve">. A copy of the Trademark and Recipe License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Incredibles License Agreement</w:t>
      </w:r>
      <w:r>
        <w:rPr>
          <w:rFonts w:ascii="Times New Roman" w:cs="Times New Roman" w:eastAsia="Times New Roman" w:hAnsi="Times New Roman"/>
          <w:sz w:val="18"/>
          <w:szCs w:val="18"/>
          <w:color w:val="auto"/>
        </w:rPr>
        <w:t>”), executed by GTI Core, LLC;</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18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Beboe Trademark and Recipe License Agreement</w:t>
      </w:r>
      <w:r>
        <w:rPr>
          <w:rFonts w:ascii="Times New Roman" w:cs="Times New Roman" w:eastAsia="Times New Roman" w:hAnsi="Times New Roman"/>
          <w:sz w:val="18"/>
          <w:szCs w:val="18"/>
          <w:color w:val="auto"/>
        </w:rPr>
        <w:t xml:space="preserve">. A copy of the Trademark and Recipe License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Beboe License Agreement</w:t>
      </w:r>
      <w:r>
        <w:rPr>
          <w:rFonts w:ascii="Times New Roman" w:cs="Times New Roman" w:eastAsia="Times New Roman" w:hAnsi="Times New Roman"/>
          <w:sz w:val="18"/>
          <w:szCs w:val="18"/>
          <w:color w:val="auto"/>
        </w:rPr>
        <w:t>”), executed by For Success Holding Company;</w:t>
      </w:r>
    </w:p>
    <w:p>
      <w:pPr>
        <w:spacing w:after="0" w:line="161" w:lineRule="exact"/>
        <w:rPr>
          <w:rFonts w:ascii="Times New Roman" w:cs="Times New Roman" w:eastAsia="Times New Roman" w:hAnsi="Times New Roman"/>
          <w:sz w:val="18"/>
          <w:szCs w:val="18"/>
          <w:color w:val="auto"/>
        </w:rPr>
      </w:pPr>
    </w:p>
    <w:p>
      <w:pPr>
        <w:ind w:left="660" w:right="40" w:firstLine="644"/>
        <w:spacing w:after="0" w:line="266" w:lineRule="auto"/>
        <w:tabs>
          <w:tab w:leader="none" w:pos="18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Statement</w:t>
      </w:r>
      <w:r>
        <w:rPr>
          <w:rFonts w:ascii="Times New Roman" w:cs="Times New Roman" w:eastAsia="Times New Roman" w:hAnsi="Times New Roman"/>
          <w:sz w:val="18"/>
          <w:szCs w:val="18"/>
          <w:color w:val="auto"/>
        </w:rPr>
        <w:t xml:space="preserve">. A good faith estimate of (i) the Current Assets of Core Growth less the Current Liabilities of Core Growth, determined as of the open of business on the Closing Date, and (ii) any resulting adjustment to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 Working Capital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Purchaser’s Deliveries</w:t>
      </w:r>
      <w:r>
        <w:rPr>
          <w:rFonts w:ascii="Times New Roman" w:cs="Times New Roman" w:eastAsia="Times New Roman" w:hAnsi="Times New Roman"/>
          <w:sz w:val="18"/>
          <w:szCs w:val="18"/>
          <w:color w:val="auto"/>
        </w:rPr>
        <w:t>. At the Closing Purchaser shall deliver to Seller the following, all in form and substance reasonably acceptable to Seller:</w:t>
      </w:r>
    </w:p>
    <w:p>
      <w:pPr>
        <w:spacing w:after="0" w:line="162" w:lineRule="exact"/>
        <w:rPr>
          <w:sz w:val="20"/>
          <w:szCs w:val="20"/>
          <w:color w:val="auto"/>
        </w:rPr>
      </w:pPr>
    </w:p>
    <w:p>
      <w:pPr>
        <w:ind w:left="1820" w:hanging="516"/>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Purchase Price;</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Incredibles Trademark and Recipe License Agreement</w:t>
      </w:r>
      <w:r>
        <w:rPr>
          <w:rFonts w:ascii="Times New Roman" w:cs="Times New Roman" w:eastAsia="Times New Roman" w:hAnsi="Times New Roman"/>
          <w:sz w:val="18"/>
          <w:szCs w:val="18"/>
          <w:color w:val="auto"/>
        </w:rPr>
        <w:t>. A copy of the Incredibles License Agreement, executed by the Company;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Beboe Trademark and Recipe License Agreement</w:t>
      </w:r>
      <w:r>
        <w:rPr>
          <w:rFonts w:ascii="Times New Roman" w:cs="Times New Roman" w:eastAsia="Times New Roman" w:hAnsi="Times New Roman"/>
          <w:sz w:val="18"/>
          <w:szCs w:val="18"/>
          <w:color w:val="auto"/>
        </w:rPr>
        <w:t>. A copy of the Beboe License Agreement, executed by Core Growth; and</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66" w:lineRule="auto"/>
        <w:tabs>
          <w:tab w:leader="none" w:pos="18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executive officer of Purchaser, certifying that attached thereto are true and complete copies of any corporate resolutions of Purchaser that are required in order to authorize the execution, delivery, and performance of this Agreement and the other documents and transactions contemplated 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Schedules attached hereto and incorporated herein by reference, Seller hereby represents and warrants to Purchaser as follows:</w:t>
      </w:r>
    </w:p>
    <w:p>
      <w:pPr>
        <w:spacing w:after="0" w:line="22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Authority of Seller</w:t>
      </w:r>
      <w:r>
        <w:rPr>
          <w:rFonts w:ascii="Times New Roman" w:cs="Times New Roman" w:eastAsia="Times New Roman" w:hAnsi="Times New Roman"/>
          <w:sz w:val="18"/>
          <w:szCs w:val="18"/>
          <w:color w:val="auto"/>
        </w:rPr>
        <w:t>. Seller is a Delaware limited liability company duly organized, validly existing and in good standing under the Laws of the state of Delaware. Seller has all necessary company power and authority to enter into this Agreement and the Ancillary Documents to which it is or will be a party, to carry out its obligations hereunder and thereunder and to consummate the transactions contemplated hereby and thereby. The execution and delivery by Seller of this Agreement and the Ancillary Documents to which Seller is or will be a party, the performance by Seller of its obligations hereunder and thereunder and the consummation by Seller of the transactions contemplated hereby and thereby have been duly authorized by all requisite limited liability company action on the part of Seller. This Agreement has been duly executed and delivered by Seller, and (assuming due authorization, execution and delivery by Purchaser) constitutes, and each Ancillary Document to which Seller is or will be a party when duly executed and delivered by Seller (assuming due authorization, execution and delivery by each other party thereto) will constitute, a legal, valid and binding obligation of Seller, enforceable against Seller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Organization, Authority and Qualification of the Acquired Companies</w:t>
      </w:r>
      <w:r>
        <w:rPr>
          <w:rFonts w:ascii="Times New Roman" w:cs="Times New Roman" w:eastAsia="Times New Roman" w:hAnsi="Times New Roman"/>
          <w:sz w:val="18"/>
          <w:szCs w:val="18"/>
          <w:color w:val="auto"/>
        </w:rPr>
        <w:t xml:space="preserve">. Each of the Acquired Companies is a limited liability company duly organized, validly existing and in good standing under the Laws of its state of formation and has all necessary limited liability company power and authority to own, operate or lease the properties and assets now owned, operated or leased by it and to carry on its business as it is currently conducted.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sets forth each jurisdiction in which each Acquired Company is licensed or qualified to do business. Each of the Acquired Companies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40" w:firstLine="644"/>
        <w:spacing w:after="0" w:line="261" w:lineRule="auto"/>
        <w:tabs>
          <w:tab w:leader="none" w:pos="18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the record owner of and has good and valid title to the Membership Interests, free and clear of all Liens other than Permitted Liens. The Membership Interests constitute 100% of the total issued and outstanding membership interests in the Company and other than the Membership Interests there are no other issued and outstanding equity interests in the Company. The Membership Interests have been duly authorized and are validly issued, fully-paid and non-assessable.</w:t>
      </w:r>
    </w:p>
    <w:p>
      <w:pPr>
        <w:spacing w:after="0" w:line="179" w:lineRule="exact"/>
        <w:rPr>
          <w:rFonts w:ascii="Times New Roman" w:cs="Times New Roman" w:eastAsia="Times New Roman" w:hAnsi="Times New Roman"/>
          <w:sz w:val="18"/>
          <w:szCs w:val="18"/>
          <w:color w:val="auto"/>
        </w:rPr>
      </w:pPr>
    </w:p>
    <w:p>
      <w:pPr>
        <w:ind w:left="660" w:right="60" w:firstLine="644"/>
        <w:spacing w:after="0" w:line="255" w:lineRule="auto"/>
        <w:tabs>
          <w:tab w:leader="none" w:pos="18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authorized options, warrants, convertible securities or other rights, agreements, arrangements or commitments of any character relating to any membership interests in the Acquired Companies or obligating Seller or the Acquired Companies to issue or sell any membership interests (including the Membership Interests), or any other interest in, the Acquired Companies. There are no outstanding or authorized equity appreciation, profit participation, phantom equity or similar equity-based rights with respect to the Acquired Companies. Other than the formation and governing documents that have been disclosed to Purchaser, there are no voting trusts, proxies or other agreements or understandings in effect with respect to the voting or transfer of any of the Membership Interests or the membership interests of Core Growth.</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8" w:name="page69"/>
    <w:bookmarkEnd w:id="68"/>
    <w:p>
      <w:pPr>
        <w:ind w:left="660" w:right="80" w:firstLine="644"/>
        <w:spacing w:after="0" w:line="261" w:lineRule="auto"/>
        <w:tabs>
          <w:tab w:leader="none" w:pos="18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or have any capital stock or other equity interests in, any other Person, other than Core Growth. The membership interests of Core Growth owned by the Company (the “</w:t>
      </w:r>
      <w:r>
        <w:rPr>
          <w:rFonts w:ascii="Times New Roman" w:cs="Times New Roman" w:eastAsia="Times New Roman" w:hAnsi="Times New Roman"/>
          <w:sz w:val="18"/>
          <w:szCs w:val="18"/>
          <w:b w:val="1"/>
          <w:bCs w:val="1"/>
          <w:color w:val="auto"/>
        </w:rPr>
        <w:t>Core Membership Interests</w:t>
      </w:r>
      <w:r>
        <w:rPr>
          <w:rFonts w:ascii="Times New Roman" w:cs="Times New Roman" w:eastAsia="Times New Roman" w:hAnsi="Times New Roman"/>
          <w:sz w:val="18"/>
          <w:szCs w:val="18"/>
          <w:color w:val="auto"/>
        </w:rPr>
        <w:t>”) constitute 100% of the total issued and outstanding membership interests in Core Growth, and other than the Core Membership Interests, there are no other issued and outstanding equity interests in Core Growth.</w:t>
      </w:r>
    </w:p>
    <w:p>
      <w:pPr>
        <w:spacing w:after="0" w:line="179" w:lineRule="exact"/>
        <w:rPr>
          <w:rFonts w:ascii="Times New Roman" w:cs="Times New Roman" w:eastAsia="Times New Roman" w:hAnsi="Times New Roman"/>
          <w:sz w:val="18"/>
          <w:szCs w:val="18"/>
          <w:color w:val="auto"/>
        </w:rPr>
      </w:pPr>
    </w:p>
    <w:p>
      <w:pPr>
        <w:ind w:left="660" w:right="180" w:firstLine="644"/>
        <w:spacing w:after="0" w:line="289" w:lineRule="auto"/>
        <w:tabs>
          <w:tab w:leader="none" w:pos="182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Membership Interests and Core Membership Interests were issued in compliance with applicable Laws, were not issued in violation of the formation and governing documents of the respective Acquired Companies or any other agreement, arrangement or commitment to which the Seller or the Acquired Companies is a party, and are not subject to or in violation of any preemptive or similar rights of any Person.</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Seller of this Agreement and the Ancillary Documents to which it is or will be a party, and the consummation of the transactions contemplated hereby and thereby, do not and will not: (i) result in a violation or breach of any provision of the formation or governing documents of Seller or the Acquired Companies; (ii) result in a violation or breach of any provision of any material Law or material Governmental Order applicable to Seller or the Acquired Companies; (iii) require the consent, notice or other action by any Person under, conflict with, result in a violation or breach of, or constitute a default under, any Material Contract; or (iv) result in the creation or imposition of any Lien other than a Permitted Lien on any properties or assets of any Acquired Company, except in the cases of clauses (iii) and (iv), where the violation, breach, conflict, default or failure to give notice or obtain consent would not have a Material Adverse Effect. No consent, approval, declaration or filing with, or notice to, any Governmental Authority is required by or with respect to Seller or the Acquired Companies in connection with the execution and delivery of this Agreement and the Ancillary Documents to which Seller is or will be a party and the consummation of the transactions contemplated hereby and thereby, except where the failure to obtain or make such consents, approvals, declarations, filings or notices would not have, in the aggregate, a Material Adverse Effect. Notwithstanding the foregoing, the Parties acknowledge and agree the consummation of the transactions contemplated hereby may require that Seller’s parent company make certain disclosures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other securities regulators.</w:t>
      </w:r>
    </w:p>
    <w:p>
      <w:pPr>
        <w:spacing w:after="0" w:line="186"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Books and Records; Financial Statements</w:t>
      </w:r>
      <w:r>
        <w:rPr>
          <w:rFonts w:ascii="Times New Roman" w:cs="Times New Roman" w:eastAsia="Times New Roman" w:hAnsi="Times New Roman"/>
          <w:sz w:val="18"/>
          <w:szCs w:val="18"/>
          <w:color w:val="auto"/>
        </w:rPr>
        <w:t>. The Acquired Companies’ books and records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that have been disclosed to Purchaser are true and complete in all material respects and have been maintained in accordance with sound business practices. Seller has delivered to Purchaser complete and correct copies of the Financial Statements. The Financial Statements were prepared in accordance with GAAP, are consistent with the accounting records of Core Growth, and fairly present the financial position of Core Growth as of the dates thereof. The Company does not have any Current Assets or Current Liabilities.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Indebtedness; Liabilities</w:t>
      </w:r>
      <w:r>
        <w:rPr>
          <w:rFonts w:ascii="Times New Roman" w:cs="Times New Roman" w:eastAsia="Times New Roman" w:hAnsi="Times New Roman"/>
          <w:sz w:val="18"/>
          <w:szCs w:val="18"/>
          <w:color w:val="auto"/>
        </w:rPr>
        <w:t>. The Acquired Companies have no Indebtedness and, as of the Closing, will have no outstanding Current Liabilities.</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Accounts; Cash and Cash Equivalents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the Acquired Companies have no bank accounts, investment accounts, cash, or cash equivalents.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Tangible Personal Property; Real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the Acquired Companies do not own or lease any tangible personal property or real property. With respect to all leased real property of the Acquired Companies, (i) such lease is valid, binding and enforceable and in full force and effect, (ii) the applicable Acquired Company is not in breach or default under such lease, and no event has occurred that, with the delivery of notice, passage of time or both, would constitute such a breach or default, and the applicable Acquired Company has paid all rent due and payable under such lease; (iii) the applicable Acquired Company has not received nor given any notice of any default or event that, with notice or lapse of time or both, would constitute a default by the applicable Acquired Company under any such lease, and to Seller’s Knowledge no other party is in default thereof or has exercised any termination rights with respect thereto; and (iv) the applicable Acquired Company has not pledged, mortgaged, or otherwise granted a Lien on its leasehold interest in any leased real property.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80" w:firstLine="644"/>
        <w:spacing w:after="0" w:line="282" w:lineRule="auto"/>
        <w:tabs>
          <w:tab w:leader="none" w:pos="18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Effects</w:t>
      </w:r>
      <w:r>
        <w:rPr>
          <w:rFonts w:ascii="Times New Roman" w:cs="Times New Roman" w:eastAsia="Times New Roman" w:hAnsi="Times New Roman"/>
          <w:sz w:val="18"/>
          <w:szCs w:val="18"/>
          <w:color w:val="auto"/>
        </w:rPr>
        <w:t>. Since December 31, 2024, there has not been any development or threatened development of a nature that has or, to Seller’s Knowledge,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660" w:right="300" w:firstLine="644"/>
        <w:spacing w:after="0" w:line="266" w:lineRule="auto"/>
        <w:tabs>
          <w:tab w:leader="none" w:pos="18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Except as otherwise set forth on </w:t>
      </w:r>
      <w:r>
        <w:rPr>
          <w:rFonts w:ascii="Times New Roman" w:cs="Times New Roman" w:eastAsia="Times New Roman" w:hAnsi="Times New Roman"/>
          <w:sz w:val="18"/>
          <w:szCs w:val="18"/>
          <w:u w:val="single" w:color="auto"/>
          <w:color w:val="auto"/>
        </w:rPr>
        <w:t>Schedule 4.9(b)</w:t>
      </w:r>
      <w:r>
        <w:rPr>
          <w:rFonts w:ascii="Times New Roman" w:cs="Times New Roman" w:eastAsia="Times New Roman" w:hAnsi="Times New Roman"/>
          <w:sz w:val="18"/>
          <w:szCs w:val="18"/>
          <w:color w:val="auto"/>
        </w:rPr>
        <w:t>, since December 31, 2024, the Acquired Companies have conducted the Business only in a commercially reasonable ordinary course manner and has acted reasonably and in good faith to maintain and enhance the Business and, without limiting the foregoing, the Acquired Companies have not:</w:t>
      </w:r>
    </w:p>
    <w:p>
      <w:pPr>
        <w:spacing w:after="0" w:line="175" w:lineRule="exact"/>
        <w:rPr>
          <w:rFonts w:ascii="Times New Roman" w:cs="Times New Roman" w:eastAsia="Times New Roman" w:hAnsi="Times New Roman"/>
          <w:sz w:val="18"/>
          <w:szCs w:val="18"/>
          <w:color w:val="auto"/>
        </w:rPr>
      </w:pPr>
    </w:p>
    <w:p>
      <w:pPr>
        <w:ind w:left="2140" w:hanging="323"/>
        <w:spacing w:after="0" w:line="282" w:lineRule="auto"/>
        <w:tabs>
          <w:tab w:leader="none" w:pos="2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suffered to exist any Liens, other than Permitted Liens, or restrictions with respect to any of their equity interests or assets, whether tangible or intangible, or incurred, assumed or guaranteed any Indebtedness;</w:t>
      </w:r>
    </w:p>
    <w:p>
      <w:pPr>
        <w:spacing w:after="0" w:line="161" w:lineRule="exact"/>
        <w:rPr>
          <w:rFonts w:ascii="Times New Roman" w:cs="Times New Roman" w:eastAsia="Times New Roman" w:hAnsi="Times New Roman"/>
          <w:sz w:val="18"/>
          <w:szCs w:val="18"/>
          <w:color w:val="auto"/>
        </w:rPr>
      </w:pPr>
    </w:p>
    <w:p>
      <w:pPr>
        <w:ind w:left="2140" w:right="360" w:hanging="323"/>
        <w:spacing w:after="0" w:line="282" w:lineRule="auto"/>
        <w:tabs>
          <w:tab w:leader="none" w:pos="2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leased to others, licensed to others or transferred any of the Acquired Companies’ assets or properties, except in the ordinary course of the Business;</w:t>
      </w:r>
    </w:p>
    <w:p>
      <w:pPr>
        <w:spacing w:after="0" w:line="161" w:lineRule="exact"/>
        <w:rPr>
          <w:rFonts w:ascii="Times New Roman" w:cs="Times New Roman" w:eastAsia="Times New Roman" w:hAnsi="Times New Roman"/>
          <w:sz w:val="18"/>
          <w:szCs w:val="18"/>
          <w:color w:val="auto"/>
        </w:rPr>
      </w:pPr>
    </w:p>
    <w:p>
      <w:pPr>
        <w:ind w:left="2140" w:hanging="323"/>
        <w:spacing w:after="0"/>
        <w:tabs>
          <w:tab w:leader="none" w:pos="2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any material loss, or material interruption in use, of any material asset;</w:t>
      </w:r>
    </w:p>
    <w:p>
      <w:pPr>
        <w:spacing w:after="0" w:line="225" w:lineRule="exact"/>
        <w:rPr>
          <w:rFonts w:ascii="Times New Roman" w:cs="Times New Roman" w:eastAsia="Times New Roman" w:hAnsi="Times New Roman"/>
          <w:sz w:val="18"/>
          <w:szCs w:val="18"/>
          <w:color w:val="auto"/>
        </w:rPr>
      </w:pPr>
    </w:p>
    <w:p>
      <w:pPr>
        <w:ind w:left="2140" w:right="340" w:hanging="323"/>
        <w:spacing w:after="0" w:line="282" w:lineRule="auto"/>
        <w:tabs>
          <w:tab w:leader="none" w:pos="2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rights related to the Business or arising under or in connection with any of the Acquired Companies’ material assets, except in the ordinary course of the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ind w:left="1480" w:hanging="323"/>
        <w:spacing w:after="0" w:line="258" w:lineRule="auto"/>
        <w:tabs>
          <w:tab w:leader="none" w:pos="1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made, changed or revoked any Tax election, (ii) settled or compromised any Tax Liability, (iii) changed an annual accounting period or changed (or made a request to any tax authority to change) any aspect of its method of accounting for Tax purposes, (iv) consented to any extension or waiver of the limitation period applicable to any Tax claim or assessment, (v) entered into any Tax sharing, closing, or similar agreement in respect of any Taxes, or (vi) obtained or requested any Tax ruling, in each case, with respect to the Acquired Companies;</w:t>
      </w:r>
    </w:p>
    <w:p>
      <w:pPr>
        <w:spacing w:after="0" w:line="183"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assets or properties in connection with the Business other than in the ordinary course of the Business;</w:t>
      </w:r>
    </w:p>
    <w:p>
      <w:pPr>
        <w:spacing w:after="0" w:line="225" w:lineRule="exact"/>
        <w:rPr>
          <w:rFonts w:ascii="Times New Roman" w:cs="Times New Roman" w:eastAsia="Times New Roman" w:hAnsi="Times New Roman"/>
          <w:sz w:val="18"/>
          <w:szCs w:val="18"/>
          <w:color w:val="auto"/>
        </w:rPr>
      </w:pPr>
    </w:p>
    <w:p>
      <w:pPr>
        <w:ind w:left="1480" w:right="100" w:hanging="323"/>
        <w:spacing w:after="0" w:line="282" w:lineRule="auto"/>
        <w:tabs>
          <w:tab w:leader="none" w:pos="1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or failed to maintain in full force and effect any Company Intellectual Property, except where such abandonments or failures would not be expected to have a Material Adverse Effect; or</w:t>
      </w:r>
    </w:p>
    <w:p>
      <w:pPr>
        <w:spacing w:after="0" w:line="161"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amended its formation or governing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lists each of the following Contracts (collectively,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4"/>
        <w:spacing w:after="0" w:line="266" w:lineRule="auto"/>
        <w:tabs>
          <w:tab w:leader="none" w:pos="11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of the Acquired Companies involving aggregate consideration in excess of $250,000 or requiring performance by any party more than one year from the date hereof, which, in each case, cannot be cancelled by the applicable Acquired Company without material penalty or without more than 90 days’ prior notice;</w:t>
      </w:r>
    </w:p>
    <w:p>
      <w:pPr>
        <w:spacing w:after="0" w:line="17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sale of any of the Acquired Companies’ assets, other than in the ordinary course of the Business;</w:t>
      </w:r>
    </w:p>
    <w:p>
      <w:pPr>
        <w:spacing w:after="0" w:line="225" w:lineRule="exact"/>
        <w:rPr>
          <w:rFonts w:ascii="Times New Roman" w:cs="Times New Roman" w:eastAsia="Times New Roman" w:hAnsi="Times New Roman"/>
          <w:sz w:val="18"/>
          <w:szCs w:val="18"/>
          <w:color w:val="auto"/>
        </w:rPr>
      </w:pPr>
    </w:p>
    <w:p>
      <w:pPr>
        <w:ind w:right="180" w:firstLine="644"/>
        <w:spacing w:after="0" w:line="282" w:lineRule="auto"/>
        <w:tabs>
          <w:tab w:leader="none" w:pos="11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acquisition of any business, a material amount of equity or assets of any other Person or any real property (whether by merger, sale of stock or other equity interests, sale of assets or otherwise);</w:t>
      </w:r>
    </w:p>
    <w:p>
      <w:pPr>
        <w:spacing w:after="0" w:line="161" w:lineRule="exact"/>
        <w:rPr>
          <w:rFonts w:ascii="Times New Roman" w:cs="Times New Roman" w:eastAsia="Times New Roman" w:hAnsi="Times New Roman"/>
          <w:sz w:val="18"/>
          <w:szCs w:val="18"/>
          <w:color w:val="auto"/>
        </w:rPr>
      </w:pPr>
    </w:p>
    <w:p>
      <w:pPr>
        <w:ind w:right="860" w:firstLine="644"/>
        <w:spacing w:after="0" w:line="282" w:lineRule="auto"/>
        <w:tabs>
          <w:tab w:leader="none" w:pos="11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agreements relating to trade payables, all agreements relating to Indebtedness (including, without limitation, guarantees) of the Acquired Companies;</w:t>
      </w:r>
    </w:p>
    <w:p>
      <w:pPr>
        <w:spacing w:after="0" w:line="161" w:lineRule="exact"/>
        <w:rPr>
          <w:rFonts w:ascii="Times New Roman" w:cs="Times New Roman" w:eastAsia="Times New Roman" w:hAnsi="Times New Roman"/>
          <w:sz w:val="18"/>
          <w:szCs w:val="18"/>
          <w:color w:val="auto"/>
        </w:rPr>
      </w:pPr>
    </w:p>
    <w:p>
      <w:pPr>
        <w:ind w:right="520" w:firstLine="644"/>
        <w:spacing w:after="0" w:line="282" w:lineRule="auto"/>
        <w:tabs>
          <w:tab w:leader="none" w:pos="11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between or among an Acquired Company on the one hand and Seller or any Affiliate of Seller (other than an Acquired Company) on the other hand;</w:t>
      </w:r>
    </w:p>
    <w:p>
      <w:pPr>
        <w:spacing w:after="0" w:line="161" w:lineRule="exact"/>
        <w:rPr>
          <w:rFonts w:ascii="Times New Roman" w:cs="Times New Roman" w:eastAsia="Times New Roman" w:hAnsi="Times New Roman"/>
          <w:sz w:val="18"/>
          <w:szCs w:val="18"/>
          <w:color w:val="auto"/>
        </w:rPr>
      </w:pPr>
    </w:p>
    <w:p>
      <w:pPr>
        <w:ind w:right="620" w:firstLine="644"/>
        <w:spacing w:after="0" w:line="282" w:lineRule="auto"/>
        <w:tabs>
          <w:tab w:leader="none" w:pos="11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agreements or agreements with any labor organization, union or association to which an Acquired Company is a party;</w:t>
      </w:r>
    </w:p>
    <w:p>
      <w:pPr>
        <w:spacing w:after="0" w:line="161" w:lineRule="exact"/>
        <w:rPr>
          <w:rFonts w:ascii="Times New Roman" w:cs="Times New Roman" w:eastAsia="Times New Roman" w:hAnsi="Times New Roman"/>
          <w:sz w:val="18"/>
          <w:szCs w:val="18"/>
          <w:color w:val="auto"/>
        </w:rPr>
      </w:pPr>
    </w:p>
    <w:p>
      <w:pPr>
        <w:ind w:right="40" w:firstLine="644"/>
        <w:spacing w:after="0" w:line="282" w:lineRule="auto"/>
        <w:tabs>
          <w:tab w:leader="none" w:pos="11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require an Acquired Company to purchase its total requirements of any product or service from a third party or that contain “take or pay” provisions;</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1" w:name="page72"/>
    <w:bookmarkEnd w:id="71"/>
    <w:p>
      <w:pPr>
        <w:ind w:left="660" w:right="660" w:firstLine="644"/>
        <w:spacing w:after="0" w:line="282" w:lineRule="auto"/>
        <w:tabs>
          <w:tab w:leader="none" w:pos="18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other than those entered into in the ordinary course of business, that provide for the indemnification by an Acquired Company of any Person or the assumption of any Tax, environmental or other Liability of any Person; and</w:t>
      </w:r>
    </w:p>
    <w:p>
      <w:pPr>
        <w:spacing w:after="0" w:line="161" w:lineRule="exact"/>
        <w:rPr>
          <w:rFonts w:ascii="Times New Roman" w:cs="Times New Roman" w:eastAsia="Times New Roman" w:hAnsi="Times New Roman"/>
          <w:sz w:val="18"/>
          <w:szCs w:val="18"/>
          <w:color w:val="auto"/>
        </w:rPr>
      </w:pPr>
    </w:p>
    <w:p>
      <w:pPr>
        <w:ind w:left="660" w:right="380" w:firstLine="644"/>
        <w:spacing w:after="0" w:line="282" w:lineRule="auto"/>
        <w:tabs>
          <w:tab w:leader="none" w:pos="179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limit or purport to limit the ability of an Acquired Company to compete in any line of business or with any Person or in any geographic area or during any period of time.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All of the Material Contracts are valid and binding upon the applicable Acquired Company and enforceable against the other parties thereto in accordance with their respective terms. The Acquired Companies are not in breach of any of the Material Contracts and, to Seller’s Knowledge (i) no other party to a Material Contract is in default thereunder and (ii) no condition exists which, with notice or lapse of time or both, would constitute a default by the Acquired Companies, or by any other party thereunder. The Acquired Companies have not provided or received any notice of any intention to terminate any Material Contract, and there are no disputes pending or to Seller’s Knowledge, threatened under any Material Contract.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00" w:firstLine="644"/>
        <w:spacing w:after="0" w:line="255" w:lineRule="auto"/>
        <w:tabs>
          <w:tab w:leader="none" w:pos="18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application of Federal Cannabis Laws to the activities of the Acquired Companies’ respective businesses prior to the Closing, the Acquired Companies are not, as of the Closing, in any material respect, in violation of any statute, law, ordinance, regulation, rule, code, order, constitution, treaty, common law, judgment, decree, other requirement or rule of law (each a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(each a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right="140" w:firstLine="644"/>
        <w:spacing w:after="0" w:line="261" w:lineRule="auto"/>
        <w:tabs>
          <w:tab w:leader="none" w:pos="18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required for each Acquired Company to conduct its business have been obtained by it and are valid and in full force and effect. All fees and charges with respect to such Permits as of the date hereof have been paid in full. The Company has complied and is now complying with the terms of all applicable Permits. No event has occurred that, with or without notice or lapse of time or both, would reasonably be expected to result in the revocation, suspension, lapse or limitation of any Permit of either Acquired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73" w:lineRule="auto"/>
        <w:tabs>
          <w:tab w:leader="none" w:pos="181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 Returns required to have been filed by the Acquired Companies have been timely filed (taking into account any valid extension of time within which to file), and all such Tax Returns are true, correct and complete in all material respects. All Taxes due and payable by the Acquired Companies have been timely paid in full (whether or not shown or required to be shown on any Tax Return) to the appropriate taxing authority.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shall mean all taxes with respect to net income, capital gains, gross income, gross receipts, sales, use, transfer, ad valorem, franchise, profits, license, capital, withholding, payroll, employment, excise, goods and services, severance, stamp, occupation, premium, property, assessments, or other taxes or governmental charges of any kind whatsoever, together with any interest, fines and any penalties, additions to tax or additional amounts incurred or accrued under applicable Law, or assessed, charged or imposed by any Governmental Authority.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460" w:right="140" w:firstLine="644"/>
        <w:spacing w:after="0" w:line="254" w:lineRule="auto"/>
        <w:tabs>
          <w:tab w:leader="none" w:pos="7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of the Acquired Companies. The Acquired Companies are not involved in nor is the subject of any dispute relating to Taxes, and has not received notice or threat of any pending audit or notice of deficiency from the IRS or any other tax authority. There are no unsatisfied liabilities for Taxes (including liabilities for interest, additions to Tax and penalties thereon and related expenses) with respect to any written notice of deficiency or similar document received by the Acquired Companies with respect to any Tax. The Acquired Companies have not received from any governmental entity in a jurisdiction where an Acquired Company has not filed any Tax Returns any written claim that an Acquired Company is subject to taxation by that jurisdiction, which claim has not been fully resolved. There are no liens for Taxes upon any assets of the Acquired Companies except for statutory liens for current Taxes that are not yet due and payable.</w:t>
      </w:r>
    </w:p>
    <w:p>
      <w:pPr>
        <w:spacing w:after="0" w:line="191" w:lineRule="exact"/>
        <w:rPr>
          <w:rFonts w:ascii="Times New Roman" w:cs="Times New Roman" w:eastAsia="Times New Roman" w:hAnsi="Times New Roman"/>
          <w:sz w:val="18"/>
          <w:szCs w:val="18"/>
          <w:color w:val="auto"/>
        </w:rPr>
      </w:pPr>
    </w:p>
    <w:p>
      <w:pPr>
        <w:ind w:left="-460" w:firstLine="644"/>
        <w:spacing w:after="0" w:line="258" w:lineRule="auto"/>
        <w:tabs>
          <w:tab w:leader="none" w:pos="69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Acquired Companies have been required by law to deduct, withhold or to collect for payment have been duly and timely deducted, withheld and collected, and have been paid over to the appropriate tax authority in compliance with all applicable Law with respect to payments made to any current or former employee, independent contractor, other service provider, creditor, shareholder, customer, vendor, supplier, or other third party, and the Acquired Companies have timely complied in all material respects with all information reporting and withholding requirements under all applicable Law, including maintenance of required records with respect thereto.</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61" w:lineRule="auto"/>
        <w:tabs>
          <w:tab w:leader="none" w:pos="7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advance pricing agreement, consent to an extension of time to make an election, consent to a change a method of accounting or other similar agreements or rulings relating to Taxes have been entered into or issued by any Tax authority with or in respect of the Acquired Companies. The Acquired Companies do not have a power of attorney with respect to any Tax that is in force as of the Closing Date.</w:t>
      </w:r>
    </w:p>
    <w:p>
      <w:pPr>
        <w:spacing w:after="0" w:line="179" w:lineRule="exact"/>
        <w:rPr>
          <w:rFonts w:ascii="Times New Roman" w:cs="Times New Roman" w:eastAsia="Times New Roman" w:hAnsi="Times New Roman"/>
          <w:sz w:val="18"/>
          <w:szCs w:val="18"/>
          <w:color w:val="auto"/>
        </w:rPr>
      </w:pPr>
    </w:p>
    <w:p>
      <w:pPr>
        <w:ind w:left="-460" w:right="120" w:firstLine="644"/>
        <w:spacing w:after="0" w:line="258" w:lineRule="auto"/>
        <w:tabs>
          <w:tab w:leader="none" w:pos="6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have collected and properly remitted all sales, use, value-added, goods and services and other similar Taxes required to have been collected and remitted with respect to sales or leases made or services provided by the Acquired Companies, and for all sales, leases, or provisions of services that are exempt from such Taxes and that were made without charging or remitting such Taxes, the Acquired Companies have received and retained any appropriate Tax exemption certificates and other documentations qualifying such sales, leases, or provision of services as exempt.</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73" w:name="page74"/>
    <w:bookmarkEnd w:id="73"/>
    <w:p>
      <w:pPr>
        <w:ind w:left="4" w:right="60" w:firstLine="644"/>
        <w:spacing w:after="0" w:line="282" w:lineRule="auto"/>
        <w:tabs>
          <w:tab w:leader="none" w:pos="114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are not, and have not been, a party to, or a promoter of, a “reportable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ind w:left="1164" w:hanging="516"/>
        <w:spacing w:after="0"/>
        <w:tabs>
          <w:tab w:leader="none" w:pos="116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assets of the Acquired Companies are (i) tax-exempt use property within the meaning of Section 168(h) of the Code,</w:t>
      </w:r>
    </w:p>
    <w:p>
      <w:pPr>
        <w:spacing w:after="0" w:line="27" w:lineRule="exact"/>
        <w:rPr>
          <w:rFonts w:ascii="Times New Roman" w:cs="Times New Roman" w:eastAsia="Times New Roman" w:hAnsi="Times New Roman"/>
          <w:sz w:val="18"/>
          <w:szCs w:val="18"/>
          <w:color w:val="auto"/>
        </w:rPr>
      </w:pPr>
    </w:p>
    <w:p>
      <w:pPr>
        <w:ind w:left="4" w:right="20" w:hanging="4"/>
        <w:spacing w:after="0" w:line="260" w:lineRule="auto"/>
        <w:tabs>
          <w:tab w:leader="none" w:pos="2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168(g)(1)(A) of the Code, or (iii) subject to a disqualified leaseback or long-term agreement as defined in Section 467 of the Code.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644"/>
        <w:spacing w:after="0" w:line="256" w:lineRule="auto"/>
        <w:tabs>
          <w:tab w:leader="none" w:pos="11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Liability</w:t>
      </w:r>
      <w:r>
        <w:rPr>
          <w:rFonts w:ascii="Times New Roman" w:cs="Times New Roman" w:eastAsia="Times New Roman" w:hAnsi="Times New Roman"/>
          <w:sz w:val="18"/>
          <w:szCs w:val="18"/>
          <w:color w:val="auto"/>
        </w:rPr>
        <w:t>. There are no pending or, to Seller’s Knowledge, threatened Proceedings that involve any product alleged to have been processed, manufactured, marketed, or sold by the Acquired Companies (including any product alleged to have borne any of the Acquired Company’s Trademarks or to have been processed, manufactured, marketed, or sold by third parties at an Acquired Company’s direction or pursuant to any contracts or other agreements to which any such third party and an Acquired Company are parties)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including any such Proceedings pursuant to which any Products are alleged to have been defective, or improperly processed, manufactured or labeled; nor is there any valid basis for any such Proceeding.</w:t>
      </w:r>
    </w:p>
    <w:p>
      <w:pPr>
        <w:spacing w:after="0" w:line="187" w:lineRule="exact"/>
        <w:rPr>
          <w:rFonts w:ascii="Times New Roman" w:cs="Times New Roman" w:eastAsia="Times New Roman" w:hAnsi="Times New Roman"/>
          <w:sz w:val="18"/>
          <w:szCs w:val="18"/>
          <w:color w:val="auto"/>
        </w:rPr>
      </w:pPr>
    </w:p>
    <w:p>
      <w:pPr>
        <w:ind w:left="4" w:right="40" w:firstLine="644"/>
        <w:spacing w:after="0" w:line="258" w:lineRule="auto"/>
        <w:tabs>
          <w:tab w:leader="none" w:pos="11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xml:space="preserve">. Each Product produced in connection with the Business has been produced and delivered in material conformance with all contractual commitments, and the Acquired Companies has no Liability (and there is no basis for any present or future Proceeding against the Acquired Companies giving rise to any Liability) for replacement thereof.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and except for standard commercial product warranties and indemnities provided in the ordinary course of business, none of the Products produced in connection with the Business are subject to any extended and non-standard guaranty, warranty, or other indemnity.</w:t>
      </w:r>
    </w:p>
    <w:p>
      <w:pPr>
        <w:spacing w:after="0" w:line="183" w:lineRule="exact"/>
        <w:rPr>
          <w:rFonts w:ascii="Times New Roman" w:cs="Times New Roman" w:eastAsia="Times New Roman" w:hAnsi="Times New Roman"/>
          <w:sz w:val="18"/>
          <w:szCs w:val="18"/>
          <w:color w:val="auto"/>
        </w:rPr>
      </w:pPr>
    </w:p>
    <w:p>
      <w:pPr>
        <w:jc w:val="both"/>
        <w:ind w:left="4" w:right="40" w:firstLine="644"/>
        <w:spacing w:after="0" w:line="261" w:lineRule="auto"/>
        <w:tabs>
          <w:tab w:leader="none" w:pos="11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inventory of the Acquired Companies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Acquired Companies free and clear of all Liens (other than Permitted Liens), and no inventory is held on a consignment basis.</w:t>
      </w:r>
    </w:p>
    <w:p>
      <w:pPr>
        <w:spacing w:after="0" w:line="179" w:lineRule="exact"/>
        <w:rPr>
          <w:rFonts w:ascii="Times New Roman" w:cs="Times New Roman" w:eastAsia="Times New Roman" w:hAnsi="Times New Roman"/>
          <w:sz w:val="18"/>
          <w:szCs w:val="18"/>
          <w:color w:val="auto"/>
        </w:rPr>
      </w:pPr>
    </w:p>
    <w:p>
      <w:pPr>
        <w:ind w:left="4" w:firstLine="644"/>
        <w:spacing w:after="0" w:line="266" w:lineRule="auto"/>
        <w:tabs>
          <w:tab w:leader="none" w:pos="11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Acquired Companies have good and valid title to all personal property and other assets constituting the Business, other than assets sold or otherwise disposed of in the ordinary course of business consistent with past practice. All such assets are free and clear of Liens except for Permitted Liens.</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76" w:lineRule="auto"/>
        <w:tabs>
          <w:tab w:leader="none" w:pos="116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Set forth on </w:t>
      </w:r>
      <w:r>
        <w:rPr>
          <w:rFonts w:ascii="Times New Roman" w:cs="Times New Roman" w:eastAsia="Times New Roman" w:hAnsi="Times New Roman"/>
          <w:sz w:val="17"/>
          <w:szCs w:val="17"/>
          <w:u w:val="single" w:color="auto"/>
          <w:color w:val="auto"/>
        </w:rPr>
        <w:t>Schedule 4.14</w:t>
      </w:r>
      <w:r>
        <w:rPr>
          <w:rFonts w:ascii="Times New Roman" w:cs="Times New Roman" w:eastAsia="Times New Roman" w:hAnsi="Times New Roman"/>
          <w:sz w:val="17"/>
          <w:szCs w:val="17"/>
          <w:color w:val="auto"/>
        </w:rPr>
        <w:t xml:space="preserve"> is a true and complete list of all Patents, registered Trademarks, and registered copyrights owned by the Acquired Companies (the “</w:t>
      </w:r>
      <w:r>
        <w:rPr>
          <w:rFonts w:ascii="Times New Roman" w:cs="Times New Roman" w:eastAsia="Times New Roman" w:hAnsi="Times New Roman"/>
          <w:sz w:val="17"/>
          <w:szCs w:val="17"/>
          <w:b w:val="1"/>
          <w:bCs w:val="1"/>
          <w:color w:val="auto"/>
        </w:rPr>
        <w:t>Company Intellectual Property</w:t>
      </w:r>
      <w:r>
        <w:rPr>
          <w:rFonts w:ascii="Times New Roman" w:cs="Times New Roman" w:eastAsia="Times New Roman" w:hAnsi="Times New Roman"/>
          <w:sz w:val="17"/>
          <w:szCs w:val="17"/>
          <w:color w:val="auto"/>
        </w:rPr>
        <w:t>”), listing, as applicable, (i) the name of the applicant or registrant and current owner;</w:t>
      </w:r>
    </w:p>
    <w:p>
      <w:pPr>
        <w:ind w:left="4" w:right="20" w:hanging="4"/>
        <w:spacing w:after="0" w:line="253" w:lineRule="auto"/>
        <w:tabs>
          <w:tab w:leader="none" w:pos="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of application or issuance; (iii) the jurisdiction where the application or registration is located; and (iv) the application or registration number.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also sets forth a correct, current and complete list of all Company IP Agreements (i) under which any Acquired Company is a licensor or otherwise grants to any Person any right or interest relating to any Company Intellectual Property; (ii) under which any Acquired Company is a licensee or otherwise granted any right or interest relating to the Intellectual Property of any Person; and (iii) which otherwise relate to the Acquired Companies’ ownership or use of Intellectual Property.</w:t>
      </w:r>
    </w:p>
    <w:p>
      <w:pPr>
        <w:spacing w:after="0" w:line="186" w:lineRule="exact"/>
        <w:rPr>
          <w:rFonts w:ascii="Times New Roman" w:cs="Times New Roman" w:eastAsia="Times New Roman" w:hAnsi="Times New Roman"/>
          <w:sz w:val="18"/>
          <w:szCs w:val="18"/>
          <w:color w:val="auto"/>
        </w:rPr>
      </w:pPr>
    </w:p>
    <w:p>
      <w:pPr>
        <w:ind w:left="4" w:right="60" w:firstLine="644"/>
        <w:spacing w:after="0" w:line="256" w:lineRule="auto"/>
        <w:tabs>
          <w:tab w:leader="none" w:pos="117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Acquired Company is the sole and exclusive legal and beneficial, and with respect to the Company IP Registrations, record, owner of all right, title and interest in and to the Company Intellectual Property listed next to such Acquired Company’s name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and has the valid and enforceable right to use all other Intellectual Property used or held for use in or necessary for the conduct of the Business, in each case, free and clear of Liens other than Permitted Liens. All assignments and other instruments necessary to establish, record, and perfect the Acquired Companies’ ownership interest in the Company IP Registrations have been validly executed, delivered, and filed with the relevant Governmental Authorities and authorized registrars.</w:t>
      </w:r>
    </w:p>
    <w:p>
      <w:pPr>
        <w:spacing w:after="0" w:line="187" w:lineRule="exact"/>
        <w:rPr>
          <w:rFonts w:ascii="Times New Roman" w:cs="Times New Roman" w:eastAsia="Times New Roman" w:hAnsi="Times New Roman"/>
          <w:sz w:val="18"/>
          <w:szCs w:val="18"/>
          <w:color w:val="auto"/>
        </w:rPr>
      </w:pPr>
    </w:p>
    <w:p>
      <w:pPr>
        <w:ind w:left="4" w:right="100" w:firstLine="644"/>
        <w:spacing w:after="0" w:line="266" w:lineRule="auto"/>
        <w:tabs>
          <w:tab w:leader="none" w:pos="116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hereunder, will result in the loss or impairment of, or require the consent of any other Person in respect of, the Acquired Companies’ right to own or use any Company Intellectual Property.</w:t>
      </w:r>
    </w:p>
    <w:p>
      <w:pPr>
        <w:spacing w:after="0" w:line="175" w:lineRule="exact"/>
        <w:rPr>
          <w:rFonts w:ascii="Times New Roman" w:cs="Times New Roman" w:eastAsia="Times New Roman" w:hAnsi="Times New Roman"/>
          <w:sz w:val="18"/>
          <w:szCs w:val="18"/>
          <w:color w:val="auto"/>
        </w:rPr>
      </w:pPr>
    </w:p>
    <w:p>
      <w:pPr>
        <w:ind w:left="4" w:right="120" w:firstLine="644"/>
        <w:spacing w:after="0" w:line="258" w:lineRule="auto"/>
        <w:tabs>
          <w:tab w:leader="none" w:pos="117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all of the Company Intellectual Property is valid and enforceable, and all Company IP Registrations are subsisting and in full force and effect.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the Acquired Companies have taken all reasonable steps to maintain and enforce the Company Intellectual Property to preserve the confidentiality of all Trade Secrets included in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all required filings and fees related to the Company IP Registrations have been timely submitted with and paid to the relevant Governmental Authorities and authorized registrars.</w:t>
      </w:r>
    </w:p>
    <w:p>
      <w:pPr>
        <w:spacing w:after="0" w:line="183" w:lineRule="exact"/>
        <w:rPr>
          <w:rFonts w:ascii="Times New Roman" w:cs="Times New Roman" w:eastAsia="Times New Roman" w:hAnsi="Times New Roman"/>
          <w:sz w:val="18"/>
          <w:szCs w:val="18"/>
          <w:color w:val="auto"/>
        </w:rPr>
      </w:pPr>
    </w:p>
    <w:p>
      <w:pPr>
        <w:ind w:left="4" w:right="140" w:firstLine="644"/>
        <w:spacing w:after="0" w:line="261" w:lineRule="auto"/>
        <w:tabs>
          <w:tab w:leader="none" w:pos="116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 conduct of the Business as currently and formerly conducted, including the use of the Company Intellectual Property in connection therewith, and the products, processes and services of the Acquired Companies have not materially infringed, misappropriated or otherwise violated the Intellectual Property or other rights of any Person. To Seller’s Knowledge, no Person has materially infringed, misappropriated or otherwise violated any Company Intellectual Property.</w:t>
      </w:r>
    </w:p>
    <w:p>
      <w:pPr>
        <w:spacing w:after="0" w:line="179" w:lineRule="exact"/>
        <w:rPr>
          <w:rFonts w:ascii="Times New Roman" w:cs="Times New Roman" w:eastAsia="Times New Roman" w:hAnsi="Times New Roman"/>
          <w:sz w:val="18"/>
          <w:szCs w:val="18"/>
          <w:color w:val="auto"/>
        </w:rPr>
      </w:pPr>
    </w:p>
    <w:p>
      <w:pPr>
        <w:ind w:left="4" w:right="120" w:firstLine="644"/>
        <w:spacing w:after="0" w:line="255" w:lineRule="auto"/>
        <w:tabs>
          <w:tab w:leader="none" w:pos="114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material actions (including any opposition, cancellation, revocation, review or other proceeding), whether settled, pending or to Seller’s Knowledge, threatened (including in the form of offers to obtain a license): (i) alleging any infringement, misappropriation or other violation by any Acquired Company of the Intellectual Property of any Person; (ii) challenging the validity, enforceability, registrability, patentability or ownership of any Company Intellectual Property or the Acquired Companies’ respective right, title, or interest in or to any Company Intellectual Property; or (iii) by any Acquired Company alleging any infringement, misappropriation, or other violation by any Person of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to the Seller’s Knowledge, there are no facts or circumstances that could reasonably be expected to give rise to any such action.</w:t>
      </w:r>
    </w:p>
    <w:p>
      <w:pPr>
        <w:spacing w:after="0" w:line="200" w:lineRule="exact"/>
        <w:rPr>
          <w:sz w:val="20"/>
          <w:szCs w:val="20"/>
          <w:color w:val="auto"/>
        </w:rPr>
      </w:pPr>
    </w:p>
    <w:p>
      <w:pPr>
        <w:spacing w:after="0" w:line="2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75" w:name="page76"/>
    <w:bookmarkEnd w:id="75"/>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or, to Seller’s Knowledge, threatened against the Acquired Companies or affecting any of their respective properties or assets. To Seller’s Knowledge, no event has occurred or circumstances exist that may give rise to, or serve as a basis for, any such Proceeding.</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Labor and Employee Matters</w:t>
      </w:r>
      <w:r>
        <w:rPr>
          <w:rFonts w:ascii="Times New Roman" w:cs="Times New Roman" w:eastAsia="Times New Roman" w:hAnsi="Times New Roman"/>
          <w:sz w:val="18"/>
          <w:szCs w:val="18"/>
          <w:color w:val="auto"/>
        </w:rPr>
        <w:t>. The Acquired Companies have no employees. Each individual who is or has been classified by either Acquired Company as an independent contractor has been properly classified under applicable Law.</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Person is or will be entitled to any brokerage commission, finder’s fee or like payment in connection with the Transaction based upon such arrangements made by or on behalf of Seller.</w:t>
      </w:r>
    </w:p>
    <w:p>
      <w:pPr>
        <w:spacing w:after="0" w:line="158"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b w:val="1"/>
          <w:bCs w:val="1"/>
          <w:color w:val="auto"/>
        </w:rPr>
        <w:t>Error! Bookmark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defined.</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related portions of the Schedules), none of Seller, the Acquired Companies or any other Person has made or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express or implied representation or warranty, either written or oral, on behalf of Seller or the Acquired Companies, including any representation or warranty as to the accuracy or completeness of any information regarding the Acquired Companies furnished or made available to Purchaser and its representatives.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hereby represents and warrants to Seller as follows: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Authority of Purchaser</w:t>
      </w:r>
      <w:r>
        <w:rPr>
          <w:rFonts w:ascii="Times New Roman" w:cs="Times New Roman" w:eastAsia="Times New Roman" w:hAnsi="Times New Roman"/>
          <w:sz w:val="18"/>
          <w:szCs w:val="18"/>
          <w:color w:val="auto"/>
        </w:rPr>
        <w:t>. Purchaser is a corporation duly organized, validly existing and in good standing under the Laws of the state of Nevada. Purchaser has all necessary corporate power and authority to enter into this Agreement and the Ancillary Documents to which Purchaser is or will be a party, to carry out its obligations hereunder and thereunder and to consummate the transactions contemplated hereby and thereby. The execution and delivery by Purchaser of this Agreement and the Ancillary Documents to which Purchaser is or will be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constitutes, and each Ancillary Document to which Purchaser is or will be a party when duly executed and delivered by Purchaser (assuming due authorization, execution and delivery by each other party thereto) will constitute, a legal, valid and binding obligation of Purchaser, enforceable against Purchaser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Purchaser of this Agreement and the Ancillary Documents to which it is or will be a party, and the consummation of the transactions contemplated hereby and thereby, do not and will not: (i) result in a violation or breach of any provision of the formation or governing documents of Purchaser; (ii) result in a violation or breach of any provision of any material Law or Governmental Order applicable to Purchaser; or (iii) require the consent, notice or other action by any Person under, conflict with, result in a violation or breach of, or constitute a default under, any agreement to which Purchaser is a party, except in the cases of clause (iii), where the violation, breach, conflict, default or failure to give notice or obtain consent would not have a material adverse effect on Purchaser’s ability to consummate the transactions contemplated hereby. No consent, approval, declaration or filing with, or notice to, any Governmental Authority is required by or with respect to Purchaser in connection with the execution and delivery of this Agreement and the Ancillary Documents to which it is or will be party and the consummation of the transactions contemplated hereby and thereby, except where the failure to obtain or make such consents, approvals, declarations, filings or notices would not have a material adverse effect on Purchaser’s ability to consummate the transactions contemplated hereby and thereby. Notwithstanding the foregoing, the Parties acknowledge and agree the consummation of the transactions contemplated hereby may require that Purchaser make certain disclosures with the SEC and other securities regulators.</w:t>
      </w:r>
    </w:p>
    <w:p>
      <w:pPr>
        <w:spacing w:after="0" w:line="19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Purchaser is acquiring the Membership Interests solely for its own account for investment purposes and not with a view to, or for offer or sale in connection with, any distribution thereof. Purchaser acknowledges that the Membership Interests are not registered under the Securities Act or any state securities laws, and that the Membership Interests may not be transferred or sold except pursuant to the registration provisions of the Securities Act or pursuant to an applicable exemption therefrom and subject to state securities laws and regulations, as applicable. Purchaser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No action or proceeding has been instituted against Purchaser before any Governmental Authority (i) seeking to restrain or prohibit the execution and delivery of this Agreement or the consummation of the Transaction, or (ii) that would, if decided adversely to Purchaser, have a material adverse effect on Purchaser’s ability to perform its obligations under this Agreement.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Neither Purchaser nor any of its officers, directors or employees has made any agreement or taken any other action that might cause Seller to become liable for any brokerage fees, commissions or finders’ fees in connection with the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Purchaser has filed or furnished, as applicable, all forms, reports, schedules, and other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or furnished by it with the SEC under the Securities Exchange Act or the Securities Act since January 1, 2024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SEC Reports</w:t>
      </w:r>
      <w:r>
        <w:rPr>
          <w:rFonts w:ascii="Times New Roman" w:cs="Times New Roman" w:eastAsia="Times New Roman" w:hAnsi="Times New Roman"/>
          <w:sz w:val="18"/>
          <w:szCs w:val="18"/>
          <w:color w:val="auto"/>
        </w:rPr>
        <w:t>”). As of its respective date, and, if amended, as of the date of the last such amendment, each Purchaser SEC Report complied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with the applicable requirements of the Securities Act and the Securities Exchange Act and any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applicable to the Purchaser SEC Report. As of its respective date, and, if amended, as of the date of the last such amendment, no Purchaser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contained any untrue statement of a material fact or omitted to state a material fact required to be stated therein or necessary to make the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therein, in light of the circumstances in which they were made, not misleading. As of the date hereof, there are no outstanding or unresolved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 from any comment letters received by Purchaser from the SEC relating to reports, statements, schedules, registration statements or other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Purchaser with the SEC.</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20" w:firstLine="644"/>
        <w:spacing w:after="0" w:line="289" w:lineRule="auto"/>
        <w:tabs>
          <w:tab w:leader="none" w:pos="182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has conducted its own independent investigation, review and analysis of the business, results of operations, prospects, condition (financial or otherwise) or assets of the Acquired Companies, and acknowledges that it has been provided adequate access to the personnel, properties, assets, premises, books and records, and other documents and data of Seller and the Acquired Companies for such purpose.</w:t>
      </w:r>
    </w:p>
    <w:p>
      <w:pPr>
        <w:spacing w:after="0" w:line="157" w:lineRule="exact"/>
        <w:rPr>
          <w:rFonts w:ascii="Times New Roman" w:cs="Times New Roman" w:eastAsia="Times New Roman" w:hAnsi="Times New Roman"/>
          <w:sz w:val="17"/>
          <w:szCs w:val="17"/>
          <w:color w:val="auto"/>
        </w:rPr>
      </w:pPr>
    </w:p>
    <w:p>
      <w:pPr>
        <w:ind w:left="660" w:firstLine="644"/>
        <w:spacing w:after="0" w:line="253" w:lineRule="auto"/>
        <w:tabs>
          <w:tab w:leader="none" w:pos="183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(i) none of Seller, the Acquired Companies, nor any other Person on behalf of Seller or the Acquired Companies has made any representation or warranty, expressed or implied, as to the Acquired Companies or the Membership Interests, or the accuracy or completeness of any information regarding the Acquired Companies or the Membership Interests furnished or made available to Seller and its representatives, or any other matter related to the transactions contemplated herein, other than those representations and warranties expressly set forth in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this Agreement (including the related portions of the Schedules), (ii) in determining to enter into this Agreement, Purchaser has not relied on any representation or warranty from Seller, the Acquired Companies or any other Person on behalf of Seller or the Acquired Companies, or upon the accuracy or completeness of any information regarding the Acquired Companies or the Membership Interests furnished or made available to Purchaser and its representatives, other than those representations and warranties expressly set forth in this Agreement (including the related portions of the Schedules), and (iii) none of Seller, the Acquired Companies or any other Person acting on behalf of Seller or the Acquired Companies shall have any liability to Purchaser or any other Person with respect to any projections, forecasts, estimates, plans, or budgets of future revenue, expenses, or expenditures, future results of operations, future cash flows, or the future financial condition of the Acquired Companies or the future business, operations, or affairs of the Acquired Companies.</w:t>
      </w:r>
    </w:p>
    <w:p>
      <w:pPr>
        <w:spacing w:after="0" w:line="186"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b w:val="1"/>
          <w:bCs w:val="1"/>
          <w:color w:val="auto"/>
        </w:rPr>
        <w:t>Error! Bookmark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defined.</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Purchaser or any other Person has made or makes any other express or implied representation or warranty, either written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on behalf of the Purchaser, including any representation or warranty as to the accuracy or completeness of any information regarding the Purchaser furnished or made available to the Seller and its representatives.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REPURCHASE RIGHTS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Seller and Purchaser shall not issue or make any press release or other public statements with respect to the transactions contemplated hereunder without the other Party’s prior written consent.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Assurances; Release of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60" w:firstLine="644"/>
        <w:spacing w:after="0" w:line="266" w:lineRule="auto"/>
        <w:tabs>
          <w:tab w:leader="none" w:pos="182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each Party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75" w:lineRule="exact"/>
        <w:rPr>
          <w:rFonts w:ascii="Times New Roman" w:cs="Times New Roman" w:eastAsia="Times New Roman" w:hAnsi="Times New Roman"/>
          <w:sz w:val="18"/>
          <w:szCs w:val="18"/>
          <w:color w:val="auto"/>
        </w:rPr>
      </w:pPr>
    </w:p>
    <w:p>
      <w:pPr>
        <w:ind w:left="660" w:right="260" w:firstLine="644"/>
        <w:spacing w:after="0" w:line="261" w:lineRule="auto"/>
        <w:tabs>
          <w:tab w:leader="none" w:pos="18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Seller shall, and shall cause its Affiliates to, execute and deliver such additional documents, instruments and assurances, and take such further actions as may be reasonably required to obtain a full and unconditional release of the Seller Affiliate Liens, which release shall be obtained within ninety (90) calendar days of the Closing and shall not require any payment or other consideration from the Purchaser.</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Governmental Authority Concerns</w:t>
      </w:r>
      <w:r>
        <w:rPr>
          <w:rFonts w:ascii="Times New Roman" w:cs="Times New Roman" w:eastAsia="Times New Roman" w:hAnsi="Times New Roman"/>
          <w:sz w:val="18"/>
          <w:szCs w:val="18"/>
          <w:color w:val="auto"/>
        </w:rPr>
        <w:t>. 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w:t>
      </w:r>
    </w:p>
    <w:p>
      <w:pPr>
        <w:spacing w:after="0" w:line="176"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Access to and Preservation of Information and Records</w:t>
      </w:r>
      <w:r>
        <w:rPr>
          <w:rFonts w:ascii="Times New Roman" w:cs="Times New Roman" w:eastAsia="Times New Roman" w:hAnsi="Times New Roman"/>
          <w:sz w:val="17"/>
          <w:szCs w:val="17"/>
          <w:color w:val="auto"/>
        </w:rPr>
        <w:t>. For a period of five (5) years following the Closing Date, each of Purchaser and Seller shall preserve any books and records relating to the Business and shall provide to the other Party reasonable access to such books and records and to their respective employees and agents as the other Party shall reasonably request for purposes of preparing Tax Returns required to be filed by such Party, and responding to audits thereof, or as otherwise needed by such Party with respect to matters related to the Business. Each Party shall also provide the other Party such information related to the Acquired Companies or the Business as such other Party shall reasonably request for such purposes.</w:t>
      </w:r>
    </w:p>
    <w:p>
      <w:pPr>
        <w:spacing w:after="0" w:line="1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Payment of Pre-Closing Liabilities; Incorrect Payments</w:t>
      </w:r>
      <w:r>
        <w:rPr>
          <w:rFonts w:ascii="Times New Roman" w:cs="Times New Roman" w:eastAsia="Times New Roman" w:hAnsi="Times New Roman"/>
          <w:sz w:val="18"/>
          <w:szCs w:val="18"/>
          <w:color w:val="auto"/>
        </w:rPr>
        <w:t>. Notwithstanding anything to the contrary herein, the Parties agree that (i) Purchaser shall be solely responsible for satisfying any pre-Closing payables of the Acquired Companies that remain outstanding as of the Closing, and (ii) while Purchaser shall be entitled to receive funds payable into the Acquired Companies’ bank accounts with respect to receivables that were included as Current Assets in the calculation of Closing Working Capital, to the extent that either Acquired Company receives post-Closing payments that were not included as Current Assets in the calculation of Closing Working Capital and that ought to have been made to Seller or its Affiliates, then, to the extent the amount of such payments exceeds $1,000.00, the Purchaser shall cause the Acquired Companies to pay the amount of such excess to Seller or its designee.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5" w:lineRule="auto"/>
        <w:tabs>
          <w:tab w:leader="none" w:pos="11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personal property, real property and ad valorem (and other similar) Taxes of the Acquired Companies for any Tax period beginning on or before the Closing Date and ending after the Closing Date (a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that is attributable to the portion of such Tax period ending on and including the Closing Date shall be deemed to be the amount of such Taxes for the entire Straddle Period multiplied by a fraction, the numerator of which is the number of days in the Tax period ending on the Closing Date and the denominator of which is the number of days in such Straddle Period. The amount of any other Taxes of the Acquired Companies that relate to the pre-Closing portion of a Straddle Period will be determined based on an interim closing of the books as of the end of the Closing Date; provided, however, that any item determined on an annual or periodic basis (such as deductions for depreciation or real estate Taxes) shall be apportioned on a daily basis.</w:t>
      </w:r>
    </w:p>
    <w:p>
      <w:pPr>
        <w:spacing w:after="0" w:line="188" w:lineRule="exact"/>
        <w:rPr>
          <w:rFonts w:ascii="Times New Roman" w:cs="Times New Roman" w:eastAsia="Times New Roman" w:hAnsi="Times New Roman"/>
          <w:sz w:val="18"/>
          <w:szCs w:val="18"/>
          <w:color w:val="auto"/>
        </w:rPr>
      </w:pPr>
    </w:p>
    <w:p>
      <w:pPr>
        <w:ind w:right="60" w:firstLine="644"/>
        <w:spacing w:after="0" w:line="272" w:lineRule="auto"/>
        <w:tabs>
          <w:tab w:leader="none" w:pos="117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prepare and timely file, or cause to be prepared and timely filed, all Tax Returns of any combined, consolidated, affiliated or unitary group that includes an Acquired Company and for which Seller or any of its Affiliates (other than the Company) is the common parent (a “</w:t>
      </w:r>
      <w:r>
        <w:rPr>
          <w:rFonts w:ascii="Times New Roman" w:cs="Times New Roman" w:eastAsia="Times New Roman" w:hAnsi="Times New Roman"/>
          <w:sz w:val="17"/>
          <w:szCs w:val="17"/>
          <w:b w:val="1"/>
          <w:bCs w:val="1"/>
          <w:color w:val="auto"/>
        </w:rPr>
        <w:t>Seller Consolidated Group</w:t>
      </w:r>
      <w:r>
        <w:rPr>
          <w:rFonts w:ascii="Times New Roman" w:cs="Times New Roman" w:eastAsia="Times New Roman" w:hAnsi="Times New Roman"/>
          <w:sz w:val="17"/>
          <w:szCs w:val="17"/>
          <w:color w:val="auto"/>
        </w:rPr>
        <w:t>” and any such Tax Return, a “</w:t>
      </w:r>
      <w:r>
        <w:rPr>
          <w:rFonts w:ascii="Times New Roman" w:cs="Times New Roman" w:eastAsia="Times New Roman" w:hAnsi="Times New Roman"/>
          <w:sz w:val="17"/>
          <w:szCs w:val="17"/>
          <w:b w:val="1"/>
          <w:bCs w:val="1"/>
          <w:color w:val="auto"/>
        </w:rPr>
        <w:t>Seller Consolidated Return</w:t>
      </w:r>
      <w:r>
        <w:rPr>
          <w:rFonts w:ascii="Times New Roman" w:cs="Times New Roman" w:eastAsia="Times New Roman" w:hAnsi="Times New Roman"/>
          <w:sz w:val="17"/>
          <w:szCs w:val="17"/>
          <w:color w:val="auto"/>
        </w:rPr>
        <w:t>”), and all Flow-Through Tax Returns of the Acquired Companies required to be filed for taxable periods ending on or prior to the Closing Date that become due after the Closing Date (each an “</w:t>
      </w:r>
      <w:r>
        <w:rPr>
          <w:rFonts w:ascii="Times New Roman" w:cs="Times New Roman" w:eastAsia="Times New Roman" w:hAnsi="Times New Roman"/>
          <w:sz w:val="17"/>
          <w:szCs w:val="17"/>
          <w:b w:val="1"/>
          <w:bCs w:val="1"/>
          <w:color w:val="auto"/>
        </w:rPr>
        <w:t>Seller Tax Return</w:t>
      </w:r>
      <w:r>
        <w:rPr>
          <w:rFonts w:ascii="Times New Roman" w:cs="Times New Roman" w:eastAsia="Times New Roman" w:hAnsi="Times New Roman"/>
          <w:sz w:val="17"/>
          <w:szCs w:val="17"/>
          <w:color w:val="auto"/>
        </w:rPr>
        <w:t>”). All Seller Tax Returns shall be prepared in accordance with the past practices of the Acquired Companies except as otherwise required by Law. Except as provided above for Seller Tax Returns, Purchaser shall prepare and timely file, or cause to be prepared and timely filed all Tax Returns required to be filed by the Acquired Companies after the Closing Date with respect to a Pre-Closing Tax Period. Any such Tax Return shall be prepared in accordance with the past practices of the Acquired Companies except as otherwise required by Law.</w:t>
      </w:r>
    </w:p>
    <w:p>
      <w:pPr>
        <w:spacing w:after="0" w:line="171" w:lineRule="exact"/>
        <w:rPr>
          <w:rFonts w:ascii="Times New Roman" w:cs="Times New Roman" w:eastAsia="Times New Roman" w:hAnsi="Times New Roman"/>
          <w:sz w:val="17"/>
          <w:szCs w:val="17"/>
          <w:color w:val="auto"/>
        </w:rPr>
      </w:pPr>
    </w:p>
    <w:p>
      <w:pPr>
        <w:ind w:right="80" w:firstLine="644"/>
        <w:spacing w:after="0" w:line="256" w:lineRule="auto"/>
        <w:tabs>
          <w:tab w:leader="none" w:pos="11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all Tax Returns with respect to any transfer, documentary, sales, use, stamp, registration, value added and other such Taxes and fees (including any penalties and interest) incurred in connection with, or as a result of, the Transaction (including any real property transfer Tax and any other similar Tax)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or as a consequence of the Transaction shall be timely filed by the Party hereto responsible for such filing under applicable Law, and all such Transfer Taxes (and all reasonable out-of-pocket costs for preparation of such Tax Returns) shall be borne by the Seller. Purchaser and Seller shall reasonably cooperate to reduce or eliminate any Transfer Taxes to the extent permitted by applicable Law.</w:t>
      </w:r>
    </w:p>
    <w:p>
      <w:pPr>
        <w:spacing w:after="0" w:line="187" w:lineRule="exact"/>
        <w:rPr>
          <w:rFonts w:ascii="Times New Roman" w:cs="Times New Roman" w:eastAsia="Times New Roman" w:hAnsi="Times New Roman"/>
          <w:sz w:val="18"/>
          <w:szCs w:val="18"/>
          <w:color w:val="auto"/>
        </w:rPr>
      </w:pPr>
    </w:p>
    <w:p>
      <w:pPr>
        <w:ind w:right="600" w:firstLine="644"/>
        <w:spacing w:after="0" w:line="282" w:lineRule="auto"/>
        <w:tabs>
          <w:tab w:leader="none" w:pos="11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utilize, or cause their respective Affiliates to utilize, the “standard procedure” set forth in Section 4 of Revenue Procedure 2004-53, 2004-2 C.B. 320 for wage reporting with respect to any transferring Business employees.</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80" w:name="page81"/>
    <w:bookmarkEnd w:id="80"/>
    <w:p>
      <w:pPr>
        <w:ind w:firstLine="644"/>
        <w:spacing w:after="0" w:line="253" w:lineRule="auto"/>
        <w:tabs>
          <w:tab w:leader="none" w:pos="11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promptly notify Seller in writing upon receipt by Purchaser or any of its Affiliates of notice of any pending or threatened Tax audits, examinations or assessments which, if successful, is reasonably expected to result in an indemnity payment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Notwithstanding anything to the contrary in this Agreement, Seller shall have the right to control any Tax Claim relating to (A) any Tax Return of Seller or any of its Affiliates (other than solely the Acquired Companies), (B) any Flow-Through Tax Return (in respect of periods ending on or prior to the Closing Date), and (C) any Tax Return of any Seller Consolidated Group (including any Seller Consolidated Return). If Seller chooses not to control such Tax Claim, Purchaser may defend the same in such manner as it may deem appropriate. The Party hereto controlling a Tax Claim shall in any event keep the other Party hereto informed of the progress of such Tax Claim, shall promptly provide such other Party with copies of all material documents (including material notices, protests, briefs, written rulings and determinations and correspondence) pertaining to such Tax Claim and shall not settle such Tax Claim without such other Party’s advance written consent,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ind w:right="200" w:firstLine="644"/>
        <w:spacing w:after="0" w:line="258" w:lineRule="auto"/>
        <w:tabs>
          <w:tab w:leader="none" w:pos="11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transactions contemplated by this Agreement shall be treated for all U.S. federal income tax purposes and, as may be applicable, for state and local income tax purposes, as a sale of all the assets of the Acquired Companies in the case of Seller and as a purchase of all the assets of the Acquired Companies in the case of Purchaser. The Parties shall file, and cause their Affiliates to file, all Tax Returns in a manner consistent with such treatment and will take no position inconsistent with such characterization for any income tax purposes.</w:t>
      </w:r>
    </w:p>
    <w:p>
      <w:pPr>
        <w:spacing w:after="0" w:line="183" w:lineRule="exact"/>
        <w:rPr>
          <w:rFonts w:ascii="Times New Roman" w:cs="Times New Roman" w:eastAsia="Times New Roman" w:hAnsi="Times New Roman"/>
          <w:sz w:val="18"/>
          <w:szCs w:val="18"/>
          <w:color w:val="auto"/>
        </w:rPr>
      </w:pPr>
    </w:p>
    <w:p>
      <w:pPr>
        <w:ind w:right="40" w:firstLine="644"/>
        <w:spacing w:after="0" w:line="289" w:lineRule="auto"/>
        <w:tabs>
          <w:tab w:leader="none" w:pos="116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Purchaser and the Acquired Companies shall not, and shall cause their Affiliates not to, without the prior written consent of Seller (which consent shall not be unreasonably withheld, conditioned or delayed), (i) make or change any Tax election that has a retroactive effect to a Pre-Closing Tax Period, or (ii) amend, refile or otherwise modify any Tax Return relating to a Pre-Closing Tax Period.</w:t>
      </w:r>
    </w:p>
    <w:p>
      <w:pPr>
        <w:spacing w:after="0" w:line="157" w:lineRule="exact"/>
        <w:rPr>
          <w:rFonts w:ascii="Times New Roman" w:cs="Times New Roman" w:eastAsia="Times New Roman" w:hAnsi="Times New Roman"/>
          <w:sz w:val="17"/>
          <w:szCs w:val="17"/>
          <w:color w:val="auto"/>
        </w:rPr>
      </w:pPr>
    </w:p>
    <w:p>
      <w:pPr>
        <w:ind w:right="20" w:firstLine="644"/>
        <w:spacing w:after="0" w:line="256" w:lineRule="auto"/>
        <w:tabs>
          <w:tab w:leader="none" w:pos="11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refund or credit or offset in lieu thereof (including any interest paid or credited by a taxing authority with respect thereto) of the Acquired Companies with respect to a Pre-Closing Tax Period or for which Seller would otherwise be responsible pursuant to this Agreement (a “</w:t>
      </w:r>
      <w:r>
        <w:rPr>
          <w:rFonts w:ascii="Times New Roman" w:cs="Times New Roman" w:eastAsia="Times New Roman" w:hAnsi="Times New Roman"/>
          <w:sz w:val="18"/>
          <w:szCs w:val="18"/>
          <w:b w:val="1"/>
          <w:bCs w:val="1"/>
          <w:color w:val="auto"/>
        </w:rPr>
        <w:t>Tax Refund</w:t>
      </w:r>
      <w:r>
        <w:rPr>
          <w:rFonts w:ascii="Times New Roman" w:cs="Times New Roman" w:eastAsia="Times New Roman" w:hAnsi="Times New Roman"/>
          <w:sz w:val="18"/>
          <w:szCs w:val="18"/>
          <w:color w:val="auto"/>
        </w:rPr>
        <w:t>”) shall be for the sole benefit of Seller, provided that Seller shall not be entitled to any refund of Taxes to the extent such refund is attributable to the carryback of losses solely arising in or attributable to any period that is not a Pre-Closing Tax Period. To the extent that Purchaser or any of its Affiliates (including the Acquired Companies after the Closing) receives any Tax Refund, Purchaser shall promptly pay to Seller such Tax Refund after such receipt.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hanging="516"/>
        <w:spacing w:after="0"/>
        <w:tabs>
          <w:tab w:leader="none" w:pos="1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Call Option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480" w:right="20" w:hanging="323"/>
        <w:spacing w:after="0" w:line="255" w:lineRule="auto"/>
        <w:tabs>
          <w:tab w:leader="none" w:pos="14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grants to Seller an option to repurchase the Acquired Companies (such option, the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at a purchase price equal to (i) the Purchase Price plus an amount of simple interest on such Purchase Price equal to 10% per annum based on the number of days elapsed between the Closing and the date Seller delivers the Call Option Exercise Notice (defined below) and assuming a 365-day year if the Call Option Exercise Notice is delivered on or prior to the 24-month anniversary of the Closing or (ii) at a purchase price agreed upon by Purchaser and Seller or, if they cannot agree, the midway point of the valuation range determined by a third-party appraisal company jointly selected by the parties if the Call Option Exercise Notice is delivered after the 24-month anniversary of the Closing (the “</w:t>
      </w:r>
      <w:r>
        <w:rPr>
          <w:rFonts w:ascii="Times New Roman" w:cs="Times New Roman" w:eastAsia="Times New Roman" w:hAnsi="Times New Roman"/>
          <w:sz w:val="18"/>
          <w:szCs w:val="18"/>
          <w:b w:val="1"/>
          <w:bCs w:val="1"/>
          <w:color w:val="auto"/>
        </w:rPr>
        <w:t>Option Purchase Price</w:t>
      </w:r>
      <w:r>
        <w:rPr>
          <w:rFonts w:ascii="Times New Roman" w:cs="Times New Roman" w:eastAsia="Times New Roman" w:hAnsi="Times New Roman"/>
          <w:sz w:val="18"/>
          <w:szCs w:val="18"/>
          <w:color w:val="auto"/>
        </w:rPr>
        <w:t>”). The Option will expire on the five (5) year anniversary of the Closing unless duly exercised by the Seller prior to such date.</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81" w:name="page82"/>
    <w:bookmarkEnd w:id="81"/>
    <w:p>
      <w:pPr>
        <w:ind w:left="1020" w:right="100" w:hanging="323"/>
        <w:spacing w:after="0" w:line="255"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Call Option, the Seller must deliver a written notice to the Purchaser prior to the Five (5) year anniversary of the Closing referencing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stating its intention to exercise the Call Option (the “</w:t>
      </w:r>
      <w:r>
        <w:rPr>
          <w:rFonts w:ascii="Times New Roman" w:cs="Times New Roman" w:eastAsia="Times New Roman" w:hAnsi="Times New Roman"/>
          <w:sz w:val="18"/>
          <w:szCs w:val="18"/>
          <w:b w:val="1"/>
          <w:bCs w:val="1"/>
          <w:color w:val="auto"/>
        </w:rPr>
        <w:t>Call Option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the date that is five (5) business days following the date of the Call Option Exercise Notice or such date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mutually agreed to by the Seller and the Purchaser. The aggregate Option Purchase Price (as determined in accordance with </w:t>
      </w:r>
      <w:r>
        <w:rPr>
          <w:rFonts w:ascii="Times New Roman" w:cs="Times New Roman" w:eastAsia="Times New Roman" w:hAnsi="Times New Roman"/>
          <w:sz w:val="18"/>
          <w:szCs w:val="18"/>
          <w:u w:val="single" w:color="auto"/>
          <w:color w:val="auto"/>
        </w:rPr>
        <w:t>Section 6.7(a)(1)</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Acquired Companies.</w:t>
      </w:r>
    </w:p>
    <w:p>
      <w:pPr>
        <w:spacing w:after="0" w:line="188"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Put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20" w:hanging="323"/>
        <w:spacing w:after="0" w:line="255"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grants to Purchaser an option to require the Seller to repurchase the Acquired Companies (such option, the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at a purchase price equal to the Option Purchase Price (treating a Put Option Exercise Notice as a Call Option Exercise Notice for purposes of calculating the Option Purchase Price), if either (i) the Seller Affiliate Liens are not fully released from the Acquired Companies and their assets within 90 days following Closing (or such longer timeframe if otherwise extended upon mutual agreement of the Parties), or (ii) the Seller or its affiliates, as applicable, terminate the Incredibles License Agreement at any time pursuant to Section 3.2.3 thereof (each, a “</w:t>
      </w:r>
      <w:r>
        <w:rPr>
          <w:rFonts w:ascii="Times New Roman" w:cs="Times New Roman" w:eastAsia="Times New Roman" w:hAnsi="Times New Roman"/>
          <w:sz w:val="18"/>
          <w:szCs w:val="18"/>
          <w:b w:val="1"/>
          <w:bCs w:val="1"/>
          <w:color w:val="auto"/>
        </w:rPr>
        <w:t>Put Option Trigger Event</w:t>
      </w:r>
      <w:r>
        <w:rPr>
          <w:rFonts w:ascii="Times New Roman" w:cs="Times New Roman" w:eastAsia="Times New Roman" w:hAnsi="Times New Roman"/>
          <w:sz w:val="18"/>
          <w:szCs w:val="18"/>
          <w:color w:val="auto"/>
        </w:rPr>
        <w:t>”). The Put Option will expire on the five (5) year anniversary of the Closing unless duly exercised by the Seller prior to such date.</w:t>
      </w:r>
    </w:p>
    <w:p>
      <w:pPr>
        <w:spacing w:after="0" w:line="188" w:lineRule="exact"/>
        <w:rPr>
          <w:rFonts w:ascii="Times New Roman" w:cs="Times New Roman" w:eastAsia="Times New Roman" w:hAnsi="Times New Roman"/>
          <w:sz w:val="18"/>
          <w:szCs w:val="18"/>
          <w:color w:val="auto"/>
        </w:rPr>
      </w:pPr>
    </w:p>
    <w:p>
      <w:pPr>
        <w:ind w:left="1020" w:hanging="323"/>
        <w:spacing w:after="0" w:line="255" w:lineRule="auto"/>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Put Option, the Purchaser must deliver a written notice to the Seller within ninety (90) days of a Put Option Trigger Event, which notice shall reference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state the Purchaser’s intention to exercise the Put Option (the “</w:t>
      </w:r>
      <w:r>
        <w:rPr>
          <w:rFonts w:ascii="Times New Roman" w:cs="Times New Roman" w:eastAsia="Times New Roman" w:hAnsi="Times New Roman"/>
          <w:sz w:val="18"/>
          <w:szCs w:val="18"/>
          <w:b w:val="1"/>
          <w:bCs w:val="1"/>
          <w:color w:val="auto"/>
        </w:rPr>
        <w:t>Put Option Exercise Notice</w:t>
      </w:r>
      <w:r>
        <w:rPr>
          <w:rFonts w:ascii="Times New Roman" w:cs="Times New Roman" w:eastAsia="Times New Roman" w:hAnsi="Times New Roman"/>
          <w:sz w:val="18"/>
          <w:szCs w:val="18"/>
          <w:color w:val="auto"/>
        </w:rPr>
        <w:t xml:space="preserve">”) on the date that is five (5) business days following the date of the Put Option Exercise Notice or such date as may be mutually agreed to by the Seller and the Purchaser. The aggregate Option Purchase Price (as determined in accordance with </w:t>
      </w:r>
      <w:r>
        <w:rPr>
          <w:rFonts w:ascii="Times New Roman" w:cs="Times New Roman" w:eastAsia="Times New Roman" w:hAnsi="Times New Roman"/>
          <w:sz w:val="18"/>
          <w:szCs w:val="18"/>
          <w:u w:val="single" w:color="auto"/>
          <w:color w:val="auto"/>
        </w:rPr>
        <w:t>Section 6.7(a)(i)</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Acquired Companies.</w:t>
      </w:r>
    </w:p>
    <w:p>
      <w:pPr>
        <w:spacing w:after="0" w:line="200" w:lineRule="exact"/>
        <w:rPr>
          <w:sz w:val="20"/>
          <w:szCs w:val="20"/>
          <w:color w:val="auto"/>
        </w:rPr>
      </w:pPr>
    </w:p>
    <w:p>
      <w:pPr>
        <w:spacing w:after="0" w:line="2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82" w:name="page83"/>
    <w:bookmarkEnd w:id="82"/>
    <w:p>
      <w:pPr>
        <w:ind w:left="1160" w:hanging="516"/>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80" w:hanging="323"/>
        <w:spacing w:after="0" w:line="253" w:lineRule="auto"/>
        <w:tabs>
          <w:tab w:leader="none" w:pos="14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either of the Put Option or the Call Option is exercised, the Purchaser shall take all actions as may be reasonably necessary to consummate the repurchase by the Seller of the Acquired Companies and the assets held by the Acquired Companies at the Closing free and clear of all liens, claims, options, charges, security interests, pledges, mortgages or other encumbrances, including, without limitation, entering into agreements and delivering certificates and instruments and consents as may be necessary or appropriate (which definitive documents shall contain representations and warranties, purchase price adjustment provisions, and indemnification provisions that are, in each case, substantially identical to those contained herein). To the extent any assets of the Acquired Companies at the time of Closing are transferred to an affiliate of the Purchaser following Closing, then, in connection with the exercise of any Put Option or Call Option, the Purchaser shall take all actions as may be reasonably necessary to transfer such assets to the Acquired Companies prior the consummation of the repurchase.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Restrictions on Transfer; Right of First Offer; Right of First Refusal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hanging="516"/>
        <w:spacing w:after="0"/>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80" w:hanging="323"/>
        <w:spacing w:after="0" w:line="254" w:lineRule="auto"/>
        <w:tabs>
          <w:tab w:leader="none" w:pos="14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for a period beginning at the Closing and ending on the five (5) year anniversary thereof, without the prior written consent of Seller, neither the Purchaser nor its Affiliates shall, directly or indirectly, sell, pledge, sublicense, transfer, abandon, or otherwise dispose of any of the membership interests or material assets of the Acquired Companies (such prohibited transfers being referred to collectively as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xml:space="preserve">”).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designed solely to prevent Transfer of the membership interests or material assets of the Acquired Companies to a competitor or to a less creditworthy, or otherwise less qualified, party in the event such party is not the only potential purchaser of the membership interests or material assets of the Acquired Companies.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not intended to constrain the Purchaser from recognizing its economic interests in the Acquired Companies.</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83" w:name="page84"/>
    <w:bookmarkEnd w:id="83"/>
    <w:p>
      <w:pPr>
        <w:ind w:left="700" w:hanging="516"/>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020" w:right="60" w:hanging="323"/>
        <w:spacing w:after="0" w:line="268"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five (5) year anniversary of the Closing (the “</w:t>
      </w:r>
      <w:r>
        <w:rPr>
          <w:rFonts w:ascii="Times New Roman" w:cs="Times New Roman" w:eastAsia="Times New Roman" w:hAnsi="Times New Roman"/>
          <w:sz w:val="18"/>
          <w:szCs w:val="18"/>
          <w:b w:val="1"/>
          <w:bCs w:val="1"/>
          <w:color w:val="auto"/>
        </w:rPr>
        <w:t>ROFO Period</w:t>
      </w:r>
      <w:r>
        <w:rPr>
          <w:rFonts w:ascii="Times New Roman" w:cs="Times New Roman" w:eastAsia="Times New Roman" w:hAnsi="Times New Roman"/>
          <w:sz w:val="18"/>
          <w:szCs w:val="18"/>
          <w:color w:val="auto"/>
        </w:rPr>
        <w:t>”), the Purchaser shall not solicit offers to enter into any agreement or consummate any transaction relating to a Transfer with any Person that is not the Seller or its Affiliates (a “</w:t>
      </w:r>
      <w:r>
        <w:rPr>
          <w:rFonts w:ascii="Times New Roman" w:cs="Times New Roman" w:eastAsia="Times New Roman" w:hAnsi="Times New Roman"/>
          <w:sz w:val="18"/>
          <w:szCs w:val="18"/>
          <w:b w:val="1"/>
          <w:bCs w:val="1"/>
          <w:color w:val="auto"/>
        </w:rPr>
        <w:t>Third Party Transaction</w:t>
      </w:r>
      <w:r>
        <w:rPr>
          <w:rFonts w:ascii="Times New Roman" w:cs="Times New Roman" w:eastAsia="Times New Roman" w:hAnsi="Times New Roman"/>
          <w:sz w:val="18"/>
          <w:szCs w:val="18"/>
          <w:color w:val="auto"/>
        </w:rPr>
        <w:t xml:space="preserve">”) except in compliance with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020" w:hanging="323"/>
        <w:spacing w:after="0" w:line="277" w:lineRule="auto"/>
        <w:tabs>
          <w:tab w:leader="none" w:pos="102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during the ROFO Period, the Purchaser decides to pursue a Third Party Transaction, the Purchaser shall, prior to soliciting any offers with respect to a Third Party Transaction, deliver to the Seller a written offer (the “</w:t>
      </w:r>
      <w:r>
        <w:rPr>
          <w:rFonts w:ascii="Times New Roman" w:cs="Times New Roman" w:eastAsia="Times New Roman" w:hAnsi="Times New Roman"/>
          <w:sz w:val="17"/>
          <w:szCs w:val="17"/>
          <w:b w:val="1"/>
          <w:bCs w:val="1"/>
          <w:color w:val="auto"/>
        </w:rPr>
        <w:t>ROFO Offer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outlining the material financial and other terms and conditions under which the Purchaser would like to effect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Transaction (the “</w:t>
      </w:r>
      <w:r>
        <w:rPr>
          <w:rFonts w:ascii="Times New Roman" w:cs="Times New Roman" w:eastAsia="Times New Roman" w:hAnsi="Times New Roman"/>
          <w:sz w:val="17"/>
          <w:szCs w:val="17"/>
          <w:b w:val="1"/>
          <w:bCs w:val="1"/>
          <w:color w:val="auto"/>
        </w:rPr>
        <w:t>ROFO Material Terms</w:t>
      </w:r>
      <w:r>
        <w:rPr>
          <w:rFonts w:ascii="Times New Roman" w:cs="Times New Roman" w:eastAsia="Times New Roman" w:hAnsi="Times New Roman"/>
          <w:sz w:val="17"/>
          <w:szCs w:val="17"/>
          <w:color w:val="auto"/>
        </w:rPr>
        <w:t>”). Each ROFO Offer Notice constitutes an offer made by the Purchaser to enter into an agreement with the Seller or its Affiliates subject to the ROFO Material Terms (the “</w:t>
      </w:r>
      <w:r>
        <w:rPr>
          <w:rFonts w:ascii="Times New Roman" w:cs="Times New Roman" w:eastAsia="Times New Roman" w:hAnsi="Times New Roman"/>
          <w:sz w:val="17"/>
          <w:szCs w:val="17"/>
          <w:b w:val="1"/>
          <w:bCs w:val="1"/>
          <w:color w:val="auto"/>
        </w:rPr>
        <w:t>ROFO Offer</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1020" w:right="440" w:hanging="32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ROFO Offer Notice (the “</w:t>
      </w:r>
      <w:r>
        <w:rPr>
          <w:rFonts w:ascii="Times New Roman" w:cs="Times New Roman" w:eastAsia="Times New Roman" w:hAnsi="Times New Roman"/>
          <w:sz w:val="18"/>
          <w:szCs w:val="18"/>
          <w:b w:val="1"/>
          <w:bCs w:val="1"/>
          <w:color w:val="auto"/>
        </w:rPr>
        <w:t>ROFO Exercise Period</w:t>
      </w:r>
      <w:r>
        <w:rPr>
          <w:rFonts w:ascii="Times New Roman" w:cs="Times New Roman" w:eastAsia="Times New Roman" w:hAnsi="Times New Roman"/>
          <w:sz w:val="18"/>
          <w:szCs w:val="18"/>
          <w:color w:val="auto"/>
        </w:rPr>
        <w:t>”), the Seller may accept the ROFO Offer by delivery to the Purchaser of a written notice of acceptance executed by the Seller.</w:t>
      </w:r>
    </w:p>
    <w:p>
      <w:pPr>
        <w:spacing w:after="0" w:line="175" w:lineRule="exact"/>
        <w:rPr>
          <w:rFonts w:ascii="Times New Roman" w:cs="Times New Roman" w:eastAsia="Times New Roman" w:hAnsi="Times New Roman"/>
          <w:sz w:val="18"/>
          <w:szCs w:val="18"/>
          <w:color w:val="auto"/>
        </w:rPr>
      </w:pPr>
    </w:p>
    <w:p>
      <w:pPr>
        <w:ind w:left="1020" w:right="40" w:hanging="323"/>
        <w:spacing w:after="0" w:line="255"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ROFO Exercise Period, the Seller has not accepted the ROFO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at any time following the expiration of the ROFO Exercise Period, the Purchaser may solicit offers with respect to a Third Party Transaction (subject to the Purchaser’s compliance with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If a Third Party Transaction is not consummated within 180 days of the ROFO Offer Notice,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will again apply and the Purchaser shall not solicit offers with respect to a Third Party Transaction during the ROFO Period without affording the Seller the right of first offer on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020" w:right="40" w:hanging="323"/>
        <w:spacing w:after="0" w:line="268"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five (5) year anniversary of the Closing (the “</w:t>
      </w:r>
      <w:r>
        <w:rPr>
          <w:rFonts w:ascii="Times New Roman" w:cs="Times New Roman" w:eastAsia="Times New Roman" w:hAnsi="Times New Roman"/>
          <w:sz w:val="18"/>
          <w:szCs w:val="18"/>
          <w:b w:val="1"/>
          <w:bCs w:val="1"/>
          <w:color w:val="auto"/>
        </w:rPr>
        <w:t>ROFR Period</w:t>
      </w:r>
      <w:r>
        <w:rPr>
          <w:rFonts w:ascii="Times New Roman" w:cs="Times New Roman" w:eastAsia="Times New Roman" w:hAnsi="Times New Roman"/>
          <w:sz w:val="18"/>
          <w:szCs w:val="18"/>
          <w:color w:val="auto"/>
        </w:rPr>
        <w:t xml:space="preserve">”), the Purchaser shall not enter into any agreement to, or consummate, any Third Party Transaction except in compliance with the terms and conditions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6.8(c)</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4" w:name="page85"/>
    <w:bookmarkEnd w:id="84"/>
    <w:p>
      <w:pPr>
        <w:ind w:left="1020" w:hanging="323"/>
        <w:spacing w:after="0" w:line="274" w:lineRule="auto"/>
        <w:tabs>
          <w:tab w:leader="none" w:pos="10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during the ROFR Period, the Purchaser receives a bona fide written offer for a Third Party Transaction that the Purchaser desires to accept (each, a “</w:t>
      </w:r>
      <w:r>
        <w:rPr>
          <w:rFonts w:ascii="Times New Roman" w:cs="Times New Roman" w:eastAsia="Times New Roman" w:hAnsi="Times New Roman"/>
          <w:sz w:val="17"/>
          <w:szCs w:val="17"/>
          <w:b w:val="1"/>
          <w:bCs w:val="1"/>
          <w:color w:val="auto"/>
        </w:rPr>
        <w:t>Third Party Offer</w:t>
      </w:r>
      <w:r>
        <w:rPr>
          <w:rFonts w:ascii="Times New Roman" w:cs="Times New Roman" w:eastAsia="Times New Roman" w:hAnsi="Times New Roman"/>
          <w:sz w:val="17"/>
          <w:szCs w:val="17"/>
          <w:color w:val="auto"/>
        </w:rPr>
        <w:t>”), the Purchaser shall, within five (5) business days following the receipt of the Third Party Offer, notify the Seller in writing (the “</w:t>
      </w:r>
      <w:r>
        <w:rPr>
          <w:rFonts w:ascii="Times New Roman" w:cs="Times New Roman" w:eastAsia="Times New Roman" w:hAnsi="Times New Roman"/>
          <w:sz w:val="17"/>
          <w:szCs w:val="17"/>
          <w:b w:val="1"/>
          <w:bCs w:val="1"/>
          <w:color w:val="auto"/>
        </w:rPr>
        <w:t>ROFR Offer Notice</w:t>
      </w:r>
      <w:r>
        <w:rPr>
          <w:rFonts w:ascii="Times New Roman" w:cs="Times New Roman" w:eastAsia="Times New Roman" w:hAnsi="Times New Roman"/>
          <w:sz w:val="17"/>
          <w:szCs w:val="17"/>
          <w:color w:val="auto"/>
        </w:rPr>
        <w:t>”) of the identity of all proposed parties to such Third Party Transaction and the material financial and other terms and conditions of such Third Party Offer (the “</w:t>
      </w:r>
      <w:r>
        <w:rPr>
          <w:rFonts w:ascii="Times New Roman" w:cs="Times New Roman" w:eastAsia="Times New Roman" w:hAnsi="Times New Roman"/>
          <w:sz w:val="17"/>
          <w:szCs w:val="17"/>
          <w:b w:val="1"/>
          <w:bCs w:val="1"/>
          <w:color w:val="auto"/>
        </w:rPr>
        <w:t>ROFR Material Terms</w:t>
      </w:r>
      <w:r>
        <w:rPr>
          <w:rFonts w:ascii="Times New Roman" w:cs="Times New Roman" w:eastAsia="Times New Roman" w:hAnsi="Times New Roman"/>
          <w:sz w:val="17"/>
          <w:szCs w:val="17"/>
          <w:color w:val="auto"/>
        </w:rPr>
        <w:t>”). Each ROFR Offer Notice constitutes an offer made by the Purchaser to enter into an agreement with the Seller or its Affiliates on the same ROFR Material Terms of such Third Party Offer (the “</w:t>
      </w:r>
      <w:r>
        <w:rPr>
          <w:rFonts w:ascii="Times New Roman" w:cs="Times New Roman" w:eastAsia="Times New Roman" w:hAnsi="Times New Roman"/>
          <w:sz w:val="17"/>
          <w:szCs w:val="17"/>
          <w:b w:val="1"/>
          <w:bCs w:val="1"/>
          <w:color w:val="auto"/>
        </w:rPr>
        <w:t>ROFR Offer</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1020" w:right="400" w:hanging="323"/>
        <w:spacing w:after="0" w:line="266"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ROFR Offer Notice (the “</w:t>
      </w:r>
      <w:r>
        <w:rPr>
          <w:rFonts w:ascii="Times New Roman" w:cs="Times New Roman" w:eastAsia="Times New Roman" w:hAnsi="Times New Roman"/>
          <w:sz w:val="18"/>
          <w:szCs w:val="18"/>
          <w:b w:val="1"/>
          <w:bCs w:val="1"/>
          <w:color w:val="auto"/>
        </w:rPr>
        <w:t>ROFR Exercise Period</w:t>
      </w:r>
      <w:r>
        <w:rPr>
          <w:rFonts w:ascii="Times New Roman" w:cs="Times New Roman" w:eastAsia="Times New Roman" w:hAnsi="Times New Roman"/>
          <w:sz w:val="18"/>
          <w:szCs w:val="18"/>
          <w:color w:val="auto"/>
        </w:rPr>
        <w:t>”), the Seller may accept the ROFR Offer by delivery to the Purchaser of a written notice of acceptance executed by the Seller.</w:t>
      </w:r>
    </w:p>
    <w:p>
      <w:pPr>
        <w:spacing w:after="0" w:line="175" w:lineRule="exact"/>
        <w:rPr>
          <w:rFonts w:ascii="Times New Roman" w:cs="Times New Roman" w:eastAsia="Times New Roman" w:hAnsi="Times New Roman"/>
          <w:sz w:val="18"/>
          <w:szCs w:val="18"/>
          <w:color w:val="auto"/>
        </w:rPr>
      </w:pPr>
    </w:p>
    <w:p>
      <w:pPr>
        <w:ind w:left="1020" w:right="20" w:hanging="323"/>
        <w:spacing w:after="0" w:line="254"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ROFR Exercise Period, the Seller has not accepted the ROFR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at any time following the expiration of the ROFR Exercise Period, the Purchaser may consummate the Third Party Transaction with the counterparty identified in the applicable ROFR Offer Notice on ROFR Material Terms that are the same or more favorable to the Purchaser as the Material Terms set forth in the ROFR Offer Notice. If such Third Party Transaction is not consummated within 180 days of the Offer Notice,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will again apply and the Purchaser shall not enter into any Third Party Transaction during the ROFR Period without affording the Seller the right of first refusal on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020" w:right="240" w:hanging="32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apply to each Third Party Offer received by the Purchaser during the ROFR Period.</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hereby agrees as follows: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Parties acknowledge that, in light of Purchaser’s business interests in the Acquired Companies and their Business following the Closing and Seller’s interest in protecting information with respect to its and its Affiliates’ business (the “</w:t>
      </w:r>
      <w:r>
        <w:rPr>
          <w:rFonts w:ascii="Times New Roman" w:cs="Times New Roman" w:eastAsia="Times New Roman" w:hAnsi="Times New Roman"/>
          <w:sz w:val="18"/>
          <w:szCs w:val="18"/>
          <w:b w:val="1"/>
          <w:bCs w:val="1"/>
          <w:color w:val="auto"/>
        </w:rPr>
        <w:t>Retained Business</w:t>
      </w:r>
      <w:r>
        <w:rPr>
          <w:rFonts w:ascii="Times New Roman" w:cs="Times New Roman" w:eastAsia="Times New Roman" w:hAnsi="Times New Roman"/>
          <w:sz w:val="18"/>
          <w:szCs w:val="18"/>
          <w:color w:val="auto"/>
        </w:rPr>
        <w:t>”) that has or may be disclosed in connection with the negotiation of this Agreement or the consummation of the transactions contemplated hereby, confidential treatment shall be afforded with respect to confidential or proprietary information related to the Business and the Retained Business that is not generally known within the relevant trade group or by the public, including all documents, writings, memoranda, business plans, illustrations, designs, plans, processes, programs, inventions, reports, sources of supply, customer lists, supplier lists, trade secrets and all other valuable or unique information and techniques acquired, developed or used by the Acquired Companies related to the Business or by Seller or its Affiliates, as the case may be (hereinafter collectively termed “</w:t>
      </w:r>
      <w:r>
        <w:rPr>
          <w:rFonts w:ascii="Times New Roman" w:cs="Times New Roman" w:eastAsia="Times New Roman" w:hAnsi="Times New Roman"/>
          <w:sz w:val="18"/>
          <w:szCs w:val="18"/>
          <w:b w:val="1"/>
          <w:bCs w:val="1"/>
          <w:color w:val="auto"/>
        </w:rPr>
        <w:t>Protected Information</w:t>
      </w:r>
      <w:r>
        <w:rPr>
          <w:rFonts w:ascii="Times New Roman" w:cs="Times New Roman" w:eastAsia="Times New Roman" w:hAnsi="Times New Roman"/>
          <w:sz w:val="18"/>
          <w:szCs w:val="18"/>
          <w:color w:val="auto"/>
        </w:rPr>
        <w:t>”). Each Party expressly acknowledges and agrees that the other Party’s Protected Information constitutes trade secrets and/or confidential and proprietary business information to which it has had access in connection with the transactions contemplated hereby, and which, in the case of Protected information related to the Acquired Companies and the Business, will be acquired by Purchaser upon Closing. Protected Information shall exclude information that (i) becomes generally available or known to the public by any means except disclosure by a Party in violation of the restrictions set forth herein, (ii) becomes available to a Party from a third party and such disclosure does not violate an obligation of confidentiality owed to the other Party, and (iii) is independently developed by a Party without reference to the other Party’s Protected Information. Each Party agrees to maintain all of the other Party’s Protected Information in strict confidence and to refrain from making any disclosure of any such Protected Information to any other party for so long as the Protected Information is not generally available or known to the public. Each Party also agrees to take all reasonable measures necessary to keep the Protected Information from being (i) inadvertently disclosed to any third party, or (ii) misappropriated by a third party. Notwithstanding the foregoing, a Party may disclose the other Party’s Protected Information (i) to its legal, financial, and other professional advisors, provided that such advisors are bound by professional or contractual confidentiality restrictions to the extent reasonably necessary to ensure the confidential treatment of such Protected Information and (ii) to the extent that, upon advise of counsel, it is legally obligated to do so, provided that (to the extent legally permissible) such Party gives prior written notice of such obligation to the other Party and reasonably cooperates with any effort by the other Party to limit the scope of such disclosure (at the other Party’s cost). To the extent there is any conflict between the provisions of the License Agreement and this</w:t>
      </w:r>
    </w:p>
    <w:p>
      <w:pPr>
        <w:spacing w:after="0" w:line="8"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provisions of the License Agreement shall control. The restrictions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terminate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anniversary of the Closing Date.</w:t>
      </w:r>
    </w:p>
    <w:p>
      <w:pPr>
        <w:spacing w:after="0" w:line="200"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xml:space="preserve">. If, at the time of enforcement of any of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 court of competent jurisdiction determines that the restrictions stated therein are unreasonable under the circumstances then existing, the Parties agree that the maximum period, scope, or geographical area reasonable under the circumstances shall be substituted for the stated period, scope, or geographical area. The Parties further agree that such court shall be allowed to revise the restrictions contained therein to cover the maximum period, scope, or geographical area permitted by law.</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Seller agrees that if it shall commit or threaten to commit a breach of any of the covenants and agreements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then Purchaser shall have the right to seek and obtain all appropriate injunctive and other equitable remedies therefor, in addition to any other rights and remedies that may be available at Law, it being acknowledged and agreed that any such breach may cause irreparable injury to Purchaser and that money damages would not provide an adequate remedy therefor.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xml:space="preserve">. The respective representations and warranties of each of the Parties shall survive the Closing for a period of eighteen (18) months, provided that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shall survive indefinitely and the representations and warranties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shall survive the Closing for a period of three (3) years (collectively,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None of the covenants or other agreements contained in this Agreement shall survive the Closing Date other than those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w:t>
      </w:r>
    </w:p>
    <w:p>
      <w:pPr>
        <w:spacing w:after="0" w:line="1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Seller’s Indemnification</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 shall indemnify and hold harmless Purchaser and its Affiliates and their respective officers, directors, managers, members, stockholders, agents, successors and assigns from and against and in respect of any and all demands, claims, threatened claims, causes of action, administrative orders and notices, losses, costs, fines, Liabilities, penalties, damages (direct or indirect) and expenses (including, without limitation, reasonable legal, accounting and consultant fees and other expenses incurred in the investigation and defense of any actual or threatened claims or actions) (hereinafter collectively called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resulting from, in connection with or arising out of:</w:t>
      </w:r>
    </w:p>
    <w:p>
      <w:pPr>
        <w:spacing w:after="0" w:line="187" w:lineRule="exact"/>
        <w:rPr>
          <w:sz w:val="20"/>
          <w:szCs w:val="20"/>
          <w:color w:val="auto"/>
        </w:rPr>
      </w:pPr>
    </w:p>
    <w:p>
      <w:pPr>
        <w:ind w:left="1820" w:hanging="516"/>
        <w:spacing w:after="0"/>
        <w:tabs>
          <w:tab w:leader="none" w:pos="18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Seller in this Agreement;</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Seller of any of the covenants or agreements in this Agreement;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Pre-Closing Taxes; or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Acquired Companies outstanding as of the Closing.</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Purchaser’s Indemnification</w:t>
      </w:r>
      <w:r>
        <w:rPr>
          <w:rFonts w:ascii="Times New Roman" w:cs="Times New Roman" w:eastAsia="Times New Roman" w:hAnsi="Times New Roman"/>
          <w:sz w:val="18"/>
          <w:szCs w:val="18"/>
          <w:color w:val="auto"/>
        </w:rPr>
        <w:t>. Purchaser shall indemnify and hold harmless Seller and its Affiliates and their respective officers, directors, stockholders, agents, successors and assigns, from and against and in respect of any and all Losses resulting from, in connection with or arising out of:</w:t>
      </w:r>
    </w:p>
    <w:p>
      <w:pPr>
        <w:spacing w:after="0" w:line="176" w:lineRule="exact"/>
        <w:rPr>
          <w:sz w:val="20"/>
          <w:szCs w:val="20"/>
          <w:color w:val="auto"/>
        </w:rPr>
      </w:pPr>
    </w:p>
    <w:p>
      <w:pPr>
        <w:ind w:left="1820" w:hanging="516"/>
        <w:spacing w:after="0"/>
        <w:tabs>
          <w:tab w:leader="none" w:pos="1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Purchaser in this Agreement; or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Purchaser of any of the covenants or agreements in this Agreement.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7" w:name="page88"/>
    <w:bookmarkEnd w:id="87"/>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A Party or Parties against whom an indemnification claim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been asserted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(individually and collectively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shall have the right, at their own expense, assisted by counsel of their own choosing, to participate in the defense of any action or proceeding brought by a third party (including any Governmental Authority) which resulted in said Claim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if such right is exercised, the Party or Parties entitled to indemnification (individually and collectively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reasonably cooperate in the defense of such action or proceeding.</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Nature of Other Liabilities</w:t>
      </w:r>
      <w:r>
        <w:rPr>
          <w:rFonts w:ascii="Times New Roman" w:cs="Times New Roman" w:eastAsia="Times New Roman" w:hAnsi="Times New Roman"/>
          <w:sz w:val="18"/>
          <w:szCs w:val="18"/>
          <w:color w:val="auto"/>
        </w:rPr>
        <w:t>. In the event any Indemnified Party should have a Claim against any Indemnifying Party hereunder that does not involve a Third Party Claim, the Indemnified Party shall transmit to the Indemnifying Party a written notice (the “</w:t>
      </w:r>
      <w:r>
        <w:rPr>
          <w:rFonts w:ascii="Times New Roman" w:cs="Times New Roman" w:eastAsia="Times New Roman" w:hAnsi="Times New Roman"/>
          <w:sz w:val="18"/>
          <w:szCs w:val="18"/>
          <w:b w:val="1"/>
          <w:bCs w:val="1"/>
          <w:color w:val="auto"/>
        </w:rPr>
        <w:t>Indemnity Notice</w:t>
      </w:r>
      <w:r>
        <w:rPr>
          <w:rFonts w:ascii="Times New Roman" w:cs="Times New Roman" w:eastAsia="Times New Roman" w:hAnsi="Times New Roman"/>
          <w:sz w:val="18"/>
          <w:szCs w:val="18"/>
          <w:color w:val="auto"/>
        </w:rPr>
        <w:t>”) describing in reasonable detail the nature of the Claim, and the basis of the Indemnified Party’s request for indemnification under this Agreement. If the Indemnifying Party does not notify the Indemnified Party within thirty (30) days from its receipt of the Indemnity Notice that the Indemnifying Party disputes such Claim, the Claim specified by the Indemnified Party in the Indemnity Notice shall be deemed a Liability of the Indemnifying Party hereunder, with respect to which the Indemnified Party is entitled to prompt indemnification 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40" w:firstLine="644"/>
        <w:spacing w:after="0" w:line="277" w:lineRule="auto"/>
        <w:tabs>
          <w:tab w:leader="none" w:pos="182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this Agreement, except to the extent caused by a Party’s Fraud or intentional misconduct, the maximum aggregate liability of either Party with respect to breaches of representations or warranties made hereunder (other than the Fundamental Representations) shall not exceed $500,000.00, and neither Party shall be obligated to indemnify the other Party or its Affiliates with respect to Losses arising from breaches of such representations or warranties until such Losses, in the aggregate, exceed $37,500.00 (the “</w:t>
      </w:r>
      <w:r>
        <w:rPr>
          <w:rFonts w:ascii="Times New Roman" w:cs="Times New Roman" w:eastAsia="Times New Roman" w:hAnsi="Times New Roman"/>
          <w:sz w:val="17"/>
          <w:szCs w:val="17"/>
          <w:b w:val="1"/>
          <w:bCs w:val="1"/>
          <w:color w:val="auto"/>
        </w:rPr>
        <w:t>Deductible</w:t>
      </w:r>
      <w:r>
        <w:rPr>
          <w:rFonts w:ascii="Times New Roman" w:cs="Times New Roman" w:eastAsia="Times New Roman" w:hAnsi="Times New Roman"/>
          <w:sz w:val="17"/>
          <w:szCs w:val="17"/>
          <w:color w:val="auto"/>
        </w:rPr>
        <w:t>”), in which event the Indemnifying Party shall only be required to pay or be liable for Losses in excess of the Deductible.</w:t>
      </w:r>
    </w:p>
    <w:p>
      <w:pPr>
        <w:spacing w:after="0" w:line="167" w:lineRule="exact"/>
        <w:rPr>
          <w:rFonts w:ascii="Times New Roman" w:cs="Times New Roman" w:eastAsia="Times New Roman" w:hAnsi="Times New Roman"/>
          <w:sz w:val="17"/>
          <w:szCs w:val="17"/>
          <w:color w:val="auto"/>
        </w:rPr>
      </w:pPr>
    </w:p>
    <w:p>
      <w:pPr>
        <w:ind w:left="660" w:right="260" w:firstLine="644"/>
        <w:spacing w:after="0" w:line="282" w:lineRule="auto"/>
        <w:tabs>
          <w:tab w:leader="none" w:pos="18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maximum aggregate liability of either Party shall not exceed an amount equal to the Purchase Price paid at the Closing.</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82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limited to the amount of any liability or damage that remains after deducting therefrom any insurance proceeds and any indemnity, contribution or other similar payment received or reasonably expected to be received by the Indemnified Party (or the Acquired Companies) in respect of any such claim. The Indemnified Party shall use its commercially reasonable efforts to recover under insurance policies or indemnity, contribution or other similar agreements for any Losses prior to seeking indemnification under this Agreement.</w:t>
      </w:r>
    </w:p>
    <w:p>
      <w:pPr>
        <w:spacing w:after="0" w:line="183"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8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reduced by an amount equal to any Tax benefit realized as a result of such Loss by the Indemnified Party.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8" w:name="page89"/>
    <w:bookmarkEnd w:id="88"/>
    <w:p>
      <w:pPr>
        <w:jc w:val="both"/>
        <w:ind w:left="660" w:right="100" w:firstLine="644"/>
        <w:spacing w:after="0" w:line="266" w:lineRule="auto"/>
        <w:tabs>
          <w:tab w:leader="none" w:pos="182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5" w:lineRule="exact"/>
        <w:rPr>
          <w:rFonts w:ascii="Times New Roman" w:cs="Times New Roman" w:eastAsia="Times New Roman" w:hAnsi="Times New Roman"/>
          <w:sz w:val="18"/>
          <w:szCs w:val="18"/>
          <w:color w:val="auto"/>
        </w:rPr>
      </w:pPr>
    </w:p>
    <w:p>
      <w:pPr>
        <w:ind w:left="660" w:firstLine="644"/>
        <w:spacing w:after="0" w:line="266" w:lineRule="auto"/>
        <w:tabs>
          <w:tab w:leader="none" w:pos="18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66" w:lineRule="auto"/>
        <w:tabs>
          <w:tab w:leader="none" w:pos="18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Losses may be claimed hereunder to the extent that such Losses either (i) were included in the calculation of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(ii) had they been factored into calculating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would not have resulted in a reduction in the Purchase Price.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Effect of Investigation</w:t>
      </w:r>
      <w:r>
        <w:rPr>
          <w:rFonts w:ascii="Times New Roman" w:cs="Times New Roman" w:eastAsia="Times New Roman" w:hAnsi="Times New Roman"/>
          <w:sz w:val="18"/>
          <w:szCs w:val="18"/>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18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Section 8.8 </w:t>
      </w:r>
      <w:r>
        <w:rPr>
          <w:rFonts w:ascii="Times New Roman" w:cs="Times New Roman" w:eastAsia="Times New Roman" w:hAnsi="Times New Roman"/>
          <w:sz w:val="17"/>
          <w:szCs w:val="17"/>
          <w:u w:val="single" w:color="auto"/>
          <w:color w:val="auto"/>
        </w:rPr>
        <w:t>Exclusive Remedies</w:t>
      </w:r>
      <w:r>
        <w:rPr>
          <w:rFonts w:ascii="Times New Roman" w:cs="Times New Roman" w:eastAsia="Times New Roman" w:hAnsi="Times New Roman"/>
          <w:sz w:val="17"/>
          <w:szCs w:val="17"/>
          <w:color w:val="auto"/>
        </w:rPr>
        <w:t xml:space="preserve">. The Parties acknowledge and agree that from and after Closing their sole and exclusive remedy with respect to any and all claims (other than claims of Fraud against a Party hereto committing Fraud)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b w:val="1"/>
          <w:bCs w:val="1"/>
          <w:color w:val="auto"/>
        </w:rPr>
        <w:t>Error! Bookmark not defined.</w:t>
      </w:r>
      <w:r>
        <w:rPr>
          <w:rFonts w:ascii="Times New Roman" w:cs="Times New Roman" w:eastAsia="Times New Roman" w:hAnsi="Times New Roman"/>
          <w:sz w:val="17"/>
          <w:szCs w:val="17"/>
          <w:color w:val="auto"/>
        </w:rPr>
        <w:t xml:space="preserve">. In furtherance of the foregoing,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Successors and Assigns and No Third-Party Beneficiaries</w:t>
      </w:r>
      <w:r>
        <w:rPr>
          <w:rFonts w:ascii="Times New Roman" w:cs="Times New Roman" w:eastAsia="Times New Roman" w:hAnsi="Times New Roman"/>
          <w:sz w:val="18"/>
          <w:szCs w:val="18"/>
          <w:color w:val="auto"/>
        </w:rPr>
        <w:t>. This Agreement shall inure to the benefit of, and be binding upon, the Parties hereto and their respective successors, representatives and assigns. Neither Party shall assign its rights hereunder without the other Party’s prior written consent; provided that such consent shall not be required in the cases of assignments made (i) by operation of law or (ii) to a Party’s Affiliate.</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Nothing in this Agreement shall confer upon any Person not a party to this Agreement, or the legal representatives of such Person, any rights (including, without limitation, rights as a third-party beneficiary) or remedies of any nature or kind whatsoever under or by reason of this Agreement.</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costs and expenses incurred by a Party in connection with this Agreement and with the consummation of the Transactions shall be paid by such Party.</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and other communications to any Party hereunder shall be in writing and shall be given to such Party at its address set forth below, with delivery being effective upon actual receipt or on the second Business Day after deposit if sent by a recognized overnight delivery service or by registered or certified mail (postage prepaid, return receipt requested), in each case to the address specified in this Section.</w:t>
      </w:r>
    </w:p>
    <w:p>
      <w:pPr>
        <w:spacing w:after="0" w:line="158" w:lineRule="exact"/>
        <w:rPr>
          <w:sz w:val="20"/>
          <w:szCs w:val="20"/>
          <w:color w:val="auto"/>
        </w:rPr>
      </w:pPr>
    </w:p>
    <w:p>
      <w:pPr>
        <w:ind w:left="2280" w:right="7520" w:hanging="976"/>
        <w:spacing w:after="0" w:line="500" w:lineRule="auto"/>
        <w:tabs>
          <w:tab w:leader="none" w:pos="18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 to: Agrify Corporation</w:t>
      </w:r>
    </w:p>
    <w:p>
      <w:pPr>
        <w:spacing w:after="0" w:line="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Attn: Peter Shapiro, Director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 Frank A. Segall</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820" w:hanging="516"/>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 to:</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VCP IP Holdings, LLC</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233 S. Wacker Dr., #5900</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 Ross Docksey and Jacob Styburski</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 ross.docksey@dentons.com and jacob.styburski@dentons.com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such other address or persons as the Parties may from time to time designate in writing in the manner provided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0" w:name="page91"/>
    <w:bookmarkEnd w:id="90"/>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Ancillary Documents and the Exhibits and the Schedules attached hereto, represents the entire agreement and understanding of the Parties hereto with respect to the transactions contemplated hereby. This Agreement supersedes all prior negotiations, discussions, correspondence, communications, understandings and agreements among the Parties related to the subject matter of this Agreement, whether written or oral, and all prior drafts thereof, all of which are merged into this Agreement.</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be amended only by a written instrument signed by Purchaser and Seller. No waiver by any Party of any of the provisions hereof shall be effective unless explicitly set forth in writing and signed by the Party so waiving. No waiver by a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With regard to all dates and time periods set forth or referred to in this Agreement, time is of the essence.</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so long as the economic or legal substance of the transactions contemplated hereby are not affected in any manner adverse to either Party. Upon such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and the abbreviation “e.g.” mean “including, without limitation” unless the context clearly states otherwise.</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to this Agreement shall be deemed to be a part of this Agreement.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 herein to this “Agreement” shall include the Exhibits and Schedules attached hereto.</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“shall” when used in this Agreement is a word of mandate, construed as “must.”</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1" w:name="page92"/>
    <w:bookmarkEnd w:id="91"/>
    <w:p>
      <w:pPr>
        <w:ind w:left="1800" w:hanging="496"/>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reference only and shall not effect the interpretation of this Agreement.</w:t>
      </w:r>
    </w:p>
    <w:p>
      <w:pPr>
        <w:spacing w:after="0" w:line="225" w:lineRule="exact"/>
        <w:rPr>
          <w:rFonts w:ascii="Times New Roman" w:cs="Times New Roman" w:eastAsia="Times New Roman" w:hAnsi="Times New Roman"/>
          <w:sz w:val="18"/>
          <w:szCs w:val="18"/>
          <w:color w:val="auto"/>
        </w:rPr>
      </w:pPr>
    </w:p>
    <w:p>
      <w:pPr>
        <w:ind w:left="660" w:firstLine="644"/>
        <w:spacing w:after="0" w:line="254" w:lineRule="auto"/>
        <w:tabs>
          <w:tab w:leader="none" w:pos="182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section headings in the Schedules correspond to the sections of this Agreement, but information provided in any section of the Schedules shall constitute disclosure for purposes of each section of this Agreement where such information is relevant. Unless the context otherwise requires, all capitalized terms used in the Schedules shall have the respective meanings assigned to such terms in this Agreement. Certain information set forth in the Schedules is included solely for informational purposes, and may not be required to be disclosed pursuant to this Agreement. No disclosure in the Schedules relating to any possible breach or violation of any agreement or Law shall be construed as an admission or indication that any such breach or violation exists or has actually occurred. The inclusion of any information in the Schedules shall not be deemed to be an admission or acknowledgment by Seller that in and of itself, such information is material to or outside the ordinary course of the business. No disclosure in the Schedules shall be deemed to create any rights in any third party.</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and all of which together shall be considered one and the same agreement. The signature of any party that is delivered by telecopy or other means of electronic execution and/or delivery (including DocuSign) shall be effective and deemed an original.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360" w:firstLine="644"/>
        <w:spacing w:after="0" w:line="282" w:lineRule="auto"/>
        <w:tabs>
          <w:tab w:leader="none" w:pos="182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PRINCIPLES OF CONFLICT OF LAWS.</w:t>
      </w:r>
    </w:p>
    <w:p>
      <w:pPr>
        <w:spacing w:after="0" w:line="161" w:lineRule="exact"/>
        <w:rPr>
          <w:rFonts w:ascii="Times New Roman" w:cs="Times New Roman" w:eastAsia="Times New Roman" w:hAnsi="Times New Roman"/>
          <w:sz w:val="18"/>
          <w:szCs w:val="18"/>
          <w:color w:val="auto"/>
        </w:rPr>
      </w:pPr>
    </w:p>
    <w:p>
      <w:pPr>
        <w:ind w:left="660" w:right="140" w:firstLine="644"/>
        <w:spacing w:after="0" w:line="256" w:lineRule="auto"/>
        <w:tabs>
          <w:tab w:leader="none" w:pos="18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Informal Dispute Resolution</w:t>
      </w:r>
      <w:r>
        <w:rPr>
          <w:rFonts w:ascii="Times New Roman" w:cs="Times New Roman" w:eastAsia="Times New Roman" w:hAnsi="Times New Roman"/>
          <w:sz w:val="18"/>
          <w:szCs w:val="18"/>
          <w:color w:val="auto"/>
        </w:rPr>
        <w:t xml:space="preserve">. In the event of any dispute, claim or controversy arising out of or relating to this Agreement, the Parties shall first attempt in good faith to resolve their dispute through in-person or video conference negotiation between authorized representatives of each of the Parties with authority to settle the relevant dispute for a period of not less than ten (10) days from the delivery of written notice under this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Either Party may commence this negotiation by delivering written notice to the other Party pursuant to the terms outlined in this Agreement. The Parties may agree to engage the services of a jointly agreed-upon mediator to facilitate this in-person meeting, in which case they agree to share equally in the costs of the mediation.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2" w:name="page93"/>
    <w:bookmarkEnd w:id="92"/>
    <w:p>
      <w:pPr>
        <w:ind w:left="-460" w:firstLine="644"/>
        <w:spacing w:after="0" w:line="253" w:lineRule="auto"/>
        <w:tabs>
          <w:tab w:leader="none" w:pos="70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unresolved controversy or claim arising out of or relating to this Agreement, except as (i) otherwise expressly provided in this Agreement, or (ii) any such controversies or claims arising out of a Party’s breach of its restrictive covenants hereunder for which a provisional remedy or equitable relief is sought, shall be submitted to arbitration with a single arbitrator mutually agreed upon by the Parties, and if no agreement can be reached within thirty (30) days after names of potential arbitrators have been proposed, then by one arbitrator having reasonable experience in corporate transactions of the type provided for in this Agreement and who is chosen by JAMS. The arbitration shall take place in Chicago, Illinois in accordance with the JAMS International Arbitration Rules then in effect, and judgment upon any award rendered in such arbitration will be final and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Illinois laws,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9" w:lineRule="exact"/>
        <w:rPr>
          <w:rFonts w:ascii="Times New Roman" w:cs="Times New Roman" w:eastAsia="Times New Roman" w:hAnsi="Times New Roman"/>
          <w:sz w:val="18"/>
          <w:szCs w:val="18"/>
          <w:color w:val="auto"/>
        </w:rPr>
      </w:pPr>
    </w:p>
    <w:p>
      <w:pPr>
        <w:ind w:left="-460" w:right="20" w:firstLine="644"/>
        <w:spacing w:after="0" w:line="271" w:lineRule="auto"/>
        <w:tabs>
          <w:tab w:leader="none" w:pos="71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JURY TRIAL WAIVER</w:t>
      </w:r>
      <w:r>
        <w:rPr>
          <w:rFonts w:ascii="Times New Roman" w:cs="Times New Roman" w:eastAsia="Times New Roman" w:hAnsi="Times New Roman"/>
          <w:sz w:val="17"/>
          <w:szCs w:val="17"/>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signed as of the date first written above.</w:t>
      </w:r>
    </w:p>
    <w:p>
      <w:pPr>
        <w:spacing w:after="0" w:line="23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color w:val="auto"/>
        </w:rPr>
        <w:t>VCP IP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CEO</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AND RECIPE LICENSE AGREEMENT</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This Trademark and Recipe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20,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MC BRANDS LLC, a Colorado limited liability company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GTI CORE, LLC, a Delaware limited liability company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together with Licensor,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WHEREAS, Licensor is the owner of certain trademarks, service marks, trade names, design marks and commercial symbols, and such other common law trademarks, service marks, trade names, design marks and commercial symbols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any additional, related marks of which Licensor gives Licensee written notice from time to time, the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and the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listed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Recipes</w:t>
      </w:r>
      <w:r>
        <w:rPr>
          <w:rFonts w:ascii="Times New Roman" w:cs="Times New Roman" w:eastAsia="Times New Roman" w:hAnsi="Times New Roman"/>
          <w:sz w:val="18"/>
          <w:szCs w:val="18"/>
          <w:color w:val="auto"/>
        </w:rPr>
        <w:t>”), related to the Licensed Services (defined below);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has represented to Licensee that Licensor has sufficient rights in and to the Trademarks and Recipes; and</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WHEREAS, Licensee desires to use the Trademarks and the Recipes in connection with cannabis product infusion and production, retail dispensary services, online retail sales of products including cannabis, cannabis concentrates, cannabis infused products, and cannabis accessories, and the marketing and sale of all products contemplated herein, in each case, only with respect to products whose production, marketing, or sale (a) is legal under applicable state law and (b) do not fall into the category of hemp products that are legal under federal law, as such law stands (regardless of whether such law changes at a later date) (collectively, the “</w:t>
      </w:r>
      <w:r>
        <w:rPr>
          <w:rFonts w:ascii="Times New Roman" w:cs="Times New Roman" w:eastAsia="Times New Roman" w:hAnsi="Times New Roman"/>
          <w:sz w:val="18"/>
          <w:szCs w:val="18"/>
          <w:b w:val="1"/>
          <w:bCs w:val="1"/>
          <w:color w:val="auto"/>
        </w:rPr>
        <w:t>Licensed Services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Licensor has agreed to grant a license to Licensee to use the Trademarks and Recipes in accordance with the terms and conditions of this Agreement.</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herein exchanged, and for other good and valuable consideration, the receipt and adequacy of which is hereby acknowledged, the Parties agree, and covenant as follows:</w:t>
      </w:r>
    </w:p>
    <w:p>
      <w:pPr>
        <w:spacing w:after="0" w:line="158" w:lineRule="exact"/>
        <w:rPr>
          <w:sz w:val="20"/>
          <w:szCs w:val="20"/>
          <w:color w:val="auto"/>
        </w:rPr>
      </w:pPr>
    </w:p>
    <w:p>
      <w:pPr>
        <w:ind w:left="180" w:hanging="172"/>
        <w:spacing w:after="0"/>
        <w:tabs>
          <w:tab w:leader="none" w:pos="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1.1 Pursuant to the terms and conditions herein, Licensor hereby grants to Licensee a limited, non-transferable, exclusive, sublicensable license to use the Trademarks and the Recipes in connection with the Licensed Services at those locations where Licensee or any of its affiliates, or its or their third-party contractors or sublicensees, whether now or hereafter existing (together with Licensee, the “</w:t>
      </w:r>
      <w:r>
        <w:rPr>
          <w:rFonts w:ascii="Times New Roman" w:cs="Times New Roman" w:eastAsia="Times New Roman" w:hAnsi="Times New Roman"/>
          <w:sz w:val="18"/>
          <w:szCs w:val="18"/>
          <w:b w:val="1"/>
          <w:bCs w:val="1"/>
          <w:color w:val="auto"/>
        </w:rPr>
        <w:t>Licensee Parties</w:t>
      </w:r>
      <w:r>
        <w:rPr>
          <w:rFonts w:ascii="Times New Roman" w:cs="Times New Roman" w:eastAsia="Times New Roman" w:hAnsi="Times New Roman"/>
          <w:sz w:val="18"/>
          <w:szCs w:val="18"/>
          <w:color w:val="auto"/>
        </w:rPr>
        <w:t>”), operate cannabis cultivation facilities, production facilities, infusion facilities, and/or dispensaries licensed by the applicable regulatory authorities and in compliance with such rules and regulations applicable thereto (collectively, the “</w:t>
      </w:r>
      <w:r>
        <w:rPr>
          <w:rFonts w:ascii="Times New Roman" w:cs="Times New Roman" w:eastAsia="Times New Roman" w:hAnsi="Times New Roman"/>
          <w:sz w:val="18"/>
          <w:szCs w:val="18"/>
          <w:b w:val="1"/>
          <w:bCs w:val="1"/>
          <w:color w:val="auto"/>
        </w:rPr>
        <w:t>Locations</w:t>
      </w:r>
      <w:r>
        <w:rPr>
          <w:rFonts w:ascii="Times New Roman" w:cs="Times New Roman" w:eastAsia="Times New Roman" w:hAnsi="Times New Roman"/>
          <w:sz w:val="18"/>
          <w:szCs w:val="18"/>
          <w:color w:val="auto"/>
        </w:rPr>
        <w:t>”) during the Term (as defined below). It is understood that Licensee, without Licensor’s prior written consent, may not use the Trademarks or the Recipes for any purpose other than as contemplated herein related to the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firstLine="648"/>
        <w:spacing w:after="0" w:line="255" w:lineRule="auto"/>
        <w:rPr>
          <w:sz w:val="20"/>
          <w:szCs w:val="20"/>
          <w:color w:val="auto"/>
        </w:rPr>
      </w:pPr>
      <w:r>
        <w:rPr>
          <w:rFonts w:ascii="Times New Roman" w:cs="Times New Roman" w:eastAsia="Times New Roman" w:hAnsi="Times New Roman"/>
          <w:sz w:val="18"/>
          <w:szCs w:val="18"/>
          <w:color w:val="auto"/>
        </w:rPr>
        <w:t>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w:t>
      </w:r>
    </w:p>
    <w:p>
      <w:pPr>
        <w:spacing w:after="0" w:line="172" w:lineRule="exact"/>
        <w:rPr>
          <w:sz w:val="20"/>
          <w:szCs w:val="20"/>
          <w:color w:val="auto"/>
        </w:rPr>
      </w:pPr>
    </w:p>
    <w:p>
      <w:pPr>
        <w:ind w:left="240" w:hanging="232"/>
        <w:spacing w:after="0"/>
        <w:tabs>
          <w:tab w:leader="none" w:pos="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Consideration for the transactions contemplated under this Agreement is as described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6" w:name="page97"/>
    <w:bookmarkEnd w:id="96"/>
    <w:p>
      <w:pPr>
        <w:ind w:firstLine="648"/>
        <w:spacing w:after="0" w:line="251" w:lineRule="auto"/>
        <w:rPr>
          <w:sz w:val="20"/>
          <w:szCs w:val="20"/>
          <w:color w:val="auto"/>
        </w:rPr>
      </w:pPr>
      <w:r>
        <w:rPr>
          <w:rFonts w:ascii="Times New Roman" w:cs="Times New Roman" w:eastAsia="Times New Roman" w:hAnsi="Times New Roman"/>
          <w:sz w:val="18"/>
          <w:szCs w:val="18"/>
          <w:color w:val="auto"/>
        </w:rPr>
        <w:t>2.2 Licensor shall have ten (10) business days after receipt of the Calculation Statement for each applicable period (in each case, the “</w:t>
      </w: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review the Calculation Statement. During the Review Period, Licensor and its representatives shall have the right to inspect Licensee’s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to Licensee. Any Objection Notice shall specify the items in the applicable calculation disputed by Licensor and shall describe in reasonable detail 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w:t>
      </w:r>
    </w:p>
    <w:p>
      <w:pPr>
        <w:spacing w:after="0" w:line="204" w:lineRule="exact"/>
        <w:rPr>
          <w:sz w:val="20"/>
          <w:szCs w:val="20"/>
          <w:color w:val="auto"/>
        </w:rPr>
      </w:pPr>
    </w:p>
    <w:p>
      <w:pPr>
        <w:ind w:left="180" w:hanging="172"/>
        <w:spacing w:after="0"/>
        <w:tabs>
          <w:tab w:leader="none" w:pos="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commence as of the Effective Date and shall continue in perpetuity unless and until terminated in accordance with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w:t>
      </w:r>
    </w:p>
    <w:p>
      <w:pPr>
        <w:spacing w:after="0" w:line="183"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3.2.3 Notwithstanding any other provision of this Agreement, this Agreement may be terminated at any time with immediate effect by Licensee upon written notice from Licensee to Licensor.</w:t>
      </w:r>
    </w:p>
    <w:p>
      <w:pPr>
        <w:spacing w:after="0" w:line="158" w:lineRule="exact"/>
        <w:rPr>
          <w:sz w:val="20"/>
          <w:szCs w:val="20"/>
          <w:color w:val="auto"/>
        </w:rPr>
      </w:pPr>
    </w:p>
    <w:p>
      <w:pPr>
        <w:ind w:firstLine="8"/>
        <w:spacing w:after="0" w:line="254"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Standards; Insurance</w:t>
      </w:r>
      <w:r>
        <w:rPr>
          <w:rFonts w:ascii="Times New Roman" w:cs="Times New Roman" w:eastAsia="Times New Roman" w:hAnsi="Times New Roman"/>
          <w:sz w:val="18"/>
          <w:szCs w:val="18"/>
          <w:color w:val="auto"/>
        </w:rPr>
        <w:t>. Licensee shall use its commercially reasonable efforts to maintain the same high-quality standards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w:t>
      </w:r>
    </w:p>
    <w:p>
      <w:pPr>
        <w:spacing w:after="0" w:line="18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By Licensor</w:t>
      </w:r>
      <w:r>
        <w:rPr>
          <w:rFonts w:ascii="Times New Roman" w:cs="Times New Roman" w:eastAsia="Times New Roman" w:hAnsi="Times New Roman"/>
          <w:sz w:val="18"/>
          <w:szCs w:val="18"/>
          <w:color w:val="auto"/>
        </w:rPr>
        <w:t>. Licensor hereby represents and warrants as follows:</w:t>
      </w:r>
    </w:p>
    <w:p>
      <w:pPr>
        <w:spacing w:after="0" w:line="229"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5.1.1 That it (or its affiliates) is the exclusive owner of the Trademarks and the Recipes and has the valid and enforceable right to use and license to others, the Trademarks and the Recipes;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8" w:name="page99"/>
    <w:bookmarkEnd w:id="98"/>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5.1.2 That, to the best of its knowledge, no other party has asserted any claim of any rights, titles or interest in the Trademarks or the Recipes adverse to Licensor’s rights thereof; and</w:t>
      </w:r>
    </w:p>
    <w:p>
      <w:pPr>
        <w:spacing w:after="0" w:line="162"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5.1.4 That, to Licensor’s knowledge, the use of the Trademarks and the Recipes as currently and formerly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w:t>
      </w:r>
    </w:p>
    <w:p>
      <w:pPr>
        <w:spacing w:after="0" w:line="18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5.1.5. That, to Licensor’s knowledge, the use of the Trademarks and the Recipes as contemplated under this Agreement, will not infringe, misappropriate or otherwise violate any third party right.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By Licensee</w:t>
      </w:r>
      <w:r>
        <w:rPr>
          <w:rFonts w:ascii="Times New Roman" w:cs="Times New Roman" w:eastAsia="Times New Roman" w:hAnsi="Times New Roman"/>
          <w:sz w:val="18"/>
          <w:szCs w:val="18"/>
          <w:color w:val="auto"/>
        </w:rPr>
        <w:t>. Licensee hereby represents and warrants as follows:</w:t>
      </w:r>
    </w:p>
    <w:p>
      <w:pPr>
        <w:spacing w:after="0" w:line="22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5.2.2 That it has the full power, right and authority to enter into this Agreement and perform its obligations under this Agreement; and</w:t>
      </w:r>
    </w:p>
    <w:p>
      <w:pPr>
        <w:spacing w:after="0" w:line="225"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5.2.4 That it will use the Trademarks and the Recipes solely in connection with the Licensed Services unless it first obtains the consent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w:t>
      </w:r>
    </w:p>
    <w:p>
      <w:pPr>
        <w:spacing w:after="0" w:line="207" w:lineRule="exact"/>
        <w:rPr>
          <w:sz w:val="20"/>
          <w:szCs w:val="20"/>
          <w:color w:val="auto"/>
        </w:rPr>
      </w:pPr>
    </w:p>
    <w:p>
      <w:pPr>
        <w:ind w:right="200" w:firstLine="1296"/>
        <w:spacing w:after="0" w:line="312" w:lineRule="auto"/>
        <w:rPr>
          <w:sz w:val="20"/>
          <w:szCs w:val="20"/>
          <w:color w:val="auto"/>
        </w:rPr>
      </w:pPr>
      <w:r>
        <w:rPr>
          <w:rFonts w:ascii="Times New Roman" w:cs="Times New Roman" w:eastAsia="Times New Roman" w:hAnsi="Times New Roman"/>
          <w:sz w:val="17"/>
          <w:szCs w:val="17"/>
          <w:color w:val="auto"/>
        </w:rPr>
        <w:t>5.2.5 That it will use the Trademarks and Recipes in compliance with all applicable laws and regulations and the guidelines and specifications provided by Licensor from time to time and not in any manner that, in the Licensor’s sole discretion, brings the Trademarks into disrepute.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w:t>
      </w:r>
    </w:p>
    <w:p>
      <w:pPr>
        <w:spacing w:after="0" w:line="180"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w:t>
      </w:r>
    </w:p>
    <w:p>
      <w:pPr>
        <w:spacing w:after="0" w:line="176" w:lineRule="exact"/>
        <w:rPr>
          <w:sz w:val="20"/>
          <w:szCs w:val="20"/>
          <w:color w:val="auto"/>
        </w:rPr>
      </w:pPr>
    </w:p>
    <w:p>
      <w:pPr>
        <w:ind w:right="220" w:firstLine="8"/>
        <w:spacing w:after="0" w:line="26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Regulatory Approval</w:t>
      </w:r>
      <w:r>
        <w:rPr>
          <w:rFonts w:ascii="Times New Roman" w:cs="Times New Roman" w:eastAsia="Times New Roman" w:hAnsi="Times New Roman"/>
          <w:sz w:val="18"/>
          <w:szCs w:val="18"/>
          <w:color w:val="auto"/>
        </w:rPr>
        <w:t>. Notwithstanding anything to the contrary in this Agreement, this Agreement, and any agreement formed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are subject to all applicable state cannabis laws. Without limiting the foregoing, each Party acknowledges that, if required by applicable law, notification of this Agreement may be filed by Licensee with the applicable state licensing and regulatory agency in the relevant Location (as applicable, the “</w:t>
      </w:r>
      <w:r>
        <w:rPr>
          <w:rFonts w:ascii="Times New Roman" w:cs="Times New Roman" w:eastAsia="Times New Roman" w:hAnsi="Times New Roman"/>
          <w:sz w:val="18"/>
          <w:szCs w:val="18"/>
          <w:b w:val="1"/>
          <w:bCs w:val="1"/>
          <w:color w:val="auto"/>
        </w:rPr>
        <w:t>Regulator</w:t>
      </w:r>
      <w:r>
        <w:rPr>
          <w:rFonts w:ascii="Times New Roman" w:cs="Times New Roman" w:eastAsia="Times New Roman" w:hAnsi="Times New Roman"/>
          <w:sz w:val="18"/>
          <w:szCs w:val="18"/>
          <w:color w:val="auto"/>
        </w:rPr>
        <w:t>”), which may require Regulator approval.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w:t>
      </w:r>
    </w:p>
    <w:p>
      <w:pPr>
        <w:spacing w:after="0" w:line="185" w:lineRule="exact"/>
        <w:rPr>
          <w:sz w:val="20"/>
          <w:szCs w:val="20"/>
          <w:color w:val="auto"/>
        </w:rPr>
      </w:pPr>
    </w:p>
    <w:p>
      <w:pPr>
        <w:ind w:right="140" w:firstLine="8"/>
        <w:spacing w:after="0" w:line="256" w:lineRule="auto"/>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Infringement</w:t>
      </w:r>
      <w:r>
        <w:rPr>
          <w:rFonts w:ascii="Times New Roman" w:cs="Times New Roman" w:eastAsia="Times New Roman" w:hAnsi="Times New Roman"/>
          <w:sz w:val="18"/>
          <w:szCs w:val="18"/>
          <w:color w:val="auto"/>
        </w:rPr>
        <w:t>. Each Party shall notify the other in writing if such Party becomes aware of any use by third parties of any marks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upon the Trademarks (“</w:t>
      </w:r>
      <w:r>
        <w:rPr>
          <w:rFonts w:ascii="Times New Roman" w:cs="Times New Roman" w:eastAsia="Times New Roman" w:hAnsi="Times New Roman"/>
          <w:sz w:val="18"/>
          <w:szCs w:val="18"/>
          <w:b w:val="1"/>
          <w:bCs w:val="1"/>
          <w:color w:val="auto"/>
        </w:rPr>
        <w:t>Infringing Marks</w:t>
      </w:r>
      <w:r>
        <w:rPr>
          <w:rFonts w:ascii="Times New Roman" w:cs="Times New Roman" w:eastAsia="Times New Roman" w:hAnsi="Times New Roman"/>
          <w:sz w:val="18"/>
          <w:szCs w:val="18"/>
          <w:color w:val="auto"/>
        </w:rPr>
        <w:t>”).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0" w:name="page101"/>
    <w:bookmarkEnd w:id="100"/>
    <w:p>
      <w:pPr>
        <w:ind w:left="180" w:hanging="172"/>
        <w:spacing w:after="0"/>
        <w:tabs>
          <w:tab w:leader="none" w:pos="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Counterpart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w:t>
      </w:r>
    </w:p>
    <w:p>
      <w:pPr>
        <w:sectPr>
          <w:pgSz w:w="11900" w:h="16838" w:orient="portrait"/>
          <w:cols w:equalWidth="0" w:num="1">
            <w:col w:w="11200"/>
          </w:cols>
          <w:pgMar w:left="320" w:top="900" w:right="37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Brands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Agrify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Rolling Meadows, IL 60008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Brad Asher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180" w:space="720"/>
            <w:col w:w="8300"/>
          </w:cols>
          <w:pgMar w:left="320" w:top="900" w:right="37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GTI Core,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Green Thumb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180" w:space="720"/>
            <w:col w:w="8300"/>
          </w:cols>
          <w:pgMar w:left="320" w:top="900" w:right="379" w:bottom="1440" w:gutter="0" w:footer="0" w:header="0"/>
          <w:type w:val="continuous"/>
        </w:sectPr>
      </w:pPr>
    </w:p>
    <w:p>
      <w:pPr>
        <w:spacing w:after="0" w:line="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01" w:name="page102"/>
    <w:bookmarkEnd w:id="101"/>
    <w:p>
      <w:pPr>
        <w:ind w:right="5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w:t>
      </w:r>
    </w:p>
    <w:p>
      <w:pPr>
        <w:spacing w:after="0" w:line="176"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color w:val="auto"/>
        </w:rPr>
        <w:t>.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w:t>
      </w:r>
    </w:p>
    <w:p>
      <w:pPr>
        <w:spacing w:after="0" w:line="176"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w:t>
      </w:r>
    </w:p>
    <w:p>
      <w:pPr>
        <w:spacing w:after="0" w:line="19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and their respective successors, assigns, heirs, legal representatives and trustees.</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Independent Parties</w:t>
      </w:r>
      <w:r>
        <w:rPr>
          <w:rFonts w:ascii="Times New Roman" w:cs="Times New Roman" w:eastAsia="Times New Roman" w:hAnsi="Times New Roman"/>
          <w:sz w:val="18"/>
          <w:szCs w:val="18"/>
          <w:color w:val="auto"/>
        </w:rPr>
        <w:t>.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[Signatures appear on the following page.]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LICENSEE: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MC BRANDS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GTI CORE, LLC</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Georgiadis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Georgiadis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in cash. Within 30 days following the end of each calendar month, Licensee will include a statement that sets forth in reasonable detail a calculation of any fees due to Licensor with respect to such calendar month (the “</w:t>
      </w:r>
      <w:r>
        <w:rPr>
          <w:rFonts w:ascii="Times New Roman" w:cs="Times New Roman" w:eastAsia="Times New Roman" w:hAnsi="Times New Roman"/>
          <w:sz w:val="17"/>
          <w:szCs w:val="17"/>
          <w:b w:val="1"/>
          <w:bCs w:val="1"/>
          <w:color w:val="auto"/>
        </w:rPr>
        <w:t>Calculation Statement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Net Revenue</w:t>
      </w:r>
      <w:r>
        <w:rPr>
          <w:rFonts w:ascii="Times New Roman" w:cs="Times New Roman" w:eastAsia="Times New Roman" w:hAnsi="Times New Roman"/>
          <w:sz w:val="17"/>
          <w:szCs w:val="17"/>
          <w:color w:val="auto"/>
        </w:rPr>
        <w:t>” shall mean (i) total sales made to customers, reduced for discounts, returns, and allowances related to those sales, and (ii) any revenue received from sublicensing rights granted under Section 1 of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shall be as set forth in the schedule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3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3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 Net</w:t>
            </w:r>
          </w:p>
        </w:tc>
      </w:tr>
      <w:tr>
        <w:trPr>
          <w:trHeight w:val="24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7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7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7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 and on</w:t>
            </w:r>
          </w:p>
        </w:tc>
        <w:tc>
          <w:tcPr>
            <w:tcW w:w="7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655"/>
        </w:trPr>
        <w:tc>
          <w:tcPr>
            <w:tcW w:w="32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AND RECIPE LICENSE AGREEMENT</w:t>
      </w:r>
    </w:p>
    <w:p>
      <w:pPr>
        <w:spacing w:after="0" w:line="22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This Trademark and Recipe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20,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For Success Holding Company, a Delaware corporation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Core Growth, LLC, a Delaware limited liability company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together with Licensor,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WHEREAS, Licensor is the owner of certain trademarks, service marks, trade names, design marks and commercial symbols, and such other common law trademarks, service marks, trade names, design marks and commercial symbols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any additional, related marks of which Licensor gives Licensee written notice from time to time, the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and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listed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Recipes</w:t>
      </w:r>
      <w:r>
        <w:rPr>
          <w:rFonts w:ascii="Times New Roman" w:cs="Times New Roman" w:eastAsia="Times New Roman" w:hAnsi="Times New Roman"/>
          <w:sz w:val="18"/>
          <w:szCs w:val="18"/>
          <w:color w:val="auto"/>
        </w:rPr>
        <w:t>”), as related to the Licensed Services (defined below);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has represented to Licensee that Licensor has sufficient rights in and to the Trademarks and Recipes; and</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Licensee desires to use the Trademarks and the Recipes in connection with the infusion, production, marketing, and sale of hemp products, in each case, only with respect to such products whose production, marketing, or sale is legal under applicable state and federal laws of the United States (collectively, the “</w:t>
      </w:r>
      <w:r>
        <w:rPr>
          <w:rFonts w:ascii="Times New Roman" w:cs="Times New Roman" w:eastAsia="Times New Roman" w:hAnsi="Times New Roman"/>
          <w:sz w:val="18"/>
          <w:szCs w:val="18"/>
          <w:b w:val="1"/>
          <w:bCs w:val="1"/>
          <w:color w:val="auto"/>
        </w:rPr>
        <w:t>Licensed Services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Licensor has agreed to grant a license to Licensee to use the Trademarks and Recipes in accordance with the terms and conditions of this Agreement.</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herein exchanged, and for other good and valuable consideration, the receipt and adequacy of which is hereby acknowledged, the Parties agree, and covenant as follows:</w:t>
      </w:r>
    </w:p>
    <w:p>
      <w:pPr>
        <w:spacing w:after="0" w:line="158" w:lineRule="exact"/>
        <w:rPr>
          <w:sz w:val="20"/>
          <w:szCs w:val="20"/>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1.1 Pursuant to the terms and conditions herein, Licensor hereby grants to Licensee a limited, non-transferable, exclusive, non-sublicensable license to use the Trademarks and Recipes in connection with the Licensed Services within the United States during the Term (as defined below). It is understood that Licensee, without Licensor’s prior written consent, may not use the Trademarks or Recipes for any purpose other than as contemplated herein.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w:t>
      </w:r>
    </w:p>
    <w:p>
      <w:pPr>
        <w:spacing w:after="0" w:line="172" w:lineRule="exact"/>
        <w:rPr>
          <w:sz w:val="20"/>
          <w:szCs w:val="20"/>
          <w:color w:val="auto"/>
        </w:rPr>
      </w:pPr>
    </w:p>
    <w:p>
      <w:pPr>
        <w:ind w:left="240" w:hanging="232"/>
        <w:spacing w:after="0"/>
        <w:tabs>
          <w:tab w:leader="none" w:pos="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Consideration for the transactions contemplated under this Agreement is as described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2.2 Licensor shall have ten (10) business days after receipt of the Calculation Statement for each applicable period (in each case, the “</w:t>
      </w: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review the Calculation Statement. During the Review Period, Licensor and its representatives shall have the right to inspect Licensee’s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to Licensee. Any Objection Notice shall specify the items in the applicable calculation disputed by Licensor and shall describe in reasonable detail 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6" w:name="page107"/>
    <w:bookmarkEnd w:id="106"/>
    <w:p>
      <w:pPr>
        <w:ind w:left="180" w:hanging="172"/>
        <w:spacing w:after="0"/>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commence as of the Effective Date and shall continue in perpetuity unless and until terminated in accordance with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w:t>
      </w:r>
    </w:p>
    <w:p>
      <w:pPr>
        <w:spacing w:after="0" w:line="183"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w:t>
      </w:r>
    </w:p>
    <w:p>
      <w:pPr>
        <w:spacing w:after="0" w:line="183"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3.2.3 Notwithstanding any other provision of this Agreement, this Agreement may be terminated at any time with immediate effect by Licensor upon written notice from Licensor to Licensee.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07" w:name="page108"/>
    <w:bookmarkEnd w:id="107"/>
    <w:p>
      <w:pPr>
        <w:ind w:firstLine="8"/>
        <w:spacing w:after="0" w:line="254" w:lineRule="auto"/>
        <w:tabs>
          <w:tab w:leader="none" w:pos="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Standards; Insurance</w:t>
      </w:r>
      <w:r>
        <w:rPr>
          <w:rFonts w:ascii="Times New Roman" w:cs="Times New Roman" w:eastAsia="Times New Roman" w:hAnsi="Times New Roman"/>
          <w:sz w:val="18"/>
          <w:szCs w:val="18"/>
          <w:color w:val="auto"/>
        </w:rPr>
        <w:t>. Licensee shall use its commercially reasonable efforts to maintain the same high-quality standards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w:t>
      </w:r>
    </w:p>
    <w:p>
      <w:pPr>
        <w:spacing w:after="0" w:line="18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By Licensor</w:t>
      </w:r>
      <w:r>
        <w:rPr>
          <w:rFonts w:ascii="Times New Roman" w:cs="Times New Roman" w:eastAsia="Times New Roman" w:hAnsi="Times New Roman"/>
          <w:sz w:val="18"/>
          <w:szCs w:val="18"/>
          <w:color w:val="auto"/>
        </w:rPr>
        <w:t>. Licensor hereby represents and warrants as follows:</w:t>
      </w:r>
    </w:p>
    <w:p>
      <w:pPr>
        <w:spacing w:after="0" w:line="229"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5.1.1 That it (or its affiliates) is the exclusive owner of the Trademarks and the Recipes and has the valid and enforceable right to use and license to others, the Trademarks and the Recipes; and</w:t>
      </w:r>
    </w:p>
    <w:p>
      <w:pPr>
        <w:spacing w:after="0" w:line="162"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5.1.2 That, to the best of its knowledge, no other party has asserted any claim of any rights, titles or interest in the Trademarks or the Recipes adverse to Licensor’s rights thereof; and</w:t>
      </w:r>
    </w:p>
    <w:p>
      <w:pPr>
        <w:spacing w:after="0" w:line="162"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w:t>
      </w:r>
    </w:p>
    <w:p>
      <w:pPr>
        <w:spacing w:after="0" w:line="176" w:lineRule="exact"/>
        <w:rPr>
          <w:sz w:val="20"/>
          <w:szCs w:val="20"/>
          <w:color w:val="auto"/>
        </w:rPr>
      </w:pPr>
    </w:p>
    <w:p>
      <w:pPr>
        <w:ind w:right="280" w:firstLine="1296"/>
        <w:spacing w:after="0" w:line="255" w:lineRule="auto"/>
        <w:rPr>
          <w:sz w:val="20"/>
          <w:szCs w:val="20"/>
          <w:color w:val="auto"/>
        </w:rPr>
      </w:pPr>
      <w:r>
        <w:rPr>
          <w:rFonts w:ascii="Times New Roman" w:cs="Times New Roman" w:eastAsia="Times New Roman" w:hAnsi="Times New Roman"/>
          <w:sz w:val="18"/>
          <w:szCs w:val="18"/>
          <w:color w:val="auto"/>
        </w:rPr>
        <w:t>5.1.4 That, to Licensor’s knowledge, the use of the Trademarks and the Recipes as currently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8" w:name="page109"/>
    <w:bookmarkEnd w:id="108"/>
    <w:p>
      <w:pPr>
        <w:ind w:firstLine="1296"/>
        <w:spacing w:after="0" w:line="282" w:lineRule="auto"/>
        <w:rPr>
          <w:sz w:val="20"/>
          <w:szCs w:val="20"/>
          <w:color w:val="auto"/>
        </w:rPr>
      </w:pPr>
      <w:r>
        <w:rPr>
          <w:rFonts w:ascii="Times New Roman" w:cs="Times New Roman" w:eastAsia="Times New Roman" w:hAnsi="Times New Roman"/>
          <w:sz w:val="18"/>
          <w:szCs w:val="18"/>
          <w:color w:val="auto"/>
        </w:rPr>
        <w:t>5.1.5. That, to Licensor’s knowledge, the use of the Trademarks and the Recipes as contemplated under this Agreement, will not infringe, misappropriate or otherwise violate any third party right.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By Licensee</w:t>
      </w:r>
      <w:r>
        <w:rPr>
          <w:rFonts w:ascii="Times New Roman" w:cs="Times New Roman" w:eastAsia="Times New Roman" w:hAnsi="Times New Roman"/>
          <w:sz w:val="18"/>
          <w:szCs w:val="18"/>
          <w:color w:val="auto"/>
        </w:rPr>
        <w:t>. Licensee hereby represents and warrants as follows:</w:t>
      </w:r>
    </w:p>
    <w:p>
      <w:pPr>
        <w:spacing w:after="0" w:line="229"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5.2.2 That it has the full power, right and authority to enter into this Agreement and perform its obligations under this Agreement; and</w:t>
      </w:r>
    </w:p>
    <w:p>
      <w:pPr>
        <w:spacing w:after="0" w:line="225"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5.2.4 That it will use the Trademarks and the Recipes solely in connection with the Licensed Services unless it first obtains the consent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w:t>
      </w:r>
    </w:p>
    <w:p>
      <w:pPr>
        <w:spacing w:after="0" w:line="207" w:lineRule="exact"/>
        <w:rPr>
          <w:sz w:val="20"/>
          <w:szCs w:val="20"/>
          <w:color w:val="auto"/>
        </w:rPr>
      </w:pPr>
    </w:p>
    <w:p>
      <w:pPr>
        <w:ind w:right="180" w:firstLine="1296"/>
        <w:spacing w:after="0" w:line="312" w:lineRule="auto"/>
        <w:rPr>
          <w:sz w:val="20"/>
          <w:szCs w:val="20"/>
          <w:color w:val="auto"/>
        </w:rPr>
      </w:pPr>
      <w:r>
        <w:rPr>
          <w:rFonts w:ascii="Times New Roman" w:cs="Times New Roman" w:eastAsia="Times New Roman" w:hAnsi="Times New Roman"/>
          <w:sz w:val="17"/>
          <w:szCs w:val="17"/>
          <w:color w:val="auto"/>
        </w:rPr>
        <w:t>5.2.5 That it will use the Trademarks and Recipes in compliance with all applicable laws and regulations and the guidelines and specifications provided by Licensor from time to time and not in any manner that, in the Licensor’s sole discretion, brings the Trademarks into disrepute.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9" w:name="page110"/>
    <w:bookmarkEnd w:id="109"/>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w:t>
      </w:r>
    </w:p>
    <w:p>
      <w:pPr>
        <w:spacing w:after="0" w:line="176" w:lineRule="exact"/>
        <w:rPr>
          <w:sz w:val="20"/>
          <w:szCs w:val="20"/>
          <w:color w:val="auto"/>
        </w:rPr>
      </w:pPr>
    </w:p>
    <w:p>
      <w:pPr>
        <w:jc w:val="both"/>
        <w:ind w:right="200" w:firstLine="8"/>
        <w:spacing w:after="0" w:line="291" w:lineRule="auto"/>
        <w:tabs>
          <w:tab w:leader="none" w:pos="22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Regulatory Approval</w:t>
      </w:r>
      <w:r>
        <w:rPr>
          <w:rFonts w:ascii="Times New Roman" w:cs="Times New Roman" w:eastAsia="Times New Roman" w:hAnsi="Times New Roman"/>
          <w:sz w:val="17"/>
          <w:szCs w:val="17"/>
          <w:color w:val="auto"/>
        </w:rPr>
        <w:t>. Notwithstanding anything to the contrary in this Agreement, this Agreement, and any agreement formed pursuant to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are subject to all applicable state cannabis or hemp laws. Without limiting the foregoing, each Party acknowledges that, if required by applicable law, notification of this Agreement may be filed by Licensee with the applicable state licensing and regulatory agency (as applicable, the “</w:t>
      </w:r>
      <w:r>
        <w:rPr>
          <w:rFonts w:ascii="Times New Roman" w:cs="Times New Roman" w:eastAsia="Times New Roman" w:hAnsi="Times New Roman"/>
          <w:sz w:val="17"/>
          <w:szCs w:val="17"/>
          <w:b w:val="1"/>
          <w:bCs w:val="1"/>
          <w:color w:val="auto"/>
        </w:rPr>
        <w:t>Regulator</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w:t>
      </w:r>
    </w:p>
    <w:p>
      <w:pPr>
        <w:spacing w:after="0" w:line="185" w:lineRule="exact"/>
        <w:rPr>
          <w:sz w:val="20"/>
          <w:szCs w:val="20"/>
          <w:color w:val="auto"/>
        </w:rPr>
      </w:pPr>
    </w:p>
    <w:p>
      <w:pPr>
        <w:ind w:right="140" w:firstLine="8"/>
        <w:spacing w:after="0" w:line="256" w:lineRule="auto"/>
        <w:tabs>
          <w:tab w:leader="none" w:pos="22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Infringement</w:t>
      </w:r>
      <w:r>
        <w:rPr>
          <w:rFonts w:ascii="Times New Roman" w:cs="Times New Roman" w:eastAsia="Times New Roman" w:hAnsi="Times New Roman"/>
          <w:sz w:val="18"/>
          <w:szCs w:val="18"/>
          <w:color w:val="auto"/>
        </w:rPr>
        <w:t>. Each Party shall notify the other in writing if such Party becomes aware of any use by third parties of any marks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upon the Trademarks (“</w:t>
      </w:r>
      <w:r>
        <w:rPr>
          <w:rFonts w:ascii="Times New Roman" w:cs="Times New Roman" w:eastAsia="Times New Roman" w:hAnsi="Times New Roman"/>
          <w:sz w:val="18"/>
          <w:szCs w:val="18"/>
          <w:b w:val="1"/>
          <w:bCs w:val="1"/>
          <w:color w:val="auto"/>
        </w:rPr>
        <w:t>Infringing Marks</w:t>
      </w:r>
      <w:r>
        <w:rPr>
          <w:rFonts w:ascii="Times New Roman" w:cs="Times New Roman" w:eastAsia="Times New Roman" w:hAnsi="Times New Roman"/>
          <w:sz w:val="18"/>
          <w:szCs w:val="18"/>
          <w:color w:val="auto"/>
        </w:rPr>
        <w:t>”).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w:t>
      </w:r>
    </w:p>
    <w:p>
      <w:pPr>
        <w:spacing w:after="0" w:line="18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Counterpart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0" w:name="page111"/>
    <w:bookmarkEnd w:id="110"/>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Licensor: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Success Holding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1300" w:right="8360" w:firstLine="4"/>
        <w:spacing w:after="0" w:line="260" w:lineRule="auto"/>
        <w:tabs>
          <w:tab w:leader="none" w:pos="163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Email: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Licensee: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Core Growth,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9" w:lineRule="exact"/>
        <w:rPr>
          <w:sz w:val="20"/>
          <w:szCs w:val="20"/>
          <w:color w:val="auto"/>
        </w:rPr>
      </w:pPr>
    </w:p>
    <w:p>
      <w:pPr>
        <w:ind w:left="1300" w:right="8740" w:firstLine="4"/>
        <w:spacing w:after="0" w:line="260" w:lineRule="auto"/>
        <w:tabs>
          <w:tab w:leader="none" w:pos="163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Asher Email:</w:t>
      </w:r>
    </w:p>
    <w:p>
      <w:pPr>
        <w:spacing w:after="0" w:line="1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1" w:name="page112"/>
    <w:bookmarkEnd w:id="111"/>
    <w:p>
      <w:pPr>
        <w:ind w:right="5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w:t>
      </w:r>
    </w:p>
    <w:p>
      <w:pPr>
        <w:spacing w:after="0" w:line="176"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color w:val="auto"/>
        </w:rPr>
        <w:t>.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w:t>
      </w:r>
    </w:p>
    <w:p>
      <w:pPr>
        <w:spacing w:after="0" w:line="176"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w:t>
      </w:r>
    </w:p>
    <w:p>
      <w:pPr>
        <w:spacing w:after="0" w:line="19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and their respective successors, assigns, heirs, legal representatives and trustees.</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Independent Parties</w:t>
      </w:r>
      <w:r>
        <w:rPr>
          <w:rFonts w:ascii="Times New Roman" w:cs="Times New Roman" w:eastAsia="Times New Roman" w:hAnsi="Times New Roman"/>
          <w:sz w:val="18"/>
          <w:szCs w:val="18"/>
          <w:color w:val="auto"/>
        </w:rPr>
        <w:t>.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[Signatures appear on the following page.]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LICENSEE: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SUCCESS HOLDING COMPANY</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CORE GROWTH, LLC</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Georgiadis</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Georgiadis</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as described below . Within 30 days following the end of each calendar month, Licensee will include a statement that sets forth in reasonable detail a calculation of any fees due to Licensor with respect to such calendar month (the “</w:t>
      </w:r>
      <w:r>
        <w:rPr>
          <w:rFonts w:ascii="Times New Roman" w:cs="Times New Roman" w:eastAsia="Times New Roman" w:hAnsi="Times New Roman"/>
          <w:sz w:val="17"/>
          <w:szCs w:val="17"/>
          <w:b w:val="1"/>
          <w:bCs w:val="1"/>
          <w:color w:val="auto"/>
        </w:rPr>
        <w:t>Calculation Statement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Net Revenue</w:t>
      </w:r>
      <w:r>
        <w:rPr>
          <w:rFonts w:ascii="Times New Roman" w:cs="Times New Roman" w:eastAsia="Times New Roman" w:hAnsi="Times New Roman"/>
          <w:sz w:val="17"/>
          <w:szCs w:val="17"/>
          <w:color w:val="auto"/>
        </w:rPr>
        <w:t>” shall mean (i) total sales made to customers, reduced for discounts, returns, and allowances related to those sales, and (ii) any revenue received from sublicensing rights granted under Section 1 of this Agreement.</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Such fees shall be payable either in cash or, if mutually agreed upon by Licensee and Licensor, in the form of common stock or pre-funded warrants to purchase the common stock of Licensee’s affiliate, Agrify Corporation. Notwithstanding anything contained herein to the contrary, the Licensor shall not be entitled receive shares of common stock or to exercise any pre-funded warrants until the Company has obtained the approval of the stockholders of Agrify Corporation for such issuance to the extent that Agrify Corporation determines that such approval is required under Nasdaq Rule 5635, and any pre-funded warrants so issued shall include any limitations on beneficial ownership required to comply with such rule. To the extent that such fees are payable in the form of pre-funded warrants or common stock, the number of pre-funded warrants or common stock issuable, as applicable, shall be determined by dividing (i) the applicable dollar amount of the fees by (ii) $26.68.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shall be as set forth in the schedule below.</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9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vMerge w:val="restart"/>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9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 and on</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39"/>
        </w:trPr>
        <w:tc>
          <w:tcPr>
            <w:tcW w:w="9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AND RECIPE LICENSE AGREEMENT</w:t>
      </w:r>
    </w:p>
    <w:p>
      <w:pPr>
        <w:spacing w:after="0" w:line="225" w:lineRule="exact"/>
        <w:rPr>
          <w:sz w:val="20"/>
          <w:szCs w:val="20"/>
          <w:color w:val="auto"/>
        </w:rPr>
      </w:pPr>
    </w:p>
    <w:p>
      <w:pPr>
        <w:jc w:val="both"/>
        <w:ind w:right="480" w:firstLine="648"/>
        <w:spacing w:after="0" w:line="268" w:lineRule="auto"/>
        <w:rPr>
          <w:sz w:val="20"/>
          <w:szCs w:val="20"/>
          <w:color w:val="auto"/>
        </w:rPr>
      </w:pPr>
      <w:r>
        <w:rPr>
          <w:rFonts w:ascii="Times New Roman" w:cs="Times New Roman" w:eastAsia="Times New Roman" w:hAnsi="Times New Roman"/>
          <w:sz w:val="18"/>
          <w:szCs w:val="18"/>
          <w:color w:val="auto"/>
        </w:rPr>
        <w:t>This Trademark and Recipe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20,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VCP IP Holdings, LLC, a Delaware limited liability company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Core Growth, LLC, a Delaware limited liability company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together with Licensor,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WHEREAS, Licensor is the owner of certain trademarks, service marks, trade names, design marks and commercial symbols, and such other common law trademarks, service marks, trade names, design marks and commercial symbols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any additional, related marks of which Licensor gives Licensee written notice from time to time, the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and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listed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Recipes</w:t>
      </w:r>
      <w:r>
        <w:rPr>
          <w:rFonts w:ascii="Times New Roman" w:cs="Times New Roman" w:eastAsia="Times New Roman" w:hAnsi="Times New Roman"/>
          <w:sz w:val="18"/>
          <w:szCs w:val="18"/>
          <w:color w:val="auto"/>
        </w:rPr>
        <w:t>”), as related to the Licensed Services (defined below);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has represented to Licensee that Licensor has sufficient rights in and to the Trademarks and Recipes; and</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Licensee desires to use the Trademarks and the Recipes in connection with the infusion, production, marketing, and sale of hemp products, in each case, only with respect to such products whose production, marketing, or sale is legal under applicable state and federal laws of the United States (collectively, the “</w:t>
      </w:r>
      <w:r>
        <w:rPr>
          <w:rFonts w:ascii="Times New Roman" w:cs="Times New Roman" w:eastAsia="Times New Roman" w:hAnsi="Times New Roman"/>
          <w:sz w:val="18"/>
          <w:szCs w:val="18"/>
          <w:b w:val="1"/>
          <w:bCs w:val="1"/>
          <w:color w:val="auto"/>
        </w:rPr>
        <w:t>Licensed Services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Licensor has agreed to grant a license to Licensee to use the Trademarks and Recipes in accordance with the terms and conditions of this Agreement.</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herein exchanged, and for other good and valuable consideration, the receipt and adequacy of which is hereby acknowledged, the Parties agree, and covenant as follows:</w:t>
      </w:r>
    </w:p>
    <w:p>
      <w:pPr>
        <w:spacing w:after="0" w:line="158" w:lineRule="exact"/>
        <w:rPr>
          <w:sz w:val="20"/>
          <w:szCs w:val="20"/>
          <w:color w:val="auto"/>
        </w:rPr>
      </w:pPr>
    </w:p>
    <w:p>
      <w:pPr>
        <w:ind w:left="180" w:hanging="172"/>
        <w:spacing w:after="0"/>
        <w:tabs>
          <w:tab w:leader="none" w:pos="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1.1 Pursuant to the terms and conditions herein, Licensor hereby grants to Licensee a limited, non-transferable, exclusive, non-sublicensable license to use the Trademarks and Recipes in connection with the Licensed Services within the United States during the Term (as defined below). It is understood that Licensee, without Licensor’s prior written consent, may not use the Trademarks or Recipes for any purpose other than as contemplated herein.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w:t>
      </w:r>
    </w:p>
    <w:p>
      <w:pPr>
        <w:spacing w:after="0" w:line="172" w:lineRule="exact"/>
        <w:rPr>
          <w:sz w:val="20"/>
          <w:szCs w:val="20"/>
          <w:color w:val="auto"/>
        </w:rPr>
      </w:pPr>
    </w:p>
    <w:p>
      <w:pPr>
        <w:ind w:left="180" w:hanging="172"/>
        <w:spacing w:after="0"/>
        <w:tabs>
          <w:tab w:leader="none" w:pos="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Consideration for the transactions contemplated under this Agreement is as described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2.2 Licensor shall have ten (10) business days after receipt of the Calculation Statement for each applicable period (in each case, the “</w:t>
      </w: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review the Calculation Statement. During the Review Period, Licensor and its representatives shall have the right to inspect Licensee’s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to Licensee. Any Objection Notice shall specify the items in the applicable calculation disputed by Licensor and shall describe in reasonable detail 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6" w:name="page117"/>
    <w:bookmarkEnd w:id="116"/>
    <w:p>
      <w:pPr>
        <w:ind w:left="180" w:hanging="172"/>
        <w:spacing w:after="0"/>
        <w:tabs>
          <w:tab w:leader="none" w:pos="1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commence as of the Effective Date and shall continue in perpetuity unless and until terminated in accordance with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72"/>
        <w:spacing w:after="0" w:line="258" w:lineRule="auto"/>
        <w:rPr>
          <w:sz w:val="20"/>
          <w:szCs w:val="20"/>
          <w:color w:val="auto"/>
        </w:rPr>
      </w:pPr>
      <w:r>
        <w:rPr>
          <w:rFonts w:ascii="Times New Roman" w:cs="Times New Roman" w:eastAsia="Times New Roman" w:hAnsi="Times New Roman"/>
          <w:sz w:val="18"/>
          <w:szCs w:val="18"/>
          <w:color w:val="auto"/>
        </w:rPr>
        <w:t>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w:t>
      </w:r>
    </w:p>
    <w:p>
      <w:pPr>
        <w:spacing w:after="0" w:line="183"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18"/>
          <w:szCs w:val="18"/>
          <w:color w:val="auto"/>
        </w:rPr>
        <w:t>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w:t>
      </w:r>
    </w:p>
    <w:p>
      <w:pPr>
        <w:spacing w:after="0" w:line="183" w:lineRule="exact"/>
        <w:rPr>
          <w:sz w:val="20"/>
          <w:szCs w:val="20"/>
          <w:color w:val="auto"/>
        </w:rPr>
      </w:pPr>
    </w:p>
    <w:p>
      <w:pPr>
        <w:ind w:right="580" w:firstLine="972"/>
        <w:spacing w:after="0" w:line="282" w:lineRule="auto"/>
        <w:rPr>
          <w:sz w:val="20"/>
          <w:szCs w:val="20"/>
          <w:color w:val="auto"/>
        </w:rPr>
      </w:pPr>
      <w:r>
        <w:rPr>
          <w:rFonts w:ascii="Times New Roman" w:cs="Times New Roman" w:eastAsia="Times New Roman" w:hAnsi="Times New Roman"/>
          <w:sz w:val="18"/>
          <w:szCs w:val="18"/>
          <w:color w:val="auto"/>
        </w:rPr>
        <w:t>3.2.3 Notwithstanding any other provision of this Agreement, this Agreement may be terminated at any time with immediate effect by Licensor upon written notice from Licensor to Licensee.</w:t>
      </w:r>
    </w:p>
    <w:p>
      <w:pPr>
        <w:spacing w:after="0" w:line="158" w:lineRule="exact"/>
        <w:rPr>
          <w:sz w:val="20"/>
          <w:szCs w:val="20"/>
          <w:color w:val="auto"/>
        </w:rPr>
      </w:pPr>
    </w:p>
    <w:p>
      <w:pPr>
        <w:ind w:firstLine="8"/>
        <w:spacing w:after="0" w:line="254" w:lineRule="auto"/>
        <w:tabs>
          <w:tab w:leader="none" w:pos="1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Standards; Insurance</w:t>
      </w:r>
      <w:r>
        <w:rPr>
          <w:rFonts w:ascii="Times New Roman" w:cs="Times New Roman" w:eastAsia="Times New Roman" w:hAnsi="Times New Roman"/>
          <w:sz w:val="18"/>
          <w:szCs w:val="18"/>
          <w:color w:val="auto"/>
        </w:rPr>
        <w:t>. Licensee shall use its commercially reasonable efforts to maintain the same high-quality standards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7" w:name="page118"/>
    <w:bookmarkEnd w:id="117"/>
    <w:p>
      <w:pPr>
        <w:ind w:left="180" w:hanging="172"/>
        <w:spacing w:after="0"/>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By Licensor</w:t>
      </w:r>
      <w:r>
        <w:rPr>
          <w:rFonts w:ascii="Times New Roman" w:cs="Times New Roman" w:eastAsia="Times New Roman" w:hAnsi="Times New Roman"/>
          <w:sz w:val="18"/>
          <w:szCs w:val="18"/>
          <w:color w:val="auto"/>
        </w:rPr>
        <w:t>. Licensor hereby represents and warrants as follows:</w:t>
      </w:r>
    </w:p>
    <w:p>
      <w:pPr>
        <w:spacing w:after="0" w:line="229" w:lineRule="exact"/>
        <w:rPr>
          <w:sz w:val="20"/>
          <w:szCs w:val="20"/>
          <w:color w:val="auto"/>
        </w:rPr>
      </w:pPr>
    </w:p>
    <w:p>
      <w:pPr>
        <w:ind w:right="340" w:firstLine="972"/>
        <w:spacing w:after="0" w:line="282" w:lineRule="auto"/>
        <w:rPr>
          <w:sz w:val="20"/>
          <w:szCs w:val="20"/>
          <w:color w:val="auto"/>
        </w:rPr>
      </w:pPr>
      <w:r>
        <w:rPr>
          <w:rFonts w:ascii="Times New Roman" w:cs="Times New Roman" w:eastAsia="Times New Roman" w:hAnsi="Times New Roman"/>
          <w:sz w:val="18"/>
          <w:szCs w:val="18"/>
          <w:color w:val="auto"/>
        </w:rPr>
        <w:t>5.1.1 That it (or its affiliates) is the exclusive owner of the Trademarks and the Recipes and has the valid and enforceable right to use and license to others, the Trademarks and the Recipes; and</w:t>
      </w:r>
    </w:p>
    <w:p>
      <w:pPr>
        <w:spacing w:after="0" w:line="162" w:lineRule="exact"/>
        <w:rPr>
          <w:sz w:val="20"/>
          <w:szCs w:val="20"/>
          <w:color w:val="auto"/>
        </w:rPr>
      </w:pPr>
    </w:p>
    <w:p>
      <w:pPr>
        <w:ind w:right="80" w:firstLine="972"/>
        <w:spacing w:after="0" w:line="282" w:lineRule="auto"/>
        <w:rPr>
          <w:sz w:val="20"/>
          <w:szCs w:val="20"/>
          <w:color w:val="auto"/>
        </w:rPr>
      </w:pPr>
      <w:r>
        <w:rPr>
          <w:rFonts w:ascii="Times New Roman" w:cs="Times New Roman" w:eastAsia="Times New Roman" w:hAnsi="Times New Roman"/>
          <w:sz w:val="18"/>
          <w:szCs w:val="18"/>
          <w:color w:val="auto"/>
        </w:rPr>
        <w:t>5.1.2 That, to the best of its knowledge, no other party has asserted any claim of any rights, titles or interest in the Trademarks or the Recipes adverse to Licensor’s rights thereof; and</w:t>
      </w:r>
    </w:p>
    <w:p>
      <w:pPr>
        <w:spacing w:after="0" w:line="162" w:lineRule="exact"/>
        <w:rPr>
          <w:sz w:val="20"/>
          <w:szCs w:val="20"/>
          <w:color w:val="auto"/>
        </w:rPr>
      </w:pPr>
    </w:p>
    <w:p>
      <w:pPr>
        <w:ind w:right="80" w:firstLine="972"/>
        <w:spacing w:after="0" w:line="266" w:lineRule="auto"/>
        <w:rPr>
          <w:sz w:val="20"/>
          <w:szCs w:val="20"/>
          <w:color w:val="auto"/>
        </w:rPr>
      </w:pPr>
      <w:r>
        <w:rPr>
          <w:rFonts w:ascii="Times New Roman" w:cs="Times New Roman" w:eastAsia="Times New Roman" w:hAnsi="Times New Roman"/>
          <w:sz w:val="18"/>
          <w:szCs w:val="18"/>
          <w:color w:val="auto"/>
        </w:rPr>
        <w:t>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w:t>
      </w:r>
    </w:p>
    <w:p>
      <w:pPr>
        <w:spacing w:after="0" w:line="176" w:lineRule="exact"/>
        <w:rPr>
          <w:sz w:val="20"/>
          <w:szCs w:val="20"/>
          <w:color w:val="auto"/>
        </w:rPr>
      </w:pPr>
    </w:p>
    <w:p>
      <w:pPr>
        <w:ind w:right="40" w:firstLine="972"/>
        <w:spacing w:after="0" w:line="256" w:lineRule="auto"/>
        <w:rPr>
          <w:sz w:val="20"/>
          <w:szCs w:val="20"/>
          <w:color w:val="auto"/>
        </w:rPr>
      </w:pPr>
      <w:r>
        <w:rPr>
          <w:rFonts w:ascii="Times New Roman" w:cs="Times New Roman" w:eastAsia="Times New Roman" w:hAnsi="Times New Roman"/>
          <w:sz w:val="18"/>
          <w:szCs w:val="18"/>
          <w:color w:val="auto"/>
        </w:rPr>
        <w:t>5.1.4 That, to Licensor’s knowledge, the use of the Trademarks and the Recipes as currently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w:t>
      </w:r>
    </w:p>
    <w:p>
      <w:pPr>
        <w:spacing w:after="0" w:line="187" w:lineRule="exact"/>
        <w:rPr>
          <w:sz w:val="20"/>
          <w:szCs w:val="20"/>
          <w:color w:val="auto"/>
        </w:rPr>
      </w:pPr>
    </w:p>
    <w:p>
      <w:pPr>
        <w:ind w:right="320" w:firstLine="972"/>
        <w:spacing w:after="0" w:line="282" w:lineRule="auto"/>
        <w:rPr>
          <w:sz w:val="20"/>
          <w:szCs w:val="20"/>
          <w:color w:val="auto"/>
        </w:rPr>
      </w:pPr>
      <w:r>
        <w:rPr>
          <w:rFonts w:ascii="Times New Roman" w:cs="Times New Roman" w:eastAsia="Times New Roman" w:hAnsi="Times New Roman"/>
          <w:sz w:val="18"/>
          <w:szCs w:val="18"/>
          <w:color w:val="auto"/>
        </w:rPr>
        <w:t>5.1.5. That, to Licensor’s knowledge, the use of the Trademarks and the Recipes as contemplated under this Agreement, will not infringe, misappropriate or otherwise violate any third party right.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By Licensee</w:t>
      </w:r>
      <w:r>
        <w:rPr>
          <w:rFonts w:ascii="Times New Roman" w:cs="Times New Roman" w:eastAsia="Times New Roman" w:hAnsi="Times New Roman"/>
          <w:sz w:val="18"/>
          <w:szCs w:val="18"/>
          <w:color w:val="auto"/>
        </w:rPr>
        <w:t>. Licensee hereby represents and warrants as follows:</w:t>
      </w:r>
    </w:p>
    <w:p>
      <w:pPr>
        <w:spacing w:after="0" w:line="229" w:lineRule="exact"/>
        <w:rPr>
          <w:sz w:val="20"/>
          <w:szCs w:val="20"/>
          <w:color w:val="auto"/>
        </w:rPr>
      </w:pPr>
    </w:p>
    <w:p>
      <w:pPr>
        <w:jc w:val="both"/>
        <w:ind w:right="300" w:firstLine="972"/>
        <w:spacing w:after="0" w:line="266" w:lineRule="auto"/>
        <w:rPr>
          <w:sz w:val="20"/>
          <w:szCs w:val="20"/>
          <w:color w:val="auto"/>
        </w:rPr>
      </w:pPr>
      <w:r>
        <w:rPr>
          <w:rFonts w:ascii="Times New Roman" w:cs="Times New Roman" w:eastAsia="Times New Roman" w:hAnsi="Times New Roman"/>
          <w:sz w:val="18"/>
          <w:szCs w:val="18"/>
          <w:color w:val="auto"/>
        </w:rPr>
        <w:t>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5.2.2 That it has the full power, right and authority to enter into this Agreement and perform its obligations under this Agreement; and</w:t>
      </w:r>
    </w:p>
    <w:p>
      <w:pPr>
        <w:spacing w:after="0" w:line="225" w:lineRule="exact"/>
        <w:rPr>
          <w:sz w:val="20"/>
          <w:szCs w:val="20"/>
          <w:color w:val="auto"/>
        </w:rPr>
      </w:pPr>
    </w:p>
    <w:p>
      <w:pPr>
        <w:ind w:right="200" w:firstLine="972"/>
        <w:spacing w:after="0" w:line="266" w:lineRule="auto"/>
        <w:rPr>
          <w:sz w:val="20"/>
          <w:szCs w:val="20"/>
          <w:color w:val="auto"/>
        </w:rPr>
      </w:pPr>
      <w:r>
        <w:rPr>
          <w:rFonts w:ascii="Times New Roman" w:cs="Times New Roman" w:eastAsia="Times New Roman" w:hAnsi="Times New Roman"/>
          <w:sz w:val="18"/>
          <w:szCs w:val="18"/>
          <w:color w:val="auto"/>
        </w:rPr>
        <w:t>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w:t>
      </w:r>
    </w:p>
    <w:p>
      <w:pPr>
        <w:spacing w:after="0" w:line="176" w:lineRule="exact"/>
        <w:rPr>
          <w:sz w:val="20"/>
          <w:szCs w:val="20"/>
          <w:color w:val="auto"/>
        </w:rPr>
      </w:pPr>
    </w:p>
    <w:p>
      <w:pPr>
        <w:ind w:right="320" w:firstLine="972"/>
        <w:spacing w:after="0" w:line="282" w:lineRule="auto"/>
        <w:rPr>
          <w:sz w:val="20"/>
          <w:szCs w:val="20"/>
          <w:color w:val="auto"/>
        </w:rPr>
      </w:pPr>
      <w:r>
        <w:rPr>
          <w:rFonts w:ascii="Times New Roman" w:cs="Times New Roman" w:eastAsia="Times New Roman" w:hAnsi="Times New Roman"/>
          <w:sz w:val="18"/>
          <w:szCs w:val="18"/>
          <w:color w:val="auto"/>
        </w:rPr>
        <w:t>5.2.4 That it will use the Trademarks and the Recipes solely in connection with the Licensed Services unless it first obtains the consent of Licensor; and</w:t>
      </w:r>
    </w:p>
    <w:p>
      <w:pPr>
        <w:spacing w:after="0" w:line="16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5.2.5 That it will use the Trademarks and Recipes in compliance with all applicable laws and regulations and the guidelines and specifications provided by Licensor from time to time and not in any manner that, in the Licensor’s sole discretion, brings the Trademarks into disrepute.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w:t>
      </w:r>
    </w:p>
    <w:p>
      <w:pPr>
        <w:spacing w:after="0" w:line="180"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w:t>
      </w:r>
    </w:p>
    <w:p>
      <w:pPr>
        <w:spacing w:after="0" w:line="176" w:lineRule="exact"/>
        <w:rPr>
          <w:sz w:val="20"/>
          <w:szCs w:val="20"/>
          <w:color w:val="auto"/>
        </w:rPr>
      </w:pPr>
    </w:p>
    <w:p>
      <w:pPr>
        <w:jc w:val="both"/>
        <w:ind w:right="200" w:firstLine="8"/>
        <w:spacing w:after="0" w:line="291" w:lineRule="auto"/>
        <w:tabs>
          <w:tab w:leader="none" w:pos="22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Regulatory Approval</w:t>
      </w:r>
      <w:r>
        <w:rPr>
          <w:rFonts w:ascii="Times New Roman" w:cs="Times New Roman" w:eastAsia="Times New Roman" w:hAnsi="Times New Roman"/>
          <w:sz w:val="17"/>
          <w:szCs w:val="17"/>
          <w:color w:val="auto"/>
        </w:rPr>
        <w:t>. Notwithstanding anything to the contrary in this Agreement, this Agreement, and any agreement formed pursuant to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are subject to all applicable state cannabis or hemp laws. Without limiting the foregoing, each Party acknowledges that, if required by applicable law, notification of this Agreement may be filed by Licensee with the applicable state licensing and regulatory agency (as applicable, the “</w:t>
      </w:r>
      <w:r>
        <w:rPr>
          <w:rFonts w:ascii="Times New Roman" w:cs="Times New Roman" w:eastAsia="Times New Roman" w:hAnsi="Times New Roman"/>
          <w:sz w:val="17"/>
          <w:szCs w:val="17"/>
          <w:b w:val="1"/>
          <w:bCs w:val="1"/>
          <w:color w:val="auto"/>
        </w:rPr>
        <w:t>Regulator</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w:t>
      </w:r>
    </w:p>
    <w:p>
      <w:pPr>
        <w:spacing w:after="0" w:line="185" w:lineRule="exact"/>
        <w:rPr>
          <w:sz w:val="20"/>
          <w:szCs w:val="20"/>
          <w:color w:val="auto"/>
        </w:rPr>
      </w:pPr>
    </w:p>
    <w:p>
      <w:pPr>
        <w:ind w:right="140" w:firstLine="8"/>
        <w:spacing w:after="0" w:line="256" w:lineRule="auto"/>
        <w:tabs>
          <w:tab w:leader="none" w:pos="22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Infringement</w:t>
      </w:r>
      <w:r>
        <w:rPr>
          <w:rFonts w:ascii="Times New Roman" w:cs="Times New Roman" w:eastAsia="Times New Roman" w:hAnsi="Times New Roman"/>
          <w:sz w:val="18"/>
          <w:szCs w:val="18"/>
          <w:color w:val="auto"/>
        </w:rPr>
        <w:t>. Each Party shall notify the other in writing if such Party becomes aware of any use by third parties of any marks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upon the Trademarks (“</w:t>
      </w:r>
      <w:r>
        <w:rPr>
          <w:rFonts w:ascii="Times New Roman" w:cs="Times New Roman" w:eastAsia="Times New Roman" w:hAnsi="Times New Roman"/>
          <w:sz w:val="18"/>
          <w:szCs w:val="18"/>
          <w:b w:val="1"/>
          <w:bCs w:val="1"/>
          <w:color w:val="auto"/>
        </w:rPr>
        <w:t>Infringing Marks</w:t>
      </w:r>
      <w:r>
        <w:rPr>
          <w:rFonts w:ascii="Times New Roman" w:cs="Times New Roman" w:eastAsia="Times New Roman" w:hAnsi="Times New Roman"/>
          <w:sz w:val="18"/>
          <w:szCs w:val="18"/>
          <w:color w:val="auto"/>
        </w:rPr>
        <w:t>”).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9" w:name="page120"/>
    <w:bookmarkEnd w:id="119"/>
    <w:p>
      <w:pPr>
        <w:ind w:left="180" w:hanging="172"/>
        <w:spacing w:after="0"/>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Counterpart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Licensor: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VCP IP Holdings,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1300" w:right="8360" w:firstLine="4"/>
        <w:spacing w:after="0" w:line="260" w:lineRule="auto"/>
        <w:tabs>
          <w:tab w:leader="none" w:pos="16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Email: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Licensee: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Core Growth,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9" w:lineRule="exact"/>
        <w:rPr>
          <w:sz w:val="20"/>
          <w:szCs w:val="20"/>
          <w:color w:val="auto"/>
        </w:rPr>
      </w:pPr>
    </w:p>
    <w:p>
      <w:pPr>
        <w:ind w:left="1300" w:right="8740" w:firstLine="4"/>
        <w:spacing w:after="0" w:line="260" w:lineRule="auto"/>
        <w:tabs>
          <w:tab w:leader="none" w:pos="16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Asher Email:</w:t>
      </w:r>
    </w:p>
    <w:p>
      <w:pPr>
        <w:spacing w:after="0" w:line="1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w:t>
      </w:r>
    </w:p>
    <w:p>
      <w:pPr>
        <w:spacing w:after="0" w:line="182" w:lineRule="exact"/>
        <w:rPr>
          <w:sz w:val="20"/>
          <w:szCs w:val="20"/>
          <w:color w:val="auto"/>
        </w:rPr>
      </w:pPr>
    </w:p>
    <w:p>
      <w:pPr>
        <w:ind w:right="5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w:t>
      </w:r>
    </w:p>
    <w:p>
      <w:pPr>
        <w:spacing w:after="0" w:line="17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color w:val="auto"/>
        </w:rPr>
        <w:t>.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0" w:name="page121"/>
    <w:bookmarkEnd w:id="120"/>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w:t>
      </w:r>
    </w:p>
    <w:p>
      <w:pPr>
        <w:spacing w:after="0" w:line="19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and their respective successors, assigns, heirs, legal representatives and trustees.</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Independent Parties</w:t>
      </w:r>
      <w:r>
        <w:rPr>
          <w:rFonts w:ascii="Times New Roman" w:cs="Times New Roman" w:eastAsia="Times New Roman" w:hAnsi="Times New Roman"/>
          <w:sz w:val="18"/>
          <w:szCs w:val="18"/>
          <w:color w:val="auto"/>
        </w:rPr>
        <w:t>.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[Signatures appear on the following page.]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VCP IP HOLDINGS,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GROWTH,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Anthony Georgiadis</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bottom w:val="single" w:sz="8" w:color="auto"/>
            </w:tcBorders>
          </w:tcPr>
          <w:p>
            <w:pPr>
              <w:spacing w:after="0"/>
              <w:rPr>
                <w:sz w:val="2"/>
                <w:szCs w:val="2"/>
                <w:color w:val="auto"/>
              </w:rPr>
            </w:pPr>
          </w:p>
        </w:tc>
        <w:tc>
          <w:tcPr>
            <w:tcW w:w="280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Georgiadis</w:t>
            </w:r>
          </w:p>
        </w:tc>
        <w:tc>
          <w:tcPr>
            <w:tcW w:w="2800" w:type="dxa"/>
            <w:vAlign w:val="bottom"/>
            <w:vMerge w:val="continue"/>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as described below . Within 30 days following the end of each calendar month, Licensee will include a statement that sets forth in reasonable detail a calculation of any fees due to Licensor with respect to such calendar month (the “</w:t>
      </w:r>
      <w:r>
        <w:rPr>
          <w:rFonts w:ascii="Times New Roman" w:cs="Times New Roman" w:eastAsia="Times New Roman" w:hAnsi="Times New Roman"/>
          <w:sz w:val="17"/>
          <w:szCs w:val="17"/>
          <w:b w:val="1"/>
          <w:bCs w:val="1"/>
          <w:color w:val="auto"/>
        </w:rPr>
        <w:t>Calculation Statement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Net Revenue</w:t>
      </w:r>
      <w:r>
        <w:rPr>
          <w:rFonts w:ascii="Times New Roman" w:cs="Times New Roman" w:eastAsia="Times New Roman" w:hAnsi="Times New Roman"/>
          <w:sz w:val="17"/>
          <w:szCs w:val="17"/>
          <w:color w:val="auto"/>
        </w:rPr>
        <w:t>” shall mean (i) total sales made to customers, reduced for discounts, returns, and allowances related to those sales, and (ii) any revenue received from sublicensing rights granted under Section 1 of this Agreement.</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Such fees shall be payable either in cash or, if mutually agreed upon by Licensee and Licensor, in the form of common stock or pre-funded warrants to purchase the common stock of Licensee’s affiliate, Agrify Corporation. Notwithstanding anything contained herein to the contrary, the Licensor shall not be entitled receive shares of common stock or to exercise any pre-funded warrants until the Company has obtained the approval of the stockholders of Agrify Corporation for such issuance to the extent that Agrify Corporation determines that such approval is required under Nasdaq Rule 5635, and any pre-funded warrants so issued shall include any limitations on beneficial ownership required to comply with such rule. To the extent that such fees are payable in the form of pre-funded warrants or common stock, the number of pre-funded warrants or common stock issuable, as applicable, shall be determined by dividing (i) the applicable dollar amount of the fees by (ii) $26.68.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shall be as set forth in the schedule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3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3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of Net</w:t>
            </w:r>
          </w:p>
        </w:tc>
      </w:tr>
      <w:tr>
        <w:trPr>
          <w:trHeight w:val="24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7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7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7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 and on</w:t>
            </w:r>
          </w:p>
        </w:tc>
        <w:tc>
          <w:tcPr>
            <w:tcW w:w="7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655"/>
        </w:trPr>
        <w:tc>
          <w:tcPr>
            <w:tcW w:w="33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AMENDED AND RESTATED SHARED SERVICES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Parties Signatory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20,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0" w:type="dxa"/>
            <w:vAlign w:val="bottom"/>
            <w:tcBorders>
              <w:bottom w:val="single" w:sz="8" w:color="CCEEFF"/>
            </w:tcBorders>
          </w:tcPr>
          <w:p>
            <w:pPr>
              <w:spacing w:after="0"/>
              <w:rPr>
                <w:sz w:val="22"/>
                <w:szCs w:val="22"/>
                <w:color w:val="auto"/>
              </w:rPr>
            </w:pPr>
          </w:p>
        </w:tc>
        <w:tc>
          <w:tcPr>
            <w:tcW w:w="9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 TO PROVIDE SERVICES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FEES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REPORTING; TIMING OF PAYMENTS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STANDARDS FOR PERFORMANCE OF SERVICE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ACCESS TO EMPLOYEES AND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FORCE MAJEURE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INDEMNIFICATION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SERVICE RECIPIENTS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AND TERMINATION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AMENDED AND RESTATED SHARED SERVICES AGREEMENT</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SHARED SERVICES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20, 2025, by and among Vision Management Services, LLC, a Delaware limited liability company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VMS</w:t>
      </w:r>
      <w:r>
        <w:rPr>
          <w:rFonts w:ascii="Times New Roman" w:cs="Times New Roman" w:eastAsia="Times New Roman" w:hAnsi="Times New Roman"/>
          <w:sz w:val="18"/>
          <w:szCs w:val="18"/>
          <w:color w:val="auto"/>
        </w:rPr>
        <w:t xml:space="preserve">”) and Agrify Corporation, a Nevada corporation, and its subsidiaries (as set forth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Service Provider and the Service Recipients are referred to collectively as the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Service Provider is engaged in the business of providing administrative, consulting, and management services to Service Recipients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fees (“Service Fees”) and has the capacity to furnish Service Recipients with such services as are identified in Schedules A-C attached hereto (collectively,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Service Provider and Service Recipients previously entered into that certain Shared Services Agreement, dated as of December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Service Provider and Service Recipients desire to amend and restate the Prior Agreement in its entirety on the terms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promises contained herein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acknowledged by the Parties, the Parties agree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TERMS AND CONDITIONS</w:t>
      </w:r>
    </w:p>
    <w:p>
      <w:pPr>
        <w:spacing w:after="0" w:line="225" w:lineRule="exact"/>
        <w:rPr>
          <w:sz w:val="20"/>
          <w:szCs w:val="20"/>
          <w:color w:val="auto"/>
        </w:rPr>
      </w:pPr>
    </w:p>
    <w:p>
      <w:pPr>
        <w:ind w:left="840" w:hanging="184"/>
        <w:spacing w:after="0"/>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Provide Services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Upon the terms and subject to the conditions contained herein and in the Schedules attached hereto (each, as it may be amended from time to time, a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the Service Provider hereby agrees to provide to the Service Recipients the Services listed in the Schedules. Each of the Services shall be provided and accepted in accordance with the terms, limitations and conditions set forth herein and in the Schedules.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Scope of Services</w:t>
      </w:r>
      <w:r>
        <w:rPr>
          <w:rFonts w:ascii="Times New Roman" w:cs="Times New Roman" w:eastAsia="Times New Roman" w:hAnsi="Times New Roman"/>
          <w:sz w:val="18"/>
          <w:szCs w:val="18"/>
          <w:color w:val="auto"/>
        </w:rPr>
        <w:t>. The Parties agree that upon the terms and subject to the conditions contained herein, additional or new services which are not currently contemplated in this Agreement may be added by the Parties to the Schedules from time to time.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25" w:name="page126"/>
    <w:bookmarkEnd w:id="125"/>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Review of Services</w:t>
      </w:r>
      <w:r>
        <w:rPr>
          <w:rFonts w:ascii="Times New Roman" w:cs="Times New Roman" w:eastAsia="Times New Roman" w:hAnsi="Times New Roman"/>
          <w:sz w:val="18"/>
          <w:szCs w:val="18"/>
          <w:color w:val="auto"/>
        </w:rPr>
        <w:t xml:space="preserve">. The Parties agree that: (i) the scope, frequency and manner of delivery of the Services detailed herein are subject to periodic review by the Parties; (ii) changes to any of the Services (including the addition or deletion of services) may be made at any time if agreed to by the Parties; and (iii) this Agreement may be amended from time to time according to the terms set out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Right to Deliver and Request Instructions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 The Service Recipients, acting through any of its authorized officers, may from time to time deliver to the Service Provider instructions with respect to matters arising under this Agreement, and the Service Provider shall follow such instructions provided they are consistent with the terms and conditions of this Agreement.</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 At any time, any Service Provider may, if it reasonably deems it necessary or appropriate, request instructions from a Service Recipient, within a reasonable period prior to the time necessary for taking action with respect to any matter contemplated by this Agreement, and may defer action thereon pending receipt of such instructions. Any action taken by the Service Provider, its officers, directors, employees, agents or representatives in accordance with the instructions of a Service Recipient, or failure to act by the Service Provider pending the receipt of such instructions after request therefor, shall be deemed to be proper conduct within the scope of service authority under this Agreement.</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Service Designees</w:t>
      </w:r>
      <w:r>
        <w:rPr>
          <w:rFonts w:ascii="Times New Roman" w:cs="Times New Roman" w:eastAsia="Times New Roman" w:hAnsi="Times New Roman"/>
          <w:sz w:val="18"/>
          <w:szCs w:val="18"/>
          <w:color w:val="auto"/>
        </w:rPr>
        <w:t>. The Service Provider may perform the Services to be provided hereunder through its own officers and employees, or through agents, independent contractors or other parties designated by it (collectively, the “</w:t>
      </w:r>
      <w:r>
        <w:rPr>
          <w:rFonts w:ascii="Times New Roman" w:cs="Times New Roman" w:eastAsia="Times New Roman" w:hAnsi="Times New Roman"/>
          <w:sz w:val="18"/>
          <w:szCs w:val="18"/>
          <w:u w:val="single" w:color="auto"/>
          <w:color w:val="auto"/>
        </w:rPr>
        <w:t>Service Provider Personnel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hanging="184"/>
        <w:spacing w:after="0"/>
        <w:tabs>
          <w:tab w:leader="none" w:pos="8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Fees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2.1. The Service Provider will be compensated by each Service Recipient in an amount determined based on the actual costs incurred by the Service Provider in connection with providing such Services, including but not limited to the portion of the applicable salary, bonus, equity incentive compensation cost, health care, and any other benefits provided along with reimbursable expenses payable by the Service Provider with respect to the applicable Services.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2.2 With respect to Services provided by Service Provider Personnel who are not dedicated solely to providing Services to the Service Recipients, such costs shall be multiplied by 125% (the “</w:t>
      </w:r>
      <w:r>
        <w:rPr>
          <w:rFonts w:ascii="Times New Roman" w:cs="Times New Roman" w:eastAsia="Times New Roman" w:hAnsi="Times New Roman"/>
          <w:sz w:val="18"/>
          <w:szCs w:val="18"/>
          <w:u w:val="single" w:color="auto"/>
          <w:color w:val="auto"/>
        </w:rPr>
        <w:t>Indirect Costs</w:t>
      </w:r>
      <w:r>
        <w:rPr>
          <w:rFonts w:ascii="Times New Roman" w:cs="Times New Roman" w:eastAsia="Times New Roman" w:hAnsi="Times New Roman"/>
          <w:sz w:val="18"/>
          <w:szCs w:val="18"/>
          <w:color w:val="auto"/>
        </w:rPr>
        <w:t>”). With respect to third-party costs and any Services provided by Service Provider Personnel who are dedicated solely to providing Services to the Service Recipients, such costs shall be multiplied by 100% (the “</w:t>
      </w:r>
      <w:r>
        <w:rPr>
          <w:rFonts w:ascii="Times New Roman" w:cs="Times New Roman" w:eastAsia="Times New Roman" w:hAnsi="Times New Roman"/>
          <w:sz w:val="18"/>
          <w:szCs w:val="18"/>
          <w:u w:val="single" w:color="auto"/>
          <w:color w:val="auto"/>
        </w:rPr>
        <w:t>Direct Costs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2.3 The Service Recipients and Service Provider agree that unless otherwise approved in writing by the Parties, the Indirect Costs shall not exceed $3,000,000 per one year Term.</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6" w:name="page127"/>
    <w:bookmarkEnd w:id="126"/>
    <w:p>
      <w:pPr>
        <w:ind w:firstLine="656"/>
        <w:spacing w:after="0" w:line="254" w:lineRule="auto"/>
        <w:tabs>
          <w:tab w:leader="none" w:pos="8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Timing of Payments</w:t>
      </w:r>
      <w:r>
        <w:rPr>
          <w:rFonts w:ascii="Times New Roman" w:cs="Times New Roman" w:eastAsia="Times New Roman" w:hAnsi="Times New Roman"/>
          <w:sz w:val="18"/>
          <w:szCs w:val="18"/>
          <w:color w:val="auto"/>
        </w:rPr>
        <w:t>. The Service Provider shall submit a statement to the Service Recipients no later than twenty (20) calendar days after the end of each quarter (unless otherwise agreed to by the Parties), with respect to the amount payable by such Service Recipient for such period (a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Unless any such Service Recipient disagrees as to the amounts payable as set forth in the Statement, all Statements shall be settled not later than ninety (90) calendar days following receipt by the Service Recipient from the Service Provider of such Statement relating to the Services provided. To the extent permitted under the applicable rules and regulations of the principal stock exchange on which the common stock, par value $0.001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of Agrify Corporation is then listed, upon mutual agreement of the Service Provider and the Service Recipient, the Service Provider may receive payments due pursuant to this Agreement in the form of pre-funded warrants to purchase Common Stock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in lieu of payment in cash, with the number of Pre-Funded Warrants being determined by dividing (i) the amount payable pursuant to the applicable Statement by (ii) $26.68.</w:t>
      </w:r>
    </w:p>
    <w:p>
      <w:pPr>
        <w:spacing w:after="0" w:line="188" w:lineRule="exact"/>
        <w:rPr>
          <w:rFonts w:ascii="Times New Roman" w:cs="Times New Roman" w:eastAsia="Times New Roman" w:hAnsi="Times New Roman"/>
          <w:sz w:val="18"/>
          <w:szCs w:val="18"/>
          <w:color w:val="auto"/>
        </w:rPr>
      </w:pPr>
    </w:p>
    <w:p>
      <w:pPr>
        <w:ind w:right="120" w:firstLine="656"/>
        <w:spacing w:after="0" w:line="258" w:lineRule="auto"/>
        <w:tabs>
          <w:tab w:leader="none" w:pos="8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Standards for Performance of Service</w:t>
      </w:r>
      <w:r>
        <w:rPr>
          <w:rFonts w:ascii="Times New Roman" w:cs="Times New Roman" w:eastAsia="Times New Roman" w:hAnsi="Times New Roman"/>
          <w:sz w:val="18"/>
          <w:szCs w:val="18"/>
          <w:color w:val="auto"/>
        </w:rPr>
        <w:t>. The Service Recipients acknowledge and agree that the Services provided by Service Provider (as set forth in Schedule A, Schedule B, and Schedule C, and as otherwise agreed to by the parties from time to time) are based on the information, documentation, and representations provided by the Service Recipients. The Service Recipients further acknowledge that while the Service Provider shall perform its obligations hereunder in a prudent and efficient manner and in accordance with applicable law and good industry practice Service Provider makes no guarantees, warranties, or representations regarding the outcomes or results of any of the Services.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Employees and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At the request of the Service Recipients, the Service Provider shall, and shall cause its affiliates to, use its commercially reasonable efforts to provide for consultation with the Service Recipient, shortly after such request, its employees providing Services hereunder. At the request of any Service Recipient, the Service Provider shall make available information relating to such Service Provider’s business.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Service Provider hereby agrees that, upon reasonable notice from the Service Recipients, it shall make its books and records with respect to Services and payment therefor available to the Service Recipient for inspection during normal business hours at the Service Provider’s principal place of business.</w:t>
      </w:r>
    </w:p>
    <w:p>
      <w:pPr>
        <w:spacing w:after="0" w:line="176" w:lineRule="exact"/>
        <w:rPr>
          <w:sz w:val="20"/>
          <w:szCs w:val="20"/>
          <w:color w:val="auto"/>
        </w:rPr>
      </w:pPr>
    </w:p>
    <w:p>
      <w:pPr>
        <w:ind w:firstLine="656"/>
        <w:spacing w:after="0" w:line="255" w:lineRule="auto"/>
        <w:tabs>
          <w:tab w:leader="none" w:pos="8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liable for any failure of performance attributable to acts, events or causes (including, but not limited to, war, riot, rebellion, civil disturbances, power failures, failure of telephone lines and equipment, flood, storm, fire and earthquake or other acts of God or conditions or events of nature, or any law, order, proclamation, regulation, ordinance, demand or requirement of any governmental authority) beyond its control that prevent in whole or in part performance by such Party hereunder. The affected provisions and/or other requirements of this Agreement shall be suspended during the period of such disability and Service Provider shall not have any liability to the Service Recipients or any other Party in connection therewith. The Service Provider shall make all reasonable commercial efforts to remove such disability as soon as and to the extent reasonably possible and to assist the Service Recipients in finding third parties to provide affected Services during the period of such disability.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7" w:name="page128"/>
    <w:bookmarkEnd w:id="127"/>
    <w:p>
      <w:pPr>
        <w:ind w:firstLine="656"/>
        <w:spacing w:after="0" w:line="256" w:lineRule="auto"/>
        <w:tabs>
          <w:tab w:leader="none" w:pos="8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fullest extent permitted by applicable law, the Service Recipients shall indemnify, defend and hold harmless the Service Provider, its officers, directors, employees, agents and representatives from and against any and all losses, liabilities, claims, damages, actions, fines, penalties, expenses or costs (including court costs and reasonable attorneys’ fees)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suffered or incurred by any such Person arising from or in connection with any Service Provider’ performance or non- performance of any covenant, agreement or obligation of the Service Provider hereunder, other than by reason of the Service Provider’s gross negligence or willful misconduct.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any termination or expiration of this Agreement.</w:t>
      </w:r>
    </w:p>
    <w:p>
      <w:pPr>
        <w:spacing w:after="0" w:line="187" w:lineRule="exact"/>
        <w:rPr>
          <w:rFonts w:ascii="Times New Roman" w:cs="Times New Roman" w:eastAsia="Times New Roman" w:hAnsi="Times New Roman"/>
          <w:sz w:val="18"/>
          <w:szCs w:val="18"/>
          <w:color w:val="auto"/>
        </w:rPr>
      </w:pPr>
    </w:p>
    <w:p>
      <w:pPr>
        <w:ind w:right="780" w:firstLine="656"/>
        <w:spacing w:after="0" w:line="282" w:lineRule="auto"/>
        <w:tabs>
          <w:tab w:leader="none" w:pos="8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Service Recipients</w:t>
      </w:r>
      <w:r>
        <w:rPr>
          <w:rFonts w:ascii="Times New Roman" w:cs="Times New Roman" w:eastAsia="Times New Roman" w:hAnsi="Times New Roman"/>
          <w:sz w:val="18"/>
          <w:szCs w:val="18"/>
          <w:color w:val="auto"/>
        </w:rPr>
        <w:t>. Unless otherwise agreed to in writing between the Parties, any new subsidiaries of Agrify Corporation shall automatically become Service Recipients under this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 of Services</w:t>
      </w:r>
      <w:r>
        <w:rPr>
          <w:rFonts w:ascii="Times New Roman" w:cs="Times New Roman" w:eastAsia="Times New Roman" w:hAnsi="Times New Roman"/>
          <w:sz w:val="18"/>
          <w:szCs w:val="18"/>
          <w:color w:val="auto"/>
        </w:rPr>
        <w:t>. The term of this Agreement (the “Term”) shall be one (1) year beginning from its date of execution, provided that such term shall renew automatically for successive terms of one (1) year if not cancelled in writing by either Party within thirty (30) day of the end of the Term. Either party may terminate this Agreement, for any reason or no reason, upon providing 90 days’ written notice.</w:t>
      </w:r>
    </w:p>
    <w:p>
      <w:pPr>
        <w:spacing w:after="0" w:line="176" w:lineRule="exact"/>
        <w:rPr>
          <w:sz w:val="20"/>
          <w:szCs w:val="20"/>
          <w:color w:val="auto"/>
        </w:rPr>
      </w:pPr>
    </w:p>
    <w:p>
      <w:pPr>
        <w:ind w:left="920" w:hanging="264"/>
        <w:spacing w:after="0"/>
        <w:tabs>
          <w:tab w:leader="none" w:pos="9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Except as set forth below, this Agreement and the rights and obligations hereunder shall not be assigned or transferred in whole or in part by any Party hereto without the prior written consent of both Parties. Any attempted assignment or delegation in contravention hereof shall be null and void. This Agreement shall be binding upon and inure to the benefit of the successors and assigns of the Parties hereto. Written consent by the Service Recipients is not required for Service Provider to outsource certain work that it deems necessary as long as such Services are otherwise provided in accordance with this Agreement. Service Provider will make all commercially reasonable efforts to use outsourced providers at reasonable costs and that Service Provider would reasonably pay for such services if engaged for its own needs.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for the sole benefit of the Parties hereto, and nothing herein expressed or implied shall give or be construed to give to any person or entity, other than the Parties hereto, any legal or equitable rights hereunder.</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none of the remedies set forth in this Agreement is intended to be exclusive, and each Party shall have all other remedies now or hereafter existing at law or in equity or by statute or otherwise, and the election of any one or more remedies shall not constitute a waiver of the right to pursue other available remedies. Nothing contained herein shall be deemed to be a limitation on any remedies that otherwise may exist or be available to any party under any other agreements between the Parties.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8" w:name="page129"/>
    <w:bookmarkEnd w:id="128"/>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Interpretation; Definitions</w:t>
      </w:r>
      <w:r>
        <w:rPr>
          <w:rFonts w:ascii="Times New Roman" w:cs="Times New Roman" w:eastAsia="Times New Roman" w:hAnsi="Times New Roman"/>
          <w:sz w:val="18"/>
          <w:szCs w:val="18"/>
          <w:color w:val="auto"/>
        </w:rPr>
        <w:t>. The headings contained in this Agreement or in any Schedule hereto are for reference purposes only and shall not affect in any way the meaning or interpretation of this Agreement. The terms defined in the singular shall have a comparable meaning when used in the plural, and vice versa. This Agreement shall be construed without regard to any presumption or rule requiring construction or interpretation against the party drafting or causing any instrument to be drafted. When a reference is made in this Agreement to Sections or Schedules, such reference shall be to a Section of or Schedule to this Agreement unless otherwise indicated. Whenever the words “include,” “includes” or “including” are used in this Agreement, they shall be deemed to be followed by the words “without limitation.” The words “hereof,” “hereby,” “herein,” “hereunder” and similar terms in this Agreement shall refer to this Agreement as a whole (including the Schedules) and not to any particular Section in which such words appear. All references herein to dollar amounts shall be deemed to be references to U.S. Dollars.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The Parties hereto will periodically review this Agreement as to the reasonableness of its terms on at least an annual basis not later than three (3) months after the end of Agrify, Corporation’s accounting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 amendment to this Agreement shall be effective unless it shall be in writing and signed by both Parties.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10.6. Cooperation. The Service Recipients will provide all information that the Service Provider reasonably request for performance of the Services pursuant hereto, and the Service Recipients will cooperate with any reasonable request of the Service Provider in connection with the performance of the Services pursuant hereto.</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amendments hereto may be executed in one or more counterparts, all of which shall be considered one and the same agreement, and shall become effective when one or more such counterparts have been signed by each of the Parties.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any such provision to any Party or circumstance shall be held invalid, illegal or unenforceable in any respect by a court of competent jurisdiction, such invalidity, illegality or unenforceability shall not affect any other provision hereof.</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its conflict of laws principles.</w:t>
      </w:r>
    </w:p>
    <w:p>
      <w:pPr>
        <w:spacing w:after="0" w:line="16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event of any dispute, controversy, or claim arising out of or relating to this Agreement, including its interpretation, performance, or termination, the parties agree to first attempt to resolve the dispute through good faith discussions. Such discussions shall commence promptly upon written notice of the dispute by either party and shall continue for a period of no less than thirty (30) days from the date of the initial notice, unless the parties mutually agree to extend this period. If the dispute is not resolved through good faith discussions within 30 days, either party may submit the dispute for mediation. The mediation shall be conducted by a mutually agreed-upon mediator, and each party shall bear its own costs and an equal share of the mediator’s fees. If the parties cannot resolve the dispute through good faith mediation within thirty (30) calendar days of the commencement of the mediation process, the dispute may be submitted to binding arbitration. The arbitration shall be administered by the American Arbitration Association (AAA) in accordance with its Commercial Arbitration Rules. The arbitration shall be conducted before a single arbitrator, and the arbitrator’s decision shall be final and binding on the parties. The arbitration shall take place in Chicago, Illinois. Each party shall bear its own costs and expenses related to the arbitration, except as otherwise provided by the arbitrator’s decision.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as otherwise provided in this Agreement, any failure of any of the Parties hereto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 Any consent given by any party pursuant to this Agreement shall be valid only if contained in a written consent signed by such party.</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hereunder shall be in writing and shall be delivered by hand or sent by telecopy, or by postage prepaid, registered, certified or express mail or by reputable overnight courier service and shall be deemed given when delivered by hand or upon receipt of telecopy confirmation if sent by facsimile, three days after mailing (one (1) Business Day in the case of guaranteed overnight express mail or guaranteed overnight courier service), at the address for the entity receiving such notice that is kept by and may be requested from both parties. Both parties shall keep an accurate and current record of the addresses of all entities party hereto. Any party hereto may change its address in the records of by providing written instructions to the other party, specifying the new address of such entity.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Service Recipient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Brad Asher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Meadows, IL 60068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by email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Service Provider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MANAGEMENT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by email to</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0" w:name="page131"/>
    <w:bookmarkEnd w:id="13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Nothing contained in this Agreement shall be construed as creating a partnership, joint venture, agency, trust or other association of any kind, each party being individually responsible only for its obligations as set forth in this Agreement. Service Provider is given authority to enter into agreements and contracts on Service Recipient’s behalf, in relation to financial and legal services, such as accounting, tax, audit, insurance, legal, banking and consulting services, provided that they are necessary to complete the Services on behalf of Service Recipient. Banking and investment signing authority is listed in Schedule E. Notwithstanding the foregoing, the Service Recipient shall at all times maintain control over the functions of the Service Recipient that relate to the Services provided by the Service Provider, including, but not limited to, services related to accounting, tax, audit, insurance, legal and banking matters.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All Schedules annexed hereto or referred to herein are hereby incorporated in and made a part of this Agreement as if set forth in full herein.</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Schedules hereto) contains the entire agreement and understanding between the Parties hereto with respect to the subject matter hereof and supersedes all prior agreements and understandings, whether written or oral, relating to such subject matter, including, but not limited to, the Prior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this Agreement as of the date first above mentioned.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Management Services,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[SIGNATURE PAGE: SHARED SERVICES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lowerLetter"/>
      <w:start w:val="4"/>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2"/>
    </w:lvl>
  </w:abstractNum>
  <w:abstractNum w:abstractNumId="5">
    <w:nsid w:val="540A471C"/>
    <w:multiLevelType w:val="hybridMultilevel"/>
    <w:lvl w:ilvl="0">
      <w:lvlJc w:val="left"/>
      <w:lvlText w:val="(%1)"/>
      <w:numFmt w:val="upperLetter"/>
      <w:start w:val="1"/>
    </w:lvl>
  </w:abstractNum>
  <w:abstractNum w:abstractNumId="6">
    <w:nsid w:val="7BD3EE7B"/>
    <w:multiLevelType w:val="hybridMultilevel"/>
    <w:lvl w:ilvl="0">
      <w:lvlJc w:val="left"/>
      <w:lvlText w:val="(%1)"/>
      <w:numFmt w:val="upperLetter"/>
      <w:start w:val="24"/>
    </w:lvl>
  </w:abstractNum>
  <w:abstractNum w:abstractNumId="7">
    <w:nsid w:val="51D9C564"/>
    <w:multiLevelType w:val="hybridMultilevel"/>
    <w:lvl w:ilvl="0">
      <w:lvlJc w:val="left"/>
      <w:lvlText w:val="%1)"/>
      <w:numFmt w:val="lowerLetter"/>
      <w:start w:val="4"/>
    </w:lvl>
    <w:lvl w:ilvl="1">
      <w:lvlJc w:val="left"/>
      <w:lvlText w:val="%2."/>
      <w:numFmt w:val="lowerRoman"/>
      <w:start w:val="1"/>
    </w:lvl>
  </w:abstractNum>
  <w:abstractNum w:abstractNumId="8">
    <w:nsid w:val="613EFDC5"/>
    <w:multiLevelType w:val="hybridMultilevel"/>
    <w:lvl w:ilvl="0">
      <w:lvlJc w:val="left"/>
      <w:lvlText w:val="%1."/>
      <w:numFmt w:val="lowerRoman"/>
      <w:start w:val="2"/>
    </w:lvl>
  </w:abstractNum>
  <w:abstractNum w:abstractNumId="9">
    <w:nsid w:val="BF72B14"/>
    <w:multiLevelType w:val="hybridMultilevel"/>
    <w:lvl w:ilvl="0">
      <w:lvlJc w:val="left"/>
      <w:lvlText w:val="%1)"/>
      <w:numFmt w:val="lowerLetter"/>
      <w:start w:val="5"/>
    </w:lvl>
    <w:lvl w:ilvl="1">
      <w:lvlJc w:val="left"/>
      <w:lvlText w:val="%2."/>
      <w:numFmt w:val="lowerRoman"/>
      <w:start w:val="1"/>
    </w:lvl>
  </w:abstractNum>
  <w:abstractNum w:abstractNumId="10">
    <w:nsid w:val="11447B73"/>
    <w:multiLevelType w:val="hybridMultilevel"/>
    <w:lvl w:ilvl="0">
      <w:lvlJc w:val="left"/>
      <w:lvlText w:val="%1."/>
      <w:numFmt w:val="lowerRoman"/>
      <w:start w:val="2"/>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lowerLetter"/>
      <w:start w:val="4"/>
    </w:lvl>
  </w:abstractNum>
  <w:abstractNum w:abstractNumId="13">
    <w:nsid w:val="8F2B15E"/>
    <w:multiLevelType w:val="hybridMultilevel"/>
    <w:lvl w:ilvl="0">
      <w:lvlJc w:val="left"/>
      <w:lvlText w:val="%1)"/>
      <w:numFmt w:val="lowerLetter"/>
      <w:start w:val="5"/>
    </w:lvl>
    <w:lvl w:ilvl="1">
      <w:lvlJc w:val="left"/>
      <w:lvlText w:val="%2."/>
      <w:numFmt w:val="lowerRoman"/>
      <w:start w:val="1"/>
    </w:lvl>
  </w:abstractNum>
  <w:abstractNum w:abstractNumId="14">
    <w:nsid w:val="1A32234B"/>
    <w:multiLevelType w:val="hybridMultilevel"/>
    <w:lvl w:ilvl="0">
      <w:lvlJc w:val="left"/>
      <w:lvlText w:val="%1)"/>
      <w:numFmt w:val="lowerLetter"/>
      <w:start w:val="1"/>
    </w:lvl>
  </w:abstractNum>
  <w:abstractNum w:abstractNumId="15">
    <w:nsid w:val="3B0FD379"/>
    <w:multiLevelType w:val="hybridMultilevel"/>
    <w:lvl w:ilvl="0">
      <w:lvlJc w:val="left"/>
      <w:lvlText w:val="%1)"/>
      <w:numFmt w:val="lowerLetter"/>
      <w:start w:val="4"/>
    </w:lvl>
  </w:abstractNum>
  <w:abstractNum w:abstractNumId="16">
    <w:nsid w:val="68EB2F63"/>
    <w:multiLevelType w:val="hybridMultilevel"/>
    <w:lvl w:ilvl="0">
      <w:lvlJc w:val="left"/>
      <w:lvlText w:val="%1)"/>
      <w:numFmt w:val="lowerLetter"/>
      <w:start w:val="5"/>
    </w:lvl>
  </w:abstractNum>
  <w:abstractNum w:abstractNumId="17">
    <w:nsid w:val="4962813B"/>
    <w:multiLevelType w:val="hybridMultilevel"/>
    <w:lvl w:ilvl="0">
      <w:lvlJc w:val="left"/>
      <w:lvlText w:val="%1)"/>
      <w:numFmt w:val="lowerLetter"/>
      <w:start w:val="1"/>
    </w:lvl>
  </w:abstractNum>
  <w:abstractNum w:abstractNumId="18">
    <w:nsid w:val="60B6DF70"/>
    <w:multiLevelType w:val="hybridMultilevel"/>
    <w:lvl w:ilvl="0">
      <w:lvlJc w:val="left"/>
      <w:lvlText w:val="%1)"/>
      <w:numFmt w:val="lowerLetter"/>
      <w:start w:val="5"/>
    </w:lvl>
  </w:abstractNum>
  <w:abstractNum w:abstractNumId="19">
    <w:nsid w:val="6A5EE64"/>
    <w:multiLevelType w:val="hybridMultilevel"/>
    <w:lvl w:ilvl="0">
      <w:lvlJc w:val="left"/>
      <w:lvlText w:val="%1"/>
      <w:numFmt w:val="lowerRoman"/>
      <w:start w:val="1"/>
    </w:lvl>
    <w:lvl w:ilvl="1">
      <w:lvlJc w:val="left"/>
      <w:lvlText w:val="%2)"/>
      <w:numFmt w:val="lowerLetter"/>
      <w:start w:val="6"/>
    </w:lvl>
  </w:abstractNum>
  <w:abstractNum w:abstractNumId="20">
    <w:nsid w:val="14330624"/>
    <w:multiLevelType w:val="hybridMultilevel"/>
    <w:lvl w:ilvl="0">
      <w:lvlJc w:val="left"/>
      <w:lvlText w:val="(%1)"/>
      <w:numFmt w:val="lowerRoman"/>
      <w:start w:val="4"/>
    </w:lvl>
    <w:lvl w:ilvl="1">
      <w:lvlJc w:val="left"/>
      <w:lvlText w:val="%2"/>
      <w:numFmt w:val="lowerLetter"/>
      <w:start w:val="1"/>
    </w:lvl>
  </w:abstractNum>
  <w:abstractNum w:abstractNumId="21">
    <w:nsid w:val="7FFFCA11"/>
    <w:multiLevelType w:val="hybridMultilevel"/>
    <w:lvl w:ilvl="0">
      <w:lvlJc w:val="left"/>
      <w:lvlText w:val="%1)"/>
      <w:numFmt w:val="lowerLetter"/>
      <w:start w:val="9"/>
    </w:lvl>
  </w:abstractNum>
  <w:abstractNum w:abstractNumId="22">
    <w:nsid w:val="1A27709E"/>
    <w:multiLevelType w:val="hybridMultilevel"/>
    <w:lvl w:ilvl="0">
      <w:lvlJc w:val="left"/>
      <w:lvlText w:val="(%1)"/>
      <w:numFmt w:val="decimal"/>
      <w:start w:val="1"/>
    </w:lvl>
    <w:lvl w:ilvl="1">
      <w:lvlJc w:val="left"/>
      <w:lvlText w:val="☐"/>
      <w:numFmt w:val="bullet"/>
      <w:start w:val="1"/>
    </w:lvl>
  </w:abstractNum>
  <w:abstractNum w:abstractNumId="23">
    <w:nsid w:val="71EA1109"/>
    <w:multiLevelType w:val="hybridMultilevel"/>
    <w:lvl w:ilvl="0">
      <w:lvlJc w:val="left"/>
      <w:lvlText w:val="(%1)"/>
      <w:numFmt w:val="upperLetter"/>
      <w:start w:val="1"/>
    </w:lvl>
  </w:abstractNum>
  <w:abstractNum w:abstractNumId="24">
    <w:nsid w:val="100F59DC"/>
    <w:multiLevelType w:val="hybridMultilevel"/>
    <w:lvl w:ilvl="0">
      <w:lvlJc w:val="left"/>
      <w:lvlText w:val="(%1)"/>
      <w:numFmt w:val="upperLetter"/>
      <w:start w:val="1"/>
    </w:lvl>
  </w:abstractNum>
  <w:abstractNum w:abstractNumId="25">
    <w:nsid w:val="7FB7E0AA"/>
    <w:multiLevelType w:val="hybridMultilevel"/>
    <w:lvl w:ilvl="0">
      <w:lvlJc w:val="left"/>
      <w:lvlText w:val="(%1)"/>
      <w:numFmt w:val="upperLetter"/>
      <w:start w:val="1"/>
    </w:lvl>
  </w:abstractNum>
  <w:abstractNum w:abstractNumId="26">
    <w:nsid w:val="6EB5BD4"/>
    <w:multiLevelType w:val="hybridMultilevel"/>
    <w:lvl w:ilvl="0">
      <w:lvlJc w:val="left"/>
      <w:lvlText w:val="(%1)"/>
      <w:numFmt w:val="upperLetter"/>
      <w:start w:val="1"/>
    </w:lvl>
    <w:lvl w:ilvl="1">
      <w:lvlJc w:val="left"/>
      <w:lvlText w:val="(%2)"/>
      <w:numFmt w:val="lowerRoman"/>
      <w:start w:val="1"/>
    </w:lvl>
  </w:abstractNum>
  <w:abstractNum w:abstractNumId="27">
    <w:nsid w:val="6F6DD9AC"/>
    <w:multiLevelType w:val="hybridMultilevel"/>
    <w:lvl w:ilvl="0">
      <w:lvlJc w:val="left"/>
      <w:lvlText w:val="%1"/>
      <w:numFmt w:val="upperLetter"/>
      <w:start w:val="1"/>
    </w:lvl>
    <w:lvl w:ilvl="1">
      <w:lvlJc w:val="left"/>
      <w:lvlText w:val="(%2)"/>
      <w:numFmt w:val="lowerRoman"/>
      <w:start w:val="2"/>
    </w:lvl>
  </w:abstractNum>
  <w:abstractNum w:abstractNumId="28">
    <w:nsid w:val="94211F2"/>
    <w:multiLevelType w:val="hybridMultilevel"/>
    <w:lvl w:ilvl="0">
      <w:lvlJc w:val="left"/>
      <w:lvlText w:val="(%1)"/>
      <w:numFmt w:val="upperLetter"/>
      <w:start w:val="3"/>
    </w:lvl>
    <w:lvl w:ilvl="1">
      <w:lvlJc w:val="left"/>
      <w:lvlText w:val="%2"/>
      <w:numFmt w:val="lowerRoman"/>
      <w:start w:val="1"/>
    </w:lvl>
  </w:abstractNum>
  <w:abstractNum w:abstractNumId="29">
    <w:nsid w:val="885E1B"/>
    <w:multiLevelType w:val="hybridMultilevel"/>
    <w:lvl w:ilvl="0">
      <w:lvlJc w:val="left"/>
      <w:lvlText w:val="(%1)"/>
      <w:numFmt w:val="upperLetter"/>
      <w:start w:val="1"/>
    </w:lvl>
  </w:abstractNum>
  <w:abstractNum w:abstractNumId="30">
    <w:nsid w:val="7627211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31">
    <w:nsid w:val="4C04A8A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32">
    <w:nsid w:val="1716703B"/>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33">
    <w:nsid w:val="14E17E33"/>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34">
    <w:nsid w:val="3222E7CD"/>
    <w:multiLevelType w:val="hybridMultilevel"/>
    <w:lvl w:ilvl="0">
      <w:lvlJc w:val="left"/>
      <w:lvlText w:val="(%1)"/>
      <w:numFmt w:val="upperLetter"/>
      <w:start w:val="8"/>
    </w:lvl>
    <w:lvl w:ilvl="1">
      <w:lvlJc w:val="left"/>
      <w:lvlText w:val="(%2)"/>
      <w:numFmt w:val="lowerRoman"/>
      <w:start w:val="1"/>
    </w:lvl>
    <w:lvl w:ilvl="2">
      <w:lvlJc w:val="left"/>
      <w:lvlText w:val="(%3)"/>
      <w:numFmt w:val="decimal"/>
      <w:start w:val="1"/>
    </w:lvl>
  </w:abstractNum>
  <w:abstractNum w:abstractNumId="35">
    <w:nsid w:val="74DE0EE3"/>
    <w:multiLevelType w:val="hybridMultilevel"/>
    <w:lvl w:ilvl="0">
      <w:lvlJc w:val="left"/>
      <w:lvlText w:val="%1"/>
      <w:numFmt w:val="upperLetter"/>
      <w:start w:val="1"/>
    </w:lvl>
    <w:lvl w:ilvl="1">
      <w:lvlJc w:val="left"/>
      <w:lvlText w:val="(%2)"/>
      <w:numFmt w:val="lowerRoman"/>
      <w:start w:val="10"/>
    </w:lvl>
    <w:lvl w:ilvl="2">
      <w:lvlJc w:val="left"/>
      <w:lvlText w:val="%3"/>
      <w:numFmt w:val="decimal"/>
      <w:start w:val="1"/>
    </w:lvl>
  </w:abstractNum>
  <w:abstractNum w:abstractNumId="36">
    <w:nsid w:val="68EBC550"/>
    <w:multiLevelType w:val="hybridMultilevel"/>
    <w:lvl w:ilvl="0">
      <w:lvlJc w:val="left"/>
      <w:lvlText w:val="%1"/>
      <w:numFmt w:val="upperLetter"/>
      <w:start w:val="1"/>
    </w:lvl>
    <w:lvl w:ilvl="1">
      <w:lvlJc w:val="left"/>
      <w:lvlText w:val="(%2)"/>
      <w:numFmt w:val="lowerRoman"/>
      <w:start w:val="2"/>
    </w:lvl>
  </w:abstractNum>
  <w:abstractNum w:abstractNumId="37">
    <w:nsid w:val="2DF6D648"/>
    <w:multiLevelType w:val="hybridMultilevel"/>
    <w:lvl w:ilvl="0">
      <w:lvlJc w:val="left"/>
      <w:lvlText w:val="(%1)"/>
      <w:numFmt w:val="upperLetter"/>
      <w:start w:val="9"/>
    </w:lvl>
    <w:lvl w:ilvl="1">
      <w:lvlJc w:val="left"/>
      <w:lvlText w:val="(%2)"/>
      <w:numFmt w:val="lowerRoman"/>
      <w:start w:val="1"/>
    </w:lvl>
  </w:abstractNum>
  <w:abstractNum w:abstractNumId="38">
    <w:nsid w:val="46B7D447"/>
    <w:multiLevelType w:val="hybridMultilevel"/>
    <w:lvl w:ilvl="0">
      <w:lvlJc w:val="left"/>
      <w:lvlText w:val="(%1)"/>
      <w:numFmt w:val="lowerRoman"/>
      <w:start w:val="2"/>
    </w:lvl>
  </w:abstractNum>
  <w:abstractNum w:abstractNumId="39">
    <w:nsid w:val="4A2AC315"/>
    <w:multiLevelType w:val="hybridMultilevel"/>
    <w:lvl w:ilvl="0">
      <w:lvlJc w:val="left"/>
      <w:lvlText w:val="(%1)"/>
      <w:numFmt w:val="upperLetter"/>
      <w:start w:val="1"/>
    </w:lvl>
  </w:abstractNum>
  <w:abstractNum w:abstractNumId="40">
    <w:nsid w:val="39EE015C"/>
    <w:multiLevelType w:val="hybridMultilevel"/>
    <w:lvl w:ilvl="0">
      <w:lvlJc w:val="left"/>
      <w:lvlText w:val="%1"/>
      <w:numFmt w:val="lowerRoman"/>
      <w:start w:val="1"/>
    </w:lvl>
    <w:lvl w:ilvl="1">
      <w:lvlJc w:val="left"/>
      <w:lvlText w:val="(%2)"/>
      <w:numFmt w:val="upperLetter"/>
      <w:start w:val="5"/>
    </w:lvl>
  </w:abstractNum>
  <w:abstractNum w:abstractNumId="41">
    <w:nsid w:val="57FC4FBB"/>
    <w:multiLevelType w:val="hybridMultilevel"/>
    <w:lvl w:ilvl="0">
      <w:lvlJc w:val="left"/>
      <w:lvlText w:val="(%1)"/>
      <w:numFmt w:val="lowerRoman"/>
      <w:start w:val="2"/>
    </w:lvl>
    <w:lvl w:ilvl="1">
      <w:lvlJc w:val="left"/>
      <w:lvlText w:val="%2"/>
      <w:numFmt w:val="upperLetter"/>
      <w:start w:val="1"/>
    </w:lvl>
  </w:abstractNum>
  <w:abstractNum w:abstractNumId="42">
    <w:nsid w:val="CC1016F"/>
    <w:multiLevelType w:val="hybridMultilevel"/>
    <w:lvl w:ilvl="0">
      <w:lvlJc w:val="left"/>
      <w:lvlText w:val="(%1)"/>
      <w:numFmt w:val="upperLetter"/>
      <w:start w:val="1"/>
    </w:lvl>
  </w:abstractNum>
  <w:abstractNum w:abstractNumId="43">
    <w:nsid w:val="43F18422"/>
    <w:multiLevelType w:val="hybridMultilevel"/>
    <w:lvl w:ilvl="0">
      <w:lvlJc w:val="left"/>
      <w:lvlText w:val="(%1)"/>
      <w:numFmt w:val="upperLetter"/>
      <w:start w:val="1"/>
    </w:lvl>
    <w:lvl w:ilvl="1">
      <w:lvlJc w:val="left"/>
      <w:lvlText w:val="(%2)"/>
      <w:numFmt w:val="lowerRoman"/>
      <w:start w:val="1"/>
    </w:lvl>
  </w:abstractNum>
  <w:abstractNum w:abstractNumId="44">
    <w:nsid w:val="60EF0119"/>
    <w:multiLevelType w:val="hybridMultilevel"/>
    <w:lvl w:ilvl="0">
      <w:lvlJc w:val="left"/>
      <w:lvlText w:val="(%1)"/>
      <w:numFmt w:val="lowerRoman"/>
      <w:start w:val="9"/>
    </w:lvl>
    <w:lvl w:ilvl="1">
      <w:lvlJc w:val="left"/>
      <w:lvlText w:val="(%2)"/>
      <w:numFmt w:val="decimal"/>
      <w:start w:val="1"/>
    </w:lvl>
  </w:abstractNum>
  <w:abstractNum w:abstractNumId="45">
    <w:nsid w:val="26F324BA"/>
    <w:multiLevelType w:val="hybridMultilevel"/>
    <w:lvl w:ilvl="0">
      <w:lvlJc w:val="left"/>
      <w:lvlText w:val="%1"/>
      <w:numFmt w:val="lowerRoman"/>
      <w:start w:val="1"/>
    </w:lvl>
    <w:lvl w:ilvl="1">
      <w:lvlJc w:val="left"/>
      <w:lvlText w:val="(%2)"/>
      <w:numFmt w:val="decimal"/>
      <w:start w:val="2"/>
    </w:lvl>
  </w:abstractNum>
  <w:abstractNum w:abstractNumId="46">
    <w:nsid w:val="7F01579B"/>
    <w:multiLevelType w:val="hybridMultilevel"/>
    <w:lvl w:ilvl="0">
      <w:lvlJc w:val="left"/>
      <w:lvlText w:val="(%1)"/>
      <w:numFmt w:val="lowerRoman"/>
      <w:start w:val="18"/>
    </w:lvl>
    <w:lvl w:ilvl="1">
      <w:lvlJc w:val="left"/>
      <w:lvlText w:val="(%2)"/>
      <w:numFmt w:val="decimal"/>
      <w:start w:val="1"/>
    </w:lvl>
  </w:abstractNum>
  <w:abstractNum w:abstractNumId="47">
    <w:nsid w:val="49DA307D"/>
    <w:multiLevelType w:val="hybridMultilevel"/>
    <w:lvl w:ilvl="0">
      <w:lvlJc w:val="left"/>
      <w:lvlText w:val="%1"/>
      <w:numFmt w:val="upperLetter"/>
      <w:start w:val="1"/>
    </w:lvl>
    <w:lvl w:ilvl="1">
      <w:lvlJc w:val="left"/>
      <w:lvlText w:val="(%2)"/>
      <w:numFmt w:val="lowerRoman"/>
      <w:start w:val="19"/>
    </w:lvl>
  </w:abstractNum>
  <w:abstractNum w:abstractNumId="48">
    <w:nsid w:val="7055A5F5"/>
    <w:multiLevelType w:val="hybridMultilevel"/>
    <w:lvl w:ilvl="0">
      <w:lvlJc w:val="left"/>
      <w:lvlText w:val="(%1)"/>
      <w:numFmt w:val="upperLetter"/>
      <w:start w:val="2"/>
    </w:lvl>
    <w:lvl w:ilvl="1">
      <w:lvlJc w:val="left"/>
      <w:lvlText w:val="(%2)"/>
      <w:numFmt w:val="lowerRoman"/>
      <w:start w:val="1"/>
    </w:lvl>
  </w:abstractNum>
  <w:abstractNum w:abstractNumId="49">
    <w:nsid w:val="5FB8370B"/>
    <w:multiLevelType w:val="hybridMultilevel"/>
    <w:lvl w:ilvl="0">
      <w:lvlJc w:val="left"/>
      <w:lvlText w:val="(%1)"/>
      <w:numFmt w:val="upperLetter"/>
      <w:start w:val="3"/>
    </w:lvl>
  </w:abstractNum>
  <w:abstractNum w:abstractNumId="50">
    <w:nsid w:val="50801EE1"/>
    <w:multiLevelType w:val="hybridMultilevel"/>
    <w:lvl w:ilvl="0">
      <w:lvlJc w:val="left"/>
      <w:lvlText w:val="%1."/>
      <w:numFmt w:val="decimal"/>
      <w:start w:val="1"/>
    </w:lvl>
    <w:lvl w:ilvl="1">
      <w:lvlJc w:val="left"/>
      <w:lvlText w:val="%2"/>
      <w:numFmt w:val="lowerLetter"/>
      <w:start w:val="1"/>
    </w:lvl>
  </w:abstractNum>
  <w:abstractNum w:abstractNumId="51">
    <w:nsid w:val="488AC1A"/>
    <w:multiLevelType w:val="hybridMultilevel"/>
    <w:lvl w:ilvl="0">
      <w:lvlJc w:val="left"/>
      <w:lvlText w:val="%1."/>
      <w:numFmt w:val="lowerLetter"/>
      <w:start w:val="2"/>
    </w:lvl>
  </w:abstractNum>
  <w:abstractNum w:abstractNumId="52">
    <w:nsid w:val="5FB8011C"/>
    <w:multiLevelType w:val="hybridMultilevel"/>
    <w:lvl w:ilvl="0">
      <w:lvlJc w:val="left"/>
      <w:lvlText w:val="%1."/>
      <w:numFmt w:val="lowerLetter"/>
      <w:start w:val="3"/>
    </w:lvl>
  </w:abstractNum>
  <w:abstractNum w:abstractNumId="53">
    <w:nsid w:val="6AA78F7F"/>
    <w:multiLevelType w:val="hybridMultilevel"/>
    <w:lvl w:ilvl="0">
      <w:lvlJc w:val="left"/>
      <w:lvlText w:val="(%1)"/>
      <w:numFmt w:val="upperLetter"/>
      <w:start w:val="1"/>
    </w:lvl>
    <w:lvl w:ilvl="1">
      <w:lvlJc w:val="left"/>
      <w:lvlText w:val="(%2)"/>
      <w:numFmt w:val="lowerRoman"/>
      <w:start w:val="1"/>
    </w:lvl>
  </w:abstractNum>
  <w:abstractNum w:abstractNumId="54">
    <w:nsid w:val="7672BD23"/>
    <w:multiLevelType w:val="hybridMultilevel"/>
    <w:lvl w:ilvl="0">
      <w:lvlJc w:val="left"/>
      <w:lvlText w:val="(%1)"/>
      <w:numFmt w:val="lowerRoman"/>
      <w:start w:val="1"/>
    </w:lvl>
  </w:abstractNum>
  <w:abstractNum w:abstractNumId="55">
    <w:nsid w:val="6FC75AF8"/>
    <w:multiLevelType w:val="hybridMultilevel"/>
    <w:lvl w:ilvl="0">
      <w:lvlJc w:val="left"/>
      <w:lvlText w:val="(%1)"/>
      <w:numFmt w:val="lowerRoman"/>
      <w:start w:val="3"/>
    </w:lvl>
  </w:abstractNum>
  <w:abstractNum w:abstractNumId="56">
    <w:nsid w:val="6A5F7029"/>
    <w:multiLevelType w:val="hybridMultilevel"/>
    <w:lvl w:ilvl="0">
      <w:lvlJc w:val="left"/>
      <w:lvlText w:val="(%1)"/>
      <w:numFmt w:val="upperLetter"/>
      <w:start w:val="4"/>
    </w:lvl>
  </w:abstractNum>
  <w:abstractNum w:abstractNumId="57">
    <w:nsid w:val="7D5E18F8"/>
    <w:multiLevelType w:val="hybridMultilevel"/>
    <w:lvl w:ilvl="0">
      <w:lvlJc w:val="left"/>
      <w:lvlText w:val="(%1)"/>
      <w:numFmt w:val="lowerRoman"/>
      <w:start w:val="1"/>
    </w:lvl>
    <w:lvl w:ilvl="1">
      <w:lvlJc w:val="left"/>
      <w:lvlText w:val="(%2)"/>
      <w:numFmt w:val="decimal"/>
      <w:start w:val="1"/>
    </w:lvl>
  </w:abstractNum>
  <w:abstractNum w:abstractNumId="58">
    <w:nsid w:val="5F3534A4"/>
    <w:multiLevelType w:val="hybridMultilevel"/>
    <w:lvl w:ilvl="0">
      <w:lvlJc w:val="left"/>
      <w:lvlText w:val="(%1)"/>
      <w:numFmt w:val="upperLetter"/>
      <w:start w:val="5"/>
    </w:lvl>
  </w:abstractNum>
  <w:abstractNum w:abstractNumId="59">
    <w:nsid w:val="73A1821B"/>
    <w:multiLevelType w:val="hybridMultilevel"/>
    <w:lvl w:ilvl="0">
      <w:lvlJc w:val="left"/>
      <w:lvlText w:val="(%1)"/>
      <w:numFmt w:val="lowerRoman"/>
      <w:start w:val="1"/>
    </w:lvl>
  </w:abstractNum>
  <w:abstractNum w:abstractNumId="60">
    <w:nsid w:val="7DE67713"/>
    <w:multiLevelType w:val="hybridMultilevel"/>
    <w:lvl w:ilvl="0">
      <w:lvlJc w:val="left"/>
      <w:lvlText w:val="(%1)"/>
      <w:numFmt w:val="upperLetter"/>
      <w:start w:val="6"/>
    </w:lvl>
    <w:lvl w:ilvl="1">
      <w:lvlJc w:val="left"/>
      <w:lvlText w:val="(%2)"/>
      <w:numFmt w:val="decimal"/>
      <w:start w:val="1"/>
    </w:lvl>
  </w:abstractNum>
  <w:abstractNum w:abstractNumId="61">
    <w:nsid w:val="555C55B5"/>
    <w:multiLevelType w:val="hybridMultilevel"/>
    <w:lvl w:ilvl="0">
      <w:lvlJc w:val="left"/>
      <w:lvlText w:val="(%1)"/>
      <w:numFmt w:val="upperLetter"/>
      <w:start w:val="9"/>
    </w:lvl>
  </w:abstractNum>
  <w:abstractNum w:abstractNumId="62">
    <w:nsid w:val="3FA62ACA"/>
    <w:multiLevelType w:val="hybridMultilevel"/>
    <w:lvl w:ilvl="0">
      <w:lvlJc w:val="left"/>
      <w:lvlText w:val="(%1)"/>
      <w:numFmt w:val="lowerRoman"/>
      <w:start w:val="2"/>
    </w:lvl>
  </w:abstractNum>
  <w:abstractNum w:abstractNumId="63">
    <w:nsid w:val="14FCE74E"/>
    <w:multiLevelType w:val="hybridMultilevel"/>
    <w:lvl w:ilvl="0">
      <w:lvlJc w:val="left"/>
      <w:lvlText w:val="(%1)"/>
      <w:numFmt w:val="upperLetter"/>
      <w:start w:val="9"/>
    </w:lvl>
  </w:abstractNum>
  <w:abstractNum w:abstractNumId="64">
    <w:nsid w:val="6A3DD3E8"/>
    <w:multiLevelType w:val="hybridMultilevel"/>
    <w:lvl w:ilvl="0">
      <w:lvlJc w:val="left"/>
      <w:lvlText w:val="(%1)"/>
      <w:numFmt w:val="lowerRoman"/>
      <w:start w:val="1"/>
    </w:lvl>
  </w:abstractNum>
  <w:abstractNum w:abstractNumId="65">
    <w:nsid w:val="71C91298"/>
    <w:multiLevelType w:val="hybridMultilevel"/>
    <w:lvl w:ilvl="0">
      <w:lvlJc w:val="left"/>
      <w:lvlText w:val="%1"/>
      <w:numFmt w:val="lowerLetter"/>
      <w:start w:val="1"/>
    </w:lvl>
    <w:lvl w:ilvl="1">
      <w:lvlJc w:val="left"/>
      <w:lvlText w:val="(%2)"/>
      <w:numFmt w:val="lowerRoman"/>
      <w:start w:val="2"/>
    </w:lvl>
  </w:abstractNum>
  <w:abstractNum w:abstractNumId="66">
    <w:nsid w:val="9DAF632"/>
    <w:multiLevelType w:val="hybridMultilevel"/>
    <w:lvl w:ilvl="0">
      <w:lvlJc w:val="left"/>
      <w:lvlText w:val="%1."/>
      <w:numFmt w:val="lowerLetter"/>
      <w:start w:val="7"/>
    </w:lvl>
    <w:lvl w:ilvl="1">
      <w:lvlJc w:val="left"/>
      <w:lvlText w:val="%2"/>
      <w:numFmt w:val="lowerRoman"/>
      <w:start w:val="1"/>
    </w:lvl>
  </w:abstractNum>
  <w:abstractNum w:abstractNumId="67">
    <w:nsid w:val="53299938"/>
    <w:multiLevelType w:val="hybridMultilevel"/>
    <w:lvl w:ilvl="0">
      <w:lvlJc w:val="left"/>
      <w:lvlText w:val="%1."/>
      <w:numFmt w:val="lowerLetter"/>
      <w:start w:val="8"/>
    </w:lvl>
  </w:abstractNum>
  <w:abstractNum w:abstractNumId="68">
    <w:nsid w:val="1FBFE8E0"/>
    <w:multiLevelType w:val="hybridMultilevel"/>
    <w:lvl w:ilvl="0">
      <w:lvlJc w:val="left"/>
      <w:lvlText w:val="%1."/>
      <w:numFmt w:val="decimal"/>
      <w:start w:val="3"/>
    </w:lvl>
  </w:abstractNum>
  <w:abstractNum w:abstractNumId="69">
    <w:nsid w:val="5092CA79"/>
    <w:multiLevelType w:val="hybridMultilevel"/>
    <w:lvl w:ilvl="0">
      <w:lvlJc w:val="left"/>
      <w:lvlText w:val="%1."/>
      <w:numFmt w:val="decimal"/>
      <w:start w:val="4"/>
    </w:lvl>
    <w:lvl w:ilvl="1">
      <w:lvlJc w:val="left"/>
      <w:lvlText w:val="%2."/>
      <w:numFmt w:val="lowerLetter"/>
      <w:start w:val="1"/>
    </w:lvl>
  </w:abstractNum>
  <w:abstractNum w:abstractNumId="70">
    <w:nsid w:val="1D545C4D"/>
    <w:multiLevelType w:val="hybridMultilevel"/>
    <w:lvl w:ilvl="0">
      <w:lvlJc w:val="left"/>
      <w:lvlText w:val="%1."/>
      <w:numFmt w:val="upperLetter"/>
      <w:start w:val="1"/>
    </w:lvl>
  </w:abstractNum>
  <w:abstractNum w:abstractNumId="71">
    <w:nsid w:val="59ADEA3D"/>
    <w:multiLevelType w:val="hybridMultilevel"/>
    <w:lvl w:ilvl="0">
      <w:lvlJc w:val="left"/>
      <w:lvlText w:val="(%1)"/>
      <w:numFmt w:val="lowerRoman"/>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2"/>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3"/>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3"/>
    </w:lvl>
  </w:abstractNum>
  <w:abstractNum w:abstractNumId="79">
    <w:nsid w:val="415E286C"/>
    <w:multiLevelType w:val="hybridMultilevel"/>
    <w:lvl w:ilvl="0">
      <w:lvlJc w:val="left"/>
      <w:lvlText w:val="(%1)"/>
      <w:numFmt w:val="lowerLetter"/>
      <w:start w:val="1"/>
    </w:lvl>
    <w:lvl w:ilvl="1">
      <w:lvlJc w:val="left"/>
      <w:lvlText w:val="%2."/>
      <w:numFmt w:val="decimal"/>
      <w:start w:val="1"/>
    </w:lvl>
  </w:abstractNum>
  <w:abstractNum w:abstractNumId="80">
    <w:nsid w:val="7C58FD05"/>
    <w:multiLevelType w:val="hybridMultilevel"/>
    <w:lvl w:ilvl="0">
      <w:lvlJc w:val="left"/>
      <w:lvlText w:val="%1."/>
      <w:numFmt w:val="decimal"/>
      <w:start w:val="5"/>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lowerLetter"/>
      <w:start w:val="8"/>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lowerLetter"/>
      <w:start w:val="2"/>
    </w:lvl>
  </w:abstractNum>
  <w:abstractNum w:abstractNumId="86">
    <w:nsid w:val="4BD8591A"/>
    <w:multiLevelType w:val="hybridMultilevel"/>
    <w:lvl w:ilvl="0">
      <w:lvlJc w:val="left"/>
      <w:lvlText w:val="%1"/>
      <w:numFmt w:val="lowerLetter"/>
      <w:start w:val="1"/>
    </w:lvl>
    <w:lvl w:ilvl="1">
      <w:lvlJc w:val="left"/>
      <w:lvlText w:val="(%2)"/>
      <w:numFmt w:val="lowerLetter"/>
      <w:start w:val="6"/>
    </w:lvl>
  </w:abstractNum>
  <w:abstractNum w:abstractNumId="87">
    <w:nsid w:val="78DF6A55"/>
    <w:multiLevelType w:val="hybridMultilevel"/>
    <w:lvl w:ilvl="0">
      <w:lvlJc w:val="left"/>
      <w:lvlText w:val="(%1)"/>
      <w:numFmt w:val="lowerLetter"/>
      <w:start w:val="35"/>
    </w:lvl>
    <w:lvl w:ilvl="1">
      <w:lvlJc w:val="left"/>
      <w:lvlText w:val="%2"/>
      <w:numFmt w:val="lowerLetter"/>
      <w:start w:val="1"/>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1"/>
      <w:numFmt w:val="lowerLetter"/>
      <w:start w:val="1"/>
    </w:lvl>
    <w:lvl w:ilvl="1">
      <w:lvlJc w:val="left"/>
      <w:lvlText w:val="(%2)"/>
      <w:numFmt w:val="lowerLetter"/>
      <w:start w:val="1"/>
    </w:lvl>
  </w:abstractNum>
  <w:abstractNum w:abstractNumId="90">
    <w:nsid w:val="6C80EC70"/>
    <w:multiLevelType w:val="hybridMultilevel"/>
    <w:lvl w:ilvl="0">
      <w:lvlJc w:val="left"/>
      <w:lvlText w:val="(%1)"/>
      <w:numFmt w:val="lowerLetter"/>
      <w:start w:val="35"/>
    </w:lvl>
    <w:lvl w:ilvl="1">
      <w:lvlJc w:val="left"/>
      <w:lvlText w:val="(%2)"/>
      <w:numFmt w:val="lowerLetter"/>
      <w:start w:val="2"/>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1"/>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5"/>
    </w:lvl>
  </w:abstractNum>
  <w:abstractNum w:abstractNumId="95">
    <w:nsid w:val="6AA7B75C"/>
    <w:multiLevelType w:val="hybridMultilevel"/>
    <w:lvl w:ilvl="0">
      <w:lvlJc w:val="left"/>
      <w:lvlText w:val="(%1)"/>
      <w:numFmt w:val="lowerLetter"/>
      <w:start w:val="1"/>
    </w:lvl>
    <w:lvl w:ilvl="1">
      <w:lvlJc w:val="left"/>
      <w:lvlText w:val="%2."/>
      <w:numFmt w:val="decimal"/>
      <w:start w:val="1"/>
    </w:lvl>
  </w:abstractNum>
  <w:abstractNum w:abstractNumId="96">
    <w:nsid w:val="1DF029D3"/>
    <w:multiLevelType w:val="hybridMultilevel"/>
    <w:lvl w:ilvl="0">
      <w:lvlJc w:val="left"/>
      <w:lvlText w:val="%1"/>
      <w:numFmt w:val="lowerLetter"/>
      <w:start w:val="1"/>
    </w:lvl>
    <w:lvl w:ilvl="1">
      <w:lvlJc w:val="left"/>
      <w:lvlText w:val="%2."/>
      <w:numFmt w:val="decimal"/>
      <w:start w:val="2"/>
    </w:lvl>
  </w:abstractNum>
  <w:abstractNum w:abstractNumId="97">
    <w:nsid w:val="5675FF36"/>
    <w:multiLevelType w:val="hybridMultilevel"/>
    <w:lvl w:ilvl="0">
      <w:lvlJc w:val="left"/>
      <w:lvlText w:val="(%1)"/>
      <w:numFmt w:val="lowerLetter"/>
      <w:start w:val="2"/>
    </w:lvl>
    <w:lvl w:ilvl="1">
      <w:lvlJc w:val="left"/>
      <w:lvlText w:val="%2."/>
      <w:numFmt w:val="decimal"/>
      <w:start w:val="1"/>
    </w:lvl>
  </w:abstractNum>
  <w:abstractNum w:abstractNumId="98">
    <w:nsid w:val="3DD15094"/>
    <w:multiLevelType w:val="hybridMultilevel"/>
    <w:lvl w:ilvl="0">
      <w:lvlJc w:val="left"/>
      <w:lvlText w:val="(%1)"/>
      <w:numFmt w:val="lowerLetter"/>
      <w:start w:val="3"/>
    </w:lvl>
    <w:lvl w:ilvl="1">
      <w:lvlJc w:val="left"/>
      <w:lvlText w:val="%2."/>
      <w:numFmt w:val="decimal"/>
      <w:start w:val="1"/>
    </w:lvl>
  </w:abstractNum>
  <w:abstractNum w:abstractNumId="99">
    <w:nsid w:val="3DB012B3"/>
    <w:multiLevelType w:val="hybridMultilevel"/>
    <w:lvl w:ilvl="0">
      <w:lvlJc w:val="left"/>
      <w:lvlText w:val="(%1)"/>
      <w:numFmt w:val="lowerLetter"/>
      <w:start w:val="1"/>
    </w:lvl>
    <w:lvl w:ilvl="1">
      <w:lvlJc w:val="left"/>
      <w:lvlText w:val="%2."/>
      <w:numFmt w:val="decimal"/>
      <w:start w:val="1"/>
    </w:lvl>
  </w:abstractNum>
  <w:abstractNum w:abstractNumId="100">
    <w:nsid w:val="2708C9AF"/>
    <w:multiLevelType w:val="hybridMultilevel"/>
    <w:lvl w:ilvl="0">
      <w:lvlJc w:val="left"/>
      <w:lvlText w:val="(%1)"/>
      <w:numFmt w:val="lowerLetter"/>
      <w:start w:val="2"/>
    </w:lvl>
    <w:lvl w:ilvl="1">
      <w:lvlJc w:val="left"/>
      <w:lvlText w:val="%2."/>
      <w:numFmt w:val="decimal"/>
      <w:start w:val="1"/>
    </w:lvl>
  </w:abstractNum>
  <w:abstractNum w:abstractNumId="101">
    <w:nsid w:val="5B25ACE2"/>
    <w:multiLevelType w:val="hybridMultilevel"/>
    <w:lvl w:ilvl="0">
      <w:lvlJc w:val="left"/>
      <w:lvlText w:val="%1."/>
      <w:numFmt w:val="decimal"/>
      <w:start w:val="2"/>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5"/>
    </w:lvl>
  </w:abstractNum>
  <w:abstractNum w:abstractNumId="106">
    <w:nsid w:val="5915FF32"/>
    <w:multiLevelType w:val="hybridMultilevel"/>
    <w:lvl w:ilvl="0">
      <w:lvlJc w:val="left"/>
      <w:lvlText w:val="(%1)"/>
      <w:numFmt w:val="lowerLetter"/>
      <w:start w:val="1"/>
    </w:lvl>
  </w:abstractNum>
  <w:abstractNum w:abstractNumId="107">
    <w:nsid w:val="56438D15"/>
    <w:multiLevelType w:val="hybridMultilevel"/>
    <w:lvl w:ilvl="0">
      <w:lvlJc w:val="left"/>
      <w:lvlText w:val="(%1)"/>
      <w:numFmt w:val="lowerLetter"/>
      <w:start w:val="2"/>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6"/>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3"/>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decimal"/>
      <w:start w:val="2"/>
    </w:lvl>
  </w:abstractNum>
  <w:abstractNum w:abstractNumId="114">
    <w:nsid w:val="2A082C70"/>
    <w:multiLevelType w:val="hybridMultilevel"/>
    <w:lvl w:ilvl="0">
      <w:lvlJc w:val="left"/>
      <w:lvlText w:val="%1."/>
      <w:numFmt w:val="decimal"/>
      <w:start w:val="3"/>
    </w:lvl>
  </w:abstractNum>
  <w:abstractNum w:abstractNumId="115">
    <w:nsid w:val="5EC6AFD4"/>
    <w:multiLevelType w:val="hybridMultilevel"/>
    <w:lvl w:ilvl="0">
      <w:lvlJc w:val="left"/>
      <w:lvlText w:val="%1."/>
      <w:numFmt w:val="decimal"/>
      <w:start w:val="4"/>
    </w:lvl>
  </w:abstractNum>
  <w:abstractNum w:abstractNumId="116">
    <w:nsid w:val="19E21BB2"/>
    <w:multiLevelType w:val="hybridMultilevel"/>
    <w:lvl w:ilvl="0">
      <w:lvlJc w:val="left"/>
      <w:lvlText w:val="%1."/>
      <w:numFmt w:val="decimal"/>
      <w:start w:val="6"/>
    </w:lvl>
  </w:abstractNum>
  <w:abstractNum w:abstractNumId="117">
    <w:nsid w:val="75E0858A"/>
    <w:multiLevelType w:val="hybridMultilevel"/>
    <w:lvl w:ilvl="0">
      <w:lvlJc w:val="left"/>
      <w:lvlText w:val="%1."/>
      <w:numFmt w:val="decimal"/>
      <w:start w:val="7"/>
    </w:lvl>
  </w:abstractNum>
  <w:abstractNum w:abstractNumId="118">
    <w:nsid w:val="57A61A29"/>
    <w:multiLevelType w:val="hybridMultilevel"/>
    <w:lvl w:ilvl="0">
      <w:lvlJc w:val="left"/>
      <w:lvlText w:val="%1."/>
      <w:numFmt w:val="decimal"/>
      <w:start w:val="8"/>
    </w:lvl>
  </w:abstractNum>
  <w:abstractNum w:abstractNumId="119">
    <w:nsid w:val="5399C654"/>
    <w:multiLevelType w:val="hybridMultilevel"/>
    <w:lvl w:ilvl="0">
      <w:lvlJc w:val="left"/>
      <w:lvlText w:val="%1."/>
      <w:numFmt w:val="decimal"/>
      <w:start w:val="1"/>
    </w:lvl>
  </w:abstractNum>
  <w:abstractNum w:abstractNumId="120">
    <w:nsid w:val="20EE1348"/>
    <w:multiLevelType w:val="hybridMultilevel"/>
    <w:lvl w:ilvl="0">
      <w:lvlJc w:val="left"/>
      <w:lvlText w:val="%1."/>
      <w:numFmt w:val="decimal"/>
      <w:start w:val="2"/>
    </w:lvl>
  </w:abstractNum>
  <w:abstractNum w:abstractNumId="121">
    <w:nsid w:val="4427069A"/>
    <w:multiLevelType w:val="hybridMultilevel"/>
    <w:lvl w:ilvl="0">
      <w:lvlJc w:val="left"/>
      <w:lvlText w:val="%1."/>
      <w:numFmt w:val="decimal"/>
      <w:start w:val="3"/>
    </w:lvl>
  </w:abstractNum>
  <w:abstractNum w:abstractNumId="122">
    <w:nsid w:val="B37E80A"/>
    <w:multiLevelType w:val="hybridMultilevel"/>
    <w:lvl w:ilvl="0">
      <w:lvlJc w:val="left"/>
      <w:lvlText w:val="%1."/>
      <w:numFmt w:val="decimal"/>
      <w:start w:val="4"/>
    </w:lvl>
  </w:abstractNum>
  <w:abstractNum w:abstractNumId="123">
    <w:nsid w:val="2157F6BC"/>
    <w:multiLevelType w:val="hybridMultilevel"/>
    <w:lvl w:ilvl="0">
      <w:lvlJc w:val="left"/>
      <w:lvlText w:val="%1."/>
      <w:numFmt w:val="decimal"/>
      <w:start w:val="6"/>
    </w:lvl>
  </w:abstractNum>
  <w:abstractNum w:abstractNumId="124">
    <w:nsid w:val="704E1DD5"/>
    <w:multiLevelType w:val="hybridMultilevel"/>
    <w:lvl w:ilvl="0">
      <w:lvlJc w:val="left"/>
      <w:lvlText w:val="%1."/>
      <w:numFmt w:val="decimal"/>
      <w:start w:val="7"/>
    </w:lvl>
  </w:abstractNum>
  <w:abstractNum w:abstractNumId="125">
    <w:nsid w:val="57D2F10E"/>
    <w:multiLevelType w:val="hybridMultilevel"/>
    <w:lvl w:ilvl="0">
      <w:lvlJc w:val="left"/>
      <w:lvlText w:val="%1:"/>
      <w:numFmt w:val="upperLetter"/>
      <w:start w:val="29"/>
    </w:lvl>
  </w:abstractNum>
  <w:abstractNum w:abstractNumId="126">
    <w:nsid w:val="BFFAE18"/>
    <w:multiLevelType w:val="hybridMultilevel"/>
    <w:lvl w:ilvl="0">
      <w:lvlJc w:val="left"/>
      <w:lvlText w:val="%1:"/>
      <w:numFmt w:val="upperLetter"/>
      <w:start w:val="29"/>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2"/>
    </w:lvl>
  </w:abstractNum>
  <w:abstractNum w:abstractNumId="129">
    <w:nsid w:val="49D0FEAC"/>
    <w:multiLevelType w:val="hybridMultilevel"/>
    <w:lvl w:ilvl="0">
      <w:lvlJc w:val="left"/>
      <w:lvlText w:val="%1."/>
      <w:numFmt w:val="decimal"/>
      <w:start w:val="3"/>
    </w:lvl>
  </w:abstractNum>
  <w:abstractNum w:abstractNumId="130">
    <w:nsid w:val="4BEE5A5B"/>
    <w:multiLevelType w:val="hybridMultilevel"/>
    <w:lvl w:ilvl="0">
      <w:lvlJc w:val="left"/>
      <w:lvlText w:val="%1."/>
      <w:numFmt w:val="decimal"/>
      <w:start w:val="4"/>
    </w:lvl>
  </w:abstractNum>
  <w:abstractNum w:abstractNumId="131">
    <w:nsid w:val="5551B9F3"/>
    <w:multiLevelType w:val="hybridMultilevel"/>
    <w:lvl w:ilvl="0">
      <w:lvlJc w:val="left"/>
      <w:lvlText w:val="%1."/>
      <w:numFmt w:val="decimal"/>
      <w:start w:val="5"/>
    </w:lvl>
  </w:abstractNum>
  <w:abstractNum w:abstractNumId="132">
    <w:nsid w:val="24F6AB8E"/>
    <w:multiLevelType w:val="hybridMultilevel"/>
    <w:lvl w:ilvl="0">
      <w:lvlJc w:val="left"/>
      <w:lvlText w:val="%1."/>
      <w:numFmt w:val="decimal"/>
      <w:start w:val="6"/>
    </w:lvl>
  </w:abstractNum>
  <w:abstractNum w:abstractNumId="133">
    <w:nsid w:val="634C574C"/>
    <w:multiLevelType w:val="hybridMultilevel"/>
    <w:lvl w:ilvl="0">
      <w:lvlJc w:val="left"/>
      <w:lvlText w:val="%1."/>
      <w:numFmt w:val="decimal"/>
      <w:start w:val="7"/>
    </w:lvl>
  </w:abstractNum>
  <w:abstractNum w:abstractNumId="134">
    <w:nsid w:val="24E99DD7"/>
    <w:multiLevelType w:val="hybridMultilevel"/>
    <w:lvl w:ilvl="0">
      <w:lvlJc w:val="left"/>
      <w:lvlText w:val="%1."/>
      <w:numFmt w:val="decimal"/>
      <w:start w:val="8"/>
    </w:lvl>
  </w:abstractNum>
  <w:abstractNum w:abstractNumId="135">
    <w:nsid w:val="2A31B62D"/>
    <w:multiLevelType w:val="hybridMultilevel"/>
    <w:lvl w:ilvl="0">
      <w:lvlJc w:val="left"/>
      <w:lvlText w:val="%1:"/>
      <w:numFmt w:val="upperLetter"/>
      <w:start w:val="29"/>
    </w:lvl>
  </w:abstractNum>
  <w:abstractNum w:abstractNumId="136">
    <w:nsid w:val="1849C29B"/>
    <w:multiLevelType w:val="hybridMultilevel"/>
    <w:lvl w:ilvl="0">
      <w:lvlJc w:val="left"/>
      <w:lvlText w:val="%1:"/>
      <w:numFmt w:val="upperLetter"/>
      <w:start w:val="29"/>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1."/>
      <w:numFmt w:val="decimal"/>
      <w:start w:val="3"/>
    </w:lvl>
  </w:abstractNum>
  <w:abstractNum w:abstractNumId="140">
    <w:nsid w:val="2A6DE806"/>
    <w:multiLevelType w:val="hybridMultilevel"/>
    <w:lvl w:ilvl="0">
      <w:lvlJc w:val="left"/>
      <w:lvlText w:val="%1."/>
      <w:numFmt w:val="decimal"/>
      <w:start w:val="6"/>
    </w:lvl>
  </w:abstractNum>
  <w:abstractNum w:abstractNumId="141">
    <w:nsid w:val="1816F8C4"/>
    <w:multiLevelType w:val="hybridMultilevel"/>
    <w:lvl w:ilvl="0">
      <w:lvlJc w:val="left"/>
      <w:lvlText w:val="%1."/>
      <w:numFmt w:val="decimal"/>
      <w:start w:val="7"/>
    </w:lvl>
  </w:abstractNum>
  <w:abstractNum w:abstractNumId="142">
    <w:nsid w:val="37DF223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2025-05-22T15:47:59Z</dcterms:created>
  <dcterms:modified xsi:type="dcterms:W3CDTF">2025-05-22T15:47:59Z</dcterms:modified>
</cp:coreProperties>
</file>